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AI Native Studio</w:t>
        <w:br/>
      </w:r>
      <w:r>
        <w:rPr>
          <w:rFonts w:ascii="Arial" w:hAnsi="Arial"/>
          <w:sz w:val="24"/>
        </w:rPr>
        <w:t>Business plan, funnels, PRDs, offerings, pricing, and target list</w:t>
      </w:r>
    </w:p>
    <w:p/>
    <w:p>
      <w:pPr>
        <w:jc w:val="center"/>
      </w:pPr>
      <w:r>
        <w:rPr>
          <w:rFonts w:ascii="Arial" w:hAnsi="Arial"/>
          <w:b/>
          <w:sz w:val="24"/>
        </w:rPr>
        <w:t>Verticals: Real Estate and Tenders</w:t>
      </w:r>
    </w:p>
    <w:p/>
    <w:p>
      <w:pPr>
        <w:pStyle w:val="Heading2"/>
      </w:pPr>
      <w:r>
        <w:rPr>
          <w:rFonts w:ascii="Arial" w:hAnsi="Arial"/>
        </w:rPr>
        <w:t>Working assumptions</w:t>
      </w:r>
    </w:p>
    <w:p>
      <w:pPr>
        <w:pStyle w:val="ListBullet"/>
      </w:pPr>
      <w:r>
        <w:rPr>
          <w:rFonts w:ascii="Arial" w:hAnsi="Arial"/>
        </w:rPr>
        <w:t>Parent brand stays AI Native Studio.</w:t>
      </w:r>
    </w:p>
    <w:p>
      <w:pPr>
        <w:pStyle w:val="ListBullet"/>
      </w:pPr>
      <w:r>
        <w:rPr>
          <w:rFonts w:ascii="Arial" w:hAnsi="Arial"/>
        </w:rPr>
        <w:t>Real Estate and Tenders are separate front-end businesses.</w:t>
      </w:r>
    </w:p>
    <w:p>
      <w:pPr>
        <w:pStyle w:val="ListBullet"/>
      </w:pPr>
      <w:r>
        <w:rPr>
          <w:rFonts w:ascii="Arial" w:hAnsi="Arial"/>
        </w:rPr>
        <w:t>Shared backend handles systems, delivery, tooling, and reporting.</w:t>
      </w:r>
    </w:p>
    <w:p>
      <w:pPr>
        <w:pStyle w:val="ListBullet"/>
      </w:pPr>
      <w:r>
        <w:rPr>
          <w:rFonts w:ascii="Arial" w:hAnsi="Arial"/>
        </w:rPr>
        <w:t>Selling point is AI-era relevance, speed, and visible advantage.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/>
      <w:r>
        <w:rPr>
          <w:rFonts w:ascii="Arial" w:hAnsi="Arial"/>
        </w:rPr>
        <w:t>AI Native Studio is a parent brand that runs separate vertical businesses for Real Estate and Tenders. Each vertical gets its own message, funnel, and delivery stack, while the backend stays shared and efficient.</w:t>
      </w:r>
    </w:p>
    <w:p>
      <w:pPr/>
      <w:r>
        <w:rPr>
          <w:rFonts w:ascii="Arial" w:hAnsi="Arial"/>
        </w:rPr>
        <w:t>The sell is not generic automation. The sell is entering the AI era before competitors make the move look normal.</w:t>
      </w:r>
    </w:p>
    <w:p>
      <w:pPr/>
      <w:r>
        <w:rPr>
          <w:rFonts w:ascii="Arial" w:hAnsi="Arial"/>
        </w:rPr>
        <w:t>The market entry strategy uses guerrilla-style attention, fast qualification, simple demos, and a paid path into consultation, integration, and managed migration.</w:t>
      </w:r>
    </w:p>
    <w:p>
      <w:pPr>
        <w:pStyle w:val="Heading1"/>
      </w:pPr>
      <w:r>
        <w:t>2. Brand architecture</w:t>
      </w:r>
    </w:p>
    <w:p>
      <w:pPr>
        <w:pStyle w:val="Heading2"/>
      </w:pPr>
      <w:r>
        <w:rPr>
          <w:rFonts w:ascii="Arial" w:hAnsi="Arial"/>
        </w:rPr>
        <w:t>Parent brand</w:t>
      </w:r>
    </w:p>
    <w:p>
      <w:pPr>
        <w:pStyle w:val="ListBullet"/>
      </w:pPr>
      <w:r>
        <w:rPr>
          <w:rFonts w:ascii="Arial" w:hAnsi="Arial"/>
        </w:rPr>
        <w:t>AI Native Studio = holding brand and central delivery engine.</w:t>
      </w:r>
    </w:p>
    <w:p>
      <w:pPr>
        <w:pStyle w:val="ListBullet"/>
      </w:pPr>
      <w:r>
        <w:rPr>
          <w:rFonts w:ascii="Arial" w:hAnsi="Arial"/>
        </w:rPr>
        <w:t>Shared assets: automations, code, prompts, SOPs, dashboards, training material, and reporting.</w:t>
      </w:r>
    </w:p>
    <w:p>
      <w:pPr>
        <w:pStyle w:val="ListBullet"/>
      </w:pPr>
      <w:r>
        <w:rPr>
          <w:rFonts w:ascii="Arial" w:hAnsi="Arial"/>
        </w:rPr>
        <w:t>Shared advantage: lower delivery cost and faster cloning across verticals.</w:t>
      </w:r>
    </w:p>
    <w:p>
      <w:pPr>
        <w:pStyle w:val="Heading2"/>
      </w:pPr>
      <w:r>
        <w:rPr>
          <w:rFonts w:ascii="Arial" w:hAnsi="Arial"/>
        </w:rPr>
        <w:t>Front-end brands</w:t>
      </w:r>
    </w:p>
    <w:p>
      <w:pPr>
        <w:pStyle w:val="ListBullet"/>
      </w:pPr>
      <w:r>
        <w:rPr>
          <w:rFonts w:ascii="Arial" w:hAnsi="Arial"/>
        </w:rPr>
        <w:t>Real Estate brand speaks to agencies, brokers, teams, and property offices.</w:t>
      </w:r>
    </w:p>
    <w:p>
      <w:pPr>
        <w:pStyle w:val="ListBullet"/>
      </w:pPr>
      <w:r>
        <w:rPr>
          <w:rFonts w:ascii="Arial" w:hAnsi="Arial"/>
        </w:rPr>
        <w:t>Tender brand speaks to bid teams, construction firms, engineering firms, and service providers that live on documents and deadlines.</w:t>
      </w:r>
    </w:p>
    <w:p>
      <w:pPr>
        <w:pStyle w:val="ListBullet"/>
      </w:pPr>
      <w:r>
        <w:rPr>
          <w:rFonts w:ascii="Arial" w:hAnsi="Arial"/>
        </w:rPr>
        <w:t>Each front-end should look like a specialist company, not a general agency.</w:t>
      </w:r>
    </w:p>
    <w:p>
      <w:pPr>
        <w:pStyle w:val="Heading1"/>
      </w:pPr>
      <w:r>
        <w:t>3. Core offerings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Offering</w:t>
            </w:r>
          </w:p>
        </w:tc>
        <w:tc>
          <w:tcPr>
            <w:tcW w:type="dxa" w:w="3408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What it means</w:t>
            </w:r>
          </w:p>
        </w:tc>
        <w:tc>
          <w:tcPr>
            <w:tcW w:type="dxa" w:w="3408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Business outcome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AI Adoption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Help teams understand and use AI in day-to-day work.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Looks modern; moves the business into the current market.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Agentic Funnels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Automated lead capture, qualification, follow-up, reminders, and booking.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More leads handled with less lag.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Digital Management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Dashboards, reporting, CRM hygiene, and task orchestration.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More control, less chaos.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Process Development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Turn manual workflows into repeatable systems and rules.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Faster execution and fewer mistakes.</w:t>
            </w:r>
          </w:p>
        </w:tc>
      </w:tr>
    </w:tbl>
    <w:p>
      <w:pPr>
        <w:pStyle w:val="Heading1"/>
      </w:pPr>
      <w:r>
        <w:t>4. Sales funnel</w:t>
      </w:r>
    </w:p>
    <w:p>
      <w:pPr>
        <w:pStyle w:val="Heading2"/>
      </w:pPr>
      <w:r>
        <w:rPr>
          <w:rFonts w:ascii="Arial" w:hAnsi="Arial"/>
        </w:rPr>
        <w:t>4.1 Funnel logic</w:t>
      </w:r>
    </w:p>
    <w:p>
      <w:pPr>
        <w:pStyle w:val="ListBullet"/>
      </w:pPr>
      <w:r>
        <w:rPr>
          <w:rFonts w:ascii="Arial" w:hAnsi="Arial"/>
        </w:rPr>
        <w:t>Attention: guerrilla hooks, posters, flyers, WhatsApp clips, LinkedIn posts, and direct outreach.</w:t>
      </w:r>
    </w:p>
    <w:p>
      <w:pPr>
        <w:pStyle w:val="ListBullet"/>
      </w:pPr>
      <w:r>
        <w:rPr>
          <w:rFonts w:ascii="Arial" w:hAnsi="Arial"/>
        </w:rPr>
        <w:t>Capture: one short landing page per vertical with a short form and WhatsApp click-to-chat.</w:t>
      </w:r>
    </w:p>
    <w:p>
      <w:pPr>
        <w:pStyle w:val="ListBullet"/>
      </w:pPr>
      <w:r>
        <w:rPr>
          <w:rFonts w:ascii="Arial" w:hAnsi="Arial"/>
        </w:rPr>
        <w:t>Qualify: 10-15 minute call or voice-note exchange to sort curiosity from buying intent.</w:t>
      </w:r>
    </w:p>
    <w:p>
      <w:pPr>
        <w:pStyle w:val="ListBullet"/>
      </w:pPr>
      <w:r>
        <w:rPr>
          <w:rFonts w:ascii="Arial" w:hAnsi="Arial"/>
        </w:rPr>
        <w:t>Demo: show one visible system doing one visible job.</w:t>
      </w:r>
    </w:p>
    <w:p>
      <w:pPr>
        <w:pStyle w:val="ListBullet"/>
      </w:pPr>
      <w:r>
        <w:rPr>
          <w:rFonts w:ascii="Arial" w:hAnsi="Arial"/>
        </w:rPr>
        <w:t>Close: consultation, integration, or migration.</w:t>
      </w:r>
    </w:p>
    <w:p>
      <w:pPr>
        <w:pStyle w:val="ListBullet"/>
      </w:pPr>
      <w:r>
        <w:rPr>
          <w:rFonts w:ascii="Arial" w:hAnsi="Arial"/>
        </w:rPr>
        <w:t>Expand: add more workflows, more departments, and more reporting.</w:t>
      </w:r>
    </w:p>
    <w:p>
      <w:pPr>
        <w:pStyle w:val="Heading2"/>
      </w:pPr>
      <w:r>
        <w:rPr>
          <w:rFonts w:ascii="Arial" w:hAnsi="Arial"/>
        </w:rPr>
        <w:t>4.2 Real Estate funnel</w:t>
      </w:r>
    </w:p>
    <w:p>
      <w:pPr>
        <w:pStyle w:val="ListBullet"/>
      </w:pPr>
      <w:r>
        <w:rPr>
          <w:rFonts w:ascii="Arial" w:hAnsi="Arial"/>
        </w:rPr>
        <w:t>Hook: your competitor replies faster.</w:t>
      </w:r>
    </w:p>
    <w:p>
      <w:pPr>
        <w:pStyle w:val="ListBullet"/>
      </w:pPr>
      <w:r>
        <w:rPr>
          <w:rFonts w:ascii="Arial" w:hAnsi="Arial"/>
        </w:rPr>
        <w:t>Lead magnet: 5-minute lead leak check.</w:t>
      </w:r>
    </w:p>
    <w:p>
      <w:pPr>
        <w:pStyle w:val="ListBullet"/>
      </w:pPr>
      <w:r>
        <w:rPr>
          <w:rFonts w:ascii="Arial" w:hAnsi="Arial"/>
        </w:rPr>
        <w:t>Demo: instant lead response, qualification, viewing booking, follow-up sequence.</w:t>
      </w:r>
    </w:p>
    <w:p>
      <w:pPr>
        <w:pStyle w:val="ListBullet"/>
      </w:pPr>
      <w:r>
        <w:rPr>
          <w:rFonts w:ascii="Arial" w:hAnsi="Arial"/>
        </w:rPr>
        <w:t>Close: pilot on one office or team.</w:t>
      </w:r>
    </w:p>
    <w:p>
      <w:pPr>
        <w:pStyle w:val="ListBullet"/>
      </w:pPr>
      <w:r>
        <w:rPr>
          <w:rFonts w:ascii="Arial" w:hAnsi="Arial"/>
        </w:rPr>
        <w:t>Upsell: CRM clean-up, reporting, and team training.</w:t>
      </w:r>
    </w:p>
    <w:p>
      <w:pPr>
        <w:pStyle w:val="Heading2"/>
      </w:pPr>
      <w:r>
        <w:rPr>
          <w:rFonts w:ascii="Arial" w:hAnsi="Arial"/>
        </w:rPr>
        <w:t>4.3 Tenders funnel</w:t>
      </w:r>
    </w:p>
    <w:p>
      <w:pPr>
        <w:pStyle w:val="ListBullet"/>
      </w:pPr>
      <w:r>
        <w:rPr>
          <w:rFonts w:ascii="Arial" w:hAnsi="Arial"/>
        </w:rPr>
        <w:t>Hook: missed tender = missed money.</w:t>
      </w:r>
    </w:p>
    <w:p>
      <w:pPr>
        <w:pStyle w:val="ListBullet"/>
      </w:pPr>
      <w:r>
        <w:rPr>
          <w:rFonts w:ascii="Arial" w:hAnsi="Arial"/>
        </w:rPr>
        <w:t>Lead magnet: tender miss audit.</w:t>
      </w:r>
    </w:p>
    <w:p>
      <w:pPr>
        <w:pStyle w:val="ListBullet"/>
      </w:pPr>
      <w:r>
        <w:rPr>
          <w:rFonts w:ascii="Arial" w:hAnsi="Arial"/>
        </w:rPr>
        <w:t>Demo: opportunity feed, deadline tracker, document sorting, AI-assisted draft support.</w:t>
      </w:r>
    </w:p>
    <w:p>
      <w:pPr>
        <w:pStyle w:val="ListBullet"/>
      </w:pPr>
      <w:r>
        <w:rPr>
          <w:rFonts w:ascii="Arial" w:hAnsi="Arial"/>
        </w:rPr>
        <w:t>Close: pilot for one bid desk or admin team.</w:t>
      </w:r>
    </w:p>
    <w:p>
      <w:pPr>
        <w:pStyle w:val="ListBullet"/>
      </w:pPr>
      <w:r>
        <w:rPr>
          <w:rFonts w:ascii="Arial" w:hAnsi="Arial"/>
        </w:rPr>
        <w:t>Upsell: broader workflow migration and supervision.</w:t>
      </w:r>
    </w:p>
    <w:p>
      <w:pPr>
        <w:pStyle w:val="Heading1"/>
      </w:pPr>
      <w:r>
        <w:t>5. Business plan</w:t>
      </w:r>
    </w:p>
    <w:p>
      <w:pPr>
        <w:pStyle w:val="Heading2"/>
      </w:pPr>
      <w:r>
        <w:rPr>
          <w:rFonts w:ascii="Arial" w:hAnsi="Arial"/>
        </w:rPr>
        <w:t>5.1 Positioning</w:t>
      </w:r>
    </w:p>
    <w:p>
      <w:pPr/>
      <w:r>
        <w:rPr>
          <w:rFonts w:ascii="Arial" w:hAnsi="Arial"/>
        </w:rPr>
        <w:t>Sell AI-era relevance, visible momentum, and a stronger market position. Efficiency is a feature, not the headline.</w:t>
      </w:r>
    </w:p>
    <w:p>
      <w:pPr>
        <w:pStyle w:val="Heading2"/>
      </w:pPr>
      <w:r>
        <w:rPr>
          <w:rFonts w:ascii="Arial" w:hAnsi="Arial"/>
        </w:rPr>
        <w:t>5.2 Target customer profile</w:t>
      </w:r>
    </w:p>
    <w:p>
      <w:pPr>
        <w:pStyle w:val="ListBullet"/>
      </w:pPr>
      <w:r>
        <w:rPr>
          <w:rFonts w:ascii="Arial" w:hAnsi="Arial"/>
        </w:rPr>
        <w:t>Managers who want to look ahead of the curve.</w:t>
      </w:r>
    </w:p>
    <w:p>
      <w:pPr>
        <w:pStyle w:val="ListBullet"/>
      </w:pPr>
      <w:r>
        <w:rPr>
          <w:rFonts w:ascii="Arial" w:hAnsi="Arial"/>
        </w:rPr>
        <w:t>Owners who want the business to stop looking manual.</w:t>
      </w:r>
    </w:p>
    <w:p>
      <w:pPr>
        <w:pStyle w:val="ListBullet"/>
      </w:pPr>
      <w:r>
        <w:rPr>
          <w:rFonts w:ascii="Arial" w:hAnsi="Arial"/>
        </w:rPr>
        <w:t>Teams with lead, document, and deadline pressure.</w:t>
      </w:r>
    </w:p>
    <w:p>
      <w:pPr>
        <w:pStyle w:val="ListBullet"/>
      </w:pPr>
      <w:r>
        <w:rPr>
          <w:rFonts w:ascii="Arial" w:hAnsi="Arial"/>
        </w:rPr>
        <w:t>Businesses where one missed response or missed submission costs real money.</w:t>
      </w:r>
    </w:p>
    <w:p>
      <w:pPr>
        <w:pStyle w:val="Heading2"/>
      </w:pPr>
      <w:r>
        <w:rPr>
          <w:rFonts w:ascii="Arial" w:hAnsi="Arial"/>
        </w:rPr>
        <w:t>5.3 Delivery model</w:t>
      </w:r>
    </w:p>
    <w:p>
      <w:pPr>
        <w:pStyle w:val="ListBullet"/>
      </w:pPr>
      <w:r>
        <w:rPr>
          <w:rFonts w:ascii="Arial" w:hAnsi="Arial"/>
        </w:rPr>
        <w:t>Remote-first delivery from Emalahleni, with local outreach and national service coverage.</w:t>
      </w:r>
    </w:p>
    <w:p>
      <w:pPr>
        <w:pStyle w:val="ListBullet"/>
      </w:pPr>
      <w:r>
        <w:rPr>
          <w:rFonts w:ascii="Arial" w:hAnsi="Arial"/>
        </w:rPr>
        <w:t>Standardized backend stack reused across verticals.</w:t>
      </w:r>
    </w:p>
    <w:p>
      <w:pPr>
        <w:pStyle w:val="ListBullet"/>
      </w:pPr>
      <w:r>
        <w:rPr>
          <w:rFonts w:ascii="Arial" w:hAnsi="Arial"/>
        </w:rPr>
        <w:t>Small number of repeatable modules instead of custom chaos every time.</w:t>
      </w:r>
    </w:p>
    <w:p>
      <w:pPr>
        <w:pStyle w:val="Heading2"/>
      </w:pPr>
      <w:r>
        <w:rPr>
          <w:rFonts w:ascii="Arial" w:hAnsi="Arial"/>
        </w:rPr>
        <w:t>5.4 Revenue streams</w:t>
      </w:r>
    </w:p>
    <w:p>
      <w:pPr>
        <w:pStyle w:val="ListBullet"/>
      </w:pPr>
      <w:r>
        <w:rPr>
          <w:rFonts w:ascii="Arial" w:hAnsi="Arial"/>
        </w:rPr>
        <w:t>One-off audits and strategy sessions.</w:t>
      </w:r>
    </w:p>
    <w:p>
      <w:pPr>
        <w:pStyle w:val="ListBullet"/>
      </w:pPr>
      <w:r>
        <w:rPr>
          <w:rFonts w:ascii="Arial" w:hAnsi="Arial"/>
        </w:rPr>
        <w:t>Setup and integration fees.</w:t>
      </w:r>
    </w:p>
    <w:p>
      <w:pPr>
        <w:pStyle w:val="ListBullet"/>
      </w:pPr>
      <w:r>
        <w:rPr>
          <w:rFonts w:ascii="Arial" w:hAnsi="Arial"/>
        </w:rPr>
        <w:t>Monthly software-with-a-service subscriptions.</w:t>
      </w:r>
    </w:p>
    <w:p>
      <w:pPr>
        <w:pStyle w:val="ListBullet"/>
      </w:pPr>
      <w:r>
        <w:rPr>
          <w:rFonts w:ascii="Arial" w:hAnsi="Arial"/>
        </w:rPr>
        <w:t>Managed migration retainers.</w:t>
      </w:r>
    </w:p>
    <w:p>
      <w:pPr>
        <w:pStyle w:val="ListBullet"/>
      </w:pPr>
      <w:r>
        <w:rPr>
          <w:rFonts w:ascii="Arial" w:hAnsi="Arial"/>
        </w:rPr>
        <w:t>Optional support hours and upgrades.</w:t>
      </w:r>
    </w:p>
    <w:p>
      <w:pPr>
        <w:pStyle w:val="Heading2"/>
      </w:pPr>
      <w:r>
        <w:rPr>
          <w:rFonts w:ascii="Arial" w:hAnsi="Arial"/>
        </w:rPr>
        <w:t>5.5 KPIs</w:t>
      </w:r>
    </w:p>
    <w:p>
      <w:pPr>
        <w:pStyle w:val="ListBullet"/>
      </w:pPr>
      <w:r>
        <w:rPr>
          <w:rFonts w:ascii="Arial" w:hAnsi="Arial"/>
        </w:rPr>
        <w:t>Lead response time.</w:t>
      </w:r>
    </w:p>
    <w:p>
      <w:pPr>
        <w:pStyle w:val="ListBullet"/>
      </w:pPr>
      <w:r>
        <w:rPr>
          <w:rFonts w:ascii="Arial" w:hAnsi="Arial"/>
        </w:rPr>
        <w:t>Booked calls or viewings.</w:t>
      </w:r>
    </w:p>
    <w:p>
      <w:pPr>
        <w:pStyle w:val="ListBullet"/>
      </w:pPr>
      <w:r>
        <w:rPr>
          <w:rFonts w:ascii="Arial" w:hAnsi="Arial"/>
        </w:rPr>
        <w:t>Tender opportunities captured.</w:t>
      </w:r>
    </w:p>
    <w:p>
      <w:pPr>
        <w:pStyle w:val="ListBullet"/>
      </w:pPr>
      <w:r>
        <w:rPr>
          <w:rFonts w:ascii="Arial" w:hAnsi="Arial"/>
        </w:rPr>
        <w:t>Submissions completed on time.</w:t>
      </w:r>
    </w:p>
    <w:p>
      <w:pPr>
        <w:pStyle w:val="ListBullet"/>
      </w:pPr>
      <w:r>
        <w:rPr>
          <w:rFonts w:ascii="Arial" w:hAnsi="Arial"/>
        </w:rPr>
        <w:t>Monthly recurring revenue.</w:t>
      </w:r>
    </w:p>
    <w:p>
      <w:pPr>
        <w:pStyle w:val="ListBullet"/>
      </w:pPr>
      <w:r>
        <w:rPr>
          <w:rFonts w:ascii="Arial" w:hAnsi="Arial"/>
        </w:rPr>
        <w:t>Client retention.</w:t>
      </w:r>
    </w:p>
    <w:p>
      <w:pPr>
        <w:pStyle w:val="Heading2"/>
      </w:pPr>
      <w:r>
        <w:rPr>
          <w:rFonts w:ascii="Arial" w:hAnsi="Arial"/>
        </w:rPr>
        <w:t>5.6 90-day rollout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Phase</w:t>
            </w:r>
          </w:p>
        </w:tc>
        <w:tc>
          <w:tcPr>
            <w:tcW w:type="dxa" w:w="3408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Focus</w:t>
            </w:r>
          </w:p>
        </w:tc>
        <w:tc>
          <w:tcPr>
            <w:tcW w:type="dxa" w:w="3408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Output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Days 1-30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Build the two landing pages, one lead magnet each, and the demo stack.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Two live funnels and two demo scripts.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Days 31-60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Outreach and guerrilla tests in Emalahleni and online.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First calls and first pilot opportunities.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Days 61-90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Close pilots, capture proof, refine offers and pricing.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  <w:t>Case studies and a repeatable sales motion.</w:t>
            </w:r>
          </w:p>
        </w:tc>
      </w:tr>
    </w:tbl>
    <w:p>
      <w:pPr>
        <w:pStyle w:val="Heading1"/>
      </w:pPr>
      <w:r>
        <w:t>6. PRDs</w:t>
      </w:r>
    </w:p>
    <w:p>
      <w:pPr>
        <w:pStyle w:val="Heading2"/>
      </w:pPr>
      <w:r>
        <w:rPr>
          <w:rFonts w:ascii="Arial" w:hAnsi="Arial"/>
        </w:rPr>
        <w:t>PRD 1: AI Lead Desk for Real Estate</w:t>
      </w:r>
    </w:p>
    <w:p>
      <w:pPr>
        <w:pStyle w:val="ListBullet"/>
      </w:pPr>
      <w:r>
        <w:rPr>
          <w:rFonts w:ascii="Arial" w:hAnsi="Arial"/>
        </w:rPr>
        <w:t>Purpose: turn inbound property enquiries into fast, qualified conversations and booked viewings.</w:t>
      </w:r>
    </w:p>
    <w:p>
      <w:pPr>
        <w:pStyle w:val="ListBullet"/>
      </w:pPr>
      <w:r>
        <w:rPr>
          <w:rFonts w:ascii="Arial" w:hAnsi="Arial"/>
        </w:rPr>
        <w:t>Users: agency owner, team lead, agent, admin assistant, buyer/seller.</w:t>
      </w:r>
    </w:p>
    <w:p>
      <w:pPr>
        <w:pStyle w:val="ListBullet"/>
      </w:pPr>
      <w:r>
        <w:rPr>
          <w:rFonts w:ascii="Arial" w:hAnsi="Arial"/>
        </w:rPr>
        <w:t>Core features: instant response, lead routing, status tagging, reminder follow-up, booking links, basic dashboard.</w:t>
      </w:r>
    </w:p>
    <w:p>
      <w:pPr>
        <w:pStyle w:val="ListBullet"/>
      </w:pPr>
      <w:r>
        <w:rPr>
          <w:rFonts w:ascii="Arial" w:hAnsi="Arial"/>
        </w:rPr>
        <w:t>Inputs: website forms, WhatsApp, email, call logs, manual lead entry.</w:t>
      </w:r>
    </w:p>
    <w:p>
      <w:pPr>
        <w:pStyle w:val="ListBullet"/>
      </w:pPr>
      <w:r>
        <w:rPr>
          <w:rFonts w:ascii="Arial" w:hAnsi="Arial"/>
        </w:rPr>
        <w:t>Outputs: qualified lead list, booked appointments, follow-up history, response metrics.</w:t>
      </w:r>
    </w:p>
    <w:p>
      <w:pPr>
        <w:pStyle w:val="ListBullet"/>
      </w:pPr>
      <w:r>
        <w:rPr>
          <w:rFonts w:ascii="Arial" w:hAnsi="Arial"/>
        </w:rPr>
        <w:t>MVP rule: one office, one workflow, one dashboard.</w:t>
      </w:r>
    </w:p>
    <w:p>
      <w:pPr>
        <w:pStyle w:val="Heading2"/>
      </w:pPr>
      <w:r>
        <w:rPr>
          <w:rFonts w:ascii="Arial" w:hAnsi="Arial"/>
        </w:rPr>
        <w:t>PRD 2: Tender Signal Desk</w:t>
      </w:r>
    </w:p>
    <w:p>
      <w:pPr>
        <w:pStyle w:val="ListBullet"/>
      </w:pPr>
      <w:r>
        <w:rPr>
          <w:rFonts w:ascii="Arial" w:hAnsi="Arial"/>
        </w:rPr>
        <w:t>Purpose: surface opportunities early and manage bid work without deadline drift.</w:t>
      </w:r>
    </w:p>
    <w:p>
      <w:pPr>
        <w:pStyle w:val="ListBullet"/>
      </w:pPr>
      <w:r>
        <w:rPr>
          <w:rFonts w:ascii="Arial" w:hAnsi="Arial"/>
        </w:rPr>
        <w:t>Users: owner, bid manager, admin, technical lead.</w:t>
      </w:r>
    </w:p>
    <w:p>
      <w:pPr>
        <w:pStyle w:val="ListBullet"/>
      </w:pPr>
      <w:r>
        <w:rPr>
          <w:rFonts w:ascii="Arial" w:hAnsi="Arial"/>
        </w:rPr>
        <w:t>Core features: opportunity feed, deadline tracker, document checklist, draft assistance, approval flow, submission log.</w:t>
      </w:r>
    </w:p>
    <w:p>
      <w:pPr>
        <w:pStyle w:val="ListBullet"/>
      </w:pPr>
      <w:r>
        <w:rPr>
          <w:rFonts w:ascii="Arial" w:hAnsi="Arial"/>
        </w:rPr>
        <w:t>Inputs: public tender sources, internal files, email alerts, uploads.</w:t>
      </w:r>
    </w:p>
    <w:p>
      <w:pPr>
        <w:pStyle w:val="ListBullet"/>
      </w:pPr>
      <w:r>
        <w:rPr>
          <w:rFonts w:ascii="Arial" w:hAnsi="Arial"/>
        </w:rPr>
        <w:t>Outputs: shortlist of opportunities, task list, submission status, deadline alerts.</w:t>
      </w:r>
    </w:p>
    <w:p>
      <w:pPr>
        <w:pStyle w:val="ListBullet"/>
      </w:pPr>
      <w:r>
        <w:rPr>
          <w:rFonts w:ascii="Arial" w:hAnsi="Arial"/>
        </w:rPr>
        <w:t>MVP rule: one opportunity feed and one submission workflow.</w:t>
      </w:r>
    </w:p>
    <w:p>
      <w:pPr>
        <w:pStyle w:val="Heading2"/>
      </w:pPr>
      <w:r>
        <w:rPr>
          <w:rFonts w:ascii="Arial" w:hAnsi="Arial"/>
        </w:rPr>
        <w:t>PRD 3: AI Native Command Center</w:t>
      </w:r>
    </w:p>
    <w:p>
      <w:pPr>
        <w:pStyle w:val="ListBullet"/>
      </w:pPr>
      <w:r>
        <w:rPr>
          <w:rFonts w:ascii="Arial" w:hAnsi="Arial"/>
        </w:rPr>
        <w:t>Purpose: a shared backend view for both verticals.</w:t>
      </w:r>
    </w:p>
    <w:p>
      <w:pPr>
        <w:pStyle w:val="ListBullet"/>
      </w:pPr>
      <w:r>
        <w:rPr>
          <w:rFonts w:ascii="Arial" w:hAnsi="Arial"/>
        </w:rPr>
        <w:t>Core features: user roles, metrics dashboard, prompt library, automation status, client health view.</w:t>
      </w:r>
    </w:p>
    <w:p>
      <w:pPr>
        <w:pStyle w:val="ListBullet"/>
      </w:pPr>
      <w:r>
        <w:rPr>
          <w:rFonts w:ascii="Arial" w:hAnsi="Arial"/>
        </w:rPr>
        <w:t>Value: one operating layer reused across all future verticals.</w:t>
      </w:r>
    </w:p>
    <w:p>
      <w:pPr>
        <w:pStyle w:val="Heading1"/>
      </w:pPr>
      <w:r>
        <w:t>7. Software-with-a-Service offerings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Product</w:t>
            </w:r>
          </w:p>
        </w:tc>
        <w:tc>
          <w:tcPr>
            <w:tcW w:type="dxa" w:w="2556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What client gets</w:t>
            </w:r>
          </w:p>
        </w:tc>
        <w:tc>
          <w:tcPr>
            <w:tcW w:type="dxa" w:w="2556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Service layer</w:t>
            </w:r>
          </w:p>
        </w:tc>
        <w:tc>
          <w:tcPr>
            <w:tcW w:type="dxa" w:w="2556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Best buyer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Real Estate AI Lead Desk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Lead response, routing, booking, follow-up, dashboard.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Setup, tuning, staff onboarding, monthly support.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Agency owner or office manager.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Tender Signal Desk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Opportunity capture, deadline tracking, document workflow, draft support.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Setup, source mapping, onboarding, monthly support.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Bid manager or director.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AI Native Command Center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Shared control panel for reporting and workflow visibility.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Admin, reporting, updates, and optimization.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Multi-vertical clients.</w:t>
            </w:r>
          </w:p>
        </w:tc>
      </w:tr>
    </w:tbl>
    <w:p>
      <w:pPr>
        <w:pStyle w:val="Heading1"/>
      </w:pPr>
      <w:r>
        <w:t>8. Package pricing</w:t>
      </w:r>
    </w:p>
    <w:p>
      <w:pPr/>
      <w:r>
        <w:rPr>
          <w:rFonts w:ascii="Arial" w:hAnsi="Arial"/>
          <w:i/>
        </w:rPr>
        <w:t>Prices below are draft launch prices in ZAR and can be adjusted by company size and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Package</w:t>
            </w:r>
          </w:p>
        </w:tc>
        <w:tc>
          <w:tcPr>
            <w:tcW w:type="dxa" w:w="2045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Includes</w:t>
            </w:r>
          </w:p>
        </w:tc>
        <w:tc>
          <w:tcPr>
            <w:tcW w:type="dxa" w:w="2045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Setup fee</w:t>
            </w:r>
          </w:p>
        </w:tc>
        <w:tc>
          <w:tcPr>
            <w:tcW w:type="dxa" w:w="2045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Monthly</w:t>
            </w:r>
          </w:p>
        </w:tc>
        <w:tc>
          <w:tcPr>
            <w:tcW w:type="dxa" w:w="2045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Notes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Consultation - Starter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Audit, roadmap, 1 strategy call, action list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R4,500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For early-stage buyers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Consultation - Pro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Audit, roadmap, process map, implementation plan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R9,500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For serious operators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Integration - Starter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Basic funnel, automations, onboarding, handoff docs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R12,500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R3,500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One office or one team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Integration - Growth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Expanded workflows, dashboard, staff training, support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R25,000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R6,500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Most common entry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Migration - Managed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Full rollout, supervisor support, ongoing optimization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R45,000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R12,500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For full adoption</w:t>
            </w:r>
          </w:p>
        </w:tc>
      </w:tr>
      <w:tr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Software-with-a-Service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Platform access + managed support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R7,500 to R15,000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R4,500 to R9,500</w:t>
            </w:r>
          </w:p>
        </w:tc>
        <w:tc>
          <w:tcPr>
            <w:tcW w:type="dxa" w:w="2045"/>
            <w:vAlign w:val="top"/>
          </w:tcPr>
          <w:p>
            <w:r>
              <w:rPr>
                <w:rFonts w:ascii="Arial" w:hAnsi="Arial"/>
                <w:sz w:val="18"/>
              </w:rPr>
              <w:t>Use per vertical</w:t>
            </w:r>
          </w:p>
        </w:tc>
      </w:tr>
    </w:tbl>
    <w:p>
      <w:pPr>
        <w:pStyle w:val="Heading1"/>
      </w:pPr>
      <w:r>
        <w:t>9. Specific potential targets</w:t>
      </w:r>
    </w:p>
    <w:p>
      <w:pPr>
        <w:pStyle w:val="Heading2"/>
      </w:pPr>
      <w:r>
        <w:rPr>
          <w:rFonts w:ascii="Arial" w:hAnsi="Arial"/>
        </w:rPr>
        <w:t>9.1 Real Estate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Target</w:t>
            </w:r>
          </w:p>
        </w:tc>
        <w:tc>
          <w:tcPr>
            <w:tcW w:type="dxa" w:w="2556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Why target them</w:t>
            </w:r>
          </w:p>
        </w:tc>
        <w:tc>
          <w:tcPr>
            <w:tcW w:type="dxa" w:w="2556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Angle</w:t>
            </w:r>
          </w:p>
        </w:tc>
        <w:tc>
          <w:tcPr>
            <w:tcW w:type="dxa" w:w="2556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Source note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Pam Golding Properties - eMalahleni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Local office presence and established brand.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AI lead desk and faster follow-up.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eMalahleni office listed by Pam Golding.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RE/MAX Legend (Witbank)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Active office with visible inventory.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Speed-to-lead and booking automation.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RE/MAX office listing.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Chas Everitt Witbank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Large listing footprint in the area.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Lead handling and team workflow.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Property24 office listing.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RealNet Witbank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Active local office with many listings.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Automated lead routing.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Property24 office listing.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Rawson Properties Witbank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Visible local presence.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Modern client response system.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Property24 office listing.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Direct Sell / Dynamic Property Group / Blue Dot Property Mpumalanga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Smaller teams often feel the pain faster.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Lightweight but high-impact AI rollout.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Property24 and LinkedIn listings.</w:t>
            </w:r>
          </w:p>
        </w:tc>
      </w:tr>
    </w:tbl>
    <w:p>
      <w:pPr>
        <w:pStyle w:val="Heading2"/>
      </w:pPr>
      <w:r>
        <w:rPr>
          <w:rFonts w:ascii="Arial" w:hAnsi="Arial"/>
        </w:rPr>
        <w:t>9.2 Tender and project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Target</w:t>
            </w:r>
          </w:p>
        </w:tc>
        <w:tc>
          <w:tcPr>
            <w:tcW w:type="dxa" w:w="2556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Why target them</w:t>
            </w:r>
          </w:p>
        </w:tc>
        <w:tc>
          <w:tcPr>
            <w:tcW w:type="dxa" w:w="2556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Angle</w:t>
            </w:r>
          </w:p>
        </w:tc>
        <w:tc>
          <w:tcPr>
            <w:tcW w:type="dxa" w:w="2556"/>
            <w:vAlign w:val="top"/>
            <w:shd w:fill="D9EAF7"/>
          </w:tcPr>
          <w:p>
            <w:r>
              <w:rPr>
                <w:rFonts w:ascii="Arial" w:hAnsi="Arial"/>
                <w:b/>
                <w:sz w:val="19"/>
              </w:rPr>
              <w:t>Source note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Jakalas Construction and Engineering Services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Emalahleni-based engineering services company.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Tender discovery and document workflow.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Company site.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Lap Silence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Construction, engineering, project management in Emalahleni.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AI bid support and deadline control.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Company site.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Giro Engineering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Structural and mechanical design specialist in Emalahleni.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Opportunity tracking and bid prep.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Company site.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Eduardo Construction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Local construction company with a strong operating base.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Project/tender admin support.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Company site.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EDWIN Construction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Multi-disciplinary construction company with national profile.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Bid workflow and manager visibility.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Company site.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Zamani Engineering Services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Engineering, contracting, and construction services company.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Tender machine and document control.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8"/>
              </w:rPr>
              <w:t>Company site.</w:t>
            </w:r>
          </w:p>
        </w:tc>
      </w:tr>
    </w:tbl>
    <w:p>
      <w:pPr>
        <w:pStyle w:val="Heading1"/>
      </w:pPr>
      <w:r>
        <w:t>10. Guerrilla marketing plays</w:t>
      </w:r>
    </w:p>
    <w:p>
      <w:pPr>
        <w:pStyle w:val="ListBullet"/>
      </w:pPr>
      <w:r>
        <w:rPr>
          <w:rFonts w:ascii="Arial" w:hAnsi="Arial"/>
        </w:rPr>
        <w:t>One-line posters with a hard question: Are you AI-native yet?</w:t>
      </w:r>
    </w:p>
    <w:p>
      <w:pPr>
        <w:pStyle w:val="ListBullet"/>
      </w:pPr>
      <w:r>
        <w:rPr>
          <w:rFonts w:ascii="Arial" w:hAnsi="Arial"/>
        </w:rPr>
        <w:t>Flyers with a QR code to the lead leak audit or tender miss audit.</w:t>
      </w:r>
    </w:p>
    <w:p>
      <w:pPr>
        <w:pStyle w:val="ListBullet"/>
      </w:pPr>
      <w:r>
        <w:rPr>
          <w:rFonts w:ascii="Arial" w:hAnsi="Arial"/>
        </w:rPr>
        <w:t>WhatsApp status clips with a hard visual and one sentence.</w:t>
      </w:r>
    </w:p>
    <w:p>
      <w:pPr>
        <w:pStyle w:val="ListBullet"/>
      </w:pPr>
      <w:r>
        <w:rPr>
          <w:rFonts w:ascii="Arial" w:hAnsi="Arial"/>
        </w:rPr>
        <w:t>LinkedIn posts calling out the pain directly, not soft thought leadership.</w:t>
      </w:r>
    </w:p>
    <w:p>
      <w:pPr>
        <w:pStyle w:val="ListBullet"/>
      </w:pPr>
      <w:r>
        <w:rPr>
          <w:rFonts w:ascii="Arial" w:hAnsi="Arial"/>
        </w:rPr>
        <w:t>A free public scorecard for AI readiness or lead-response speed.</w:t>
      </w:r>
    </w:p>
    <w:p>
      <w:pPr>
        <w:pStyle w:val="ListBullet"/>
      </w:pPr>
      <w:r>
        <w:rPr>
          <w:rFonts w:ascii="Arial" w:hAnsi="Arial"/>
        </w:rPr>
        <w:t>Short live teardown sessions of real estate lead flow or tender workflow.</w:t>
      </w:r>
    </w:p>
    <w:p>
      <w:pPr>
        <w:pStyle w:val="Heading1"/>
      </w:pPr>
      <w:r>
        <w:t>11. Research basis used for the strategy</w:t>
      </w:r>
    </w:p>
    <w:p>
      <w:pPr>
        <w:pStyle w:val="ListBullet"/>
      </w:pPr>
      <w:r>
        <w:rPr>
          <w:rFonts w:ascii="Arial" w:hAnsi="Arial"/>
        </w:rPr>
        <w:t>Guerrilla marketing works best when it is unexpected, low-cost, and memorable.</w:t>
      </w:r>
    </w:p>
    <w:p>
      <w:pPr>
        <w:pStyle w:val="ListBullet"/>
      </w:pPr>
      <w:r>
        <w:rPr>
          <w:rFonts w:ascii="Arial" w:hAnsi="Arial"/>
        </w:rPr>
        <w:t>AI adoption pressure is increasing, and firms with visible AI strategies are seeing stronger revenue outcomes.</w:t>
      </w:r>
    </w:p>
    <w:p>
      <w:pPr>
        <w:pStyle w:val="ListBullet"/>
      </w:pPr>
      <w:r>
        <w:rPr>
          <w:rFonts w:ascii="Arial" w:hAnsi="Arial"/>
        </w:rPr>
        <w:t>Local target mapping used current directory and company pages for Emalahleni/Witbank real estate and construction/tender-style businesses.</w:t>
      </w:r>
    </w:p>
    <w:p>
      <w:pPr/>
      <w:r>
        <w:rPr>
          <w:rFonts w:ascii="Arial" w:hAnsi="Arial"/>
          <w:i/>
        </w:rPr>
        <w:t>This is a working document. Pricing, target list, and messaging should be updated after first conversations and first pilot deals.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Page </w:t>
    </w:r>
    <w:r>
      <w:rPr>
        <w:rFonts w:ascii="Arial" w:hAnsi="Arial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sz w:val="16"/>
      </w:rPr>
      <w:t>AI Native Studio | Real Estate + Tenders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