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B3A57"/>
          <w:sz w:val="52"/>
        </w:rPr>
        <w:t>Weekly Team Status Report</w:t>
      </w:r>
    </w:p>
    <w:p>
      <w:pPr>
        <w:spacing w:after="280"/>
        <w:jc w:val="center"/>
      </w:pPr>
      <w:r>
        <w:rPr>
          <w:b/>
          <w:i w:val="0"/>
          <w:color w:val="2E6E9E"/>
          <w:sz w:val="26"/>
        </w:rPr>
        <w:t>Including Team Retrospective</w:t>
      </w:r>
    </w:p>
    <w:p>
      <w:pPr>
        <w:spacing w:after="40"/>
        <w:jc w:val="center"/>
      </w:pPr>
      <w:r>
        <w:rPr>
          <w:b w:val="0"/>
          <w:i w:val="0"/>
          <w:color w:val="1F868C"/>
          <w:sz w:val="26"/>
        </w:rPr>
        <w:t>VitalIQ — AI-Powered Personal Health Intelligence Platform</w:t>
      </w:r>
    </w:p>
    <w:p>
      <w:pPr>
        <w:spacing w:after="40"/>
        <w:jc w:val="center"/>
      </w:pPr>
      <w:r>
        <w:rPr>
          <w:b w:val="0"/>
          <w:i w:val="0"/>
          <w:sz w:val="22"/>
        </w:rPr>
        <w:t>Team BTJ  ·  Brandon Galli  ·  Jarod Atienzo  ·  Thaigo Amaro Da Silva</w:t>
      </w:r>
    </w:p>
    <w:p>
      <w:pPr>
        <w:spacing w:after="40"/>
        <w:jc w:val="center"/>
      </w:pPr>
      <w:r>
        <w:rPr>
          <w:b w:val="0"/>
          <w:i/>
          <w:color w:val="445566"/>
          <w:sz w:val="22"/>
        </w:rPr>
        <w:t>Milestone: GP4 — Architectural Consolidation  ·  Week of Jun 3, 2026</w:t>
      </w:r>
    </w:p>
    <w:p>
      <w:pPr>
        <w:jc w:val="center"/>
      </w:pPr>
      <w:r>
        <w:rPr>
          <w:b w:val="0"/>
          <w:i w:val="0"/>
          <w:color w:val="2E6E9E"/>
          <w:sz w:val="22"/>
        </w:rPr>
        <w:t>GitHub: https://github.com/Callmejarod/VitalIQ-AI-Health-App</w:t>
      </w:r>
    </w:p>
    <w:p/>
    <w:p>
      <w:pPr>
        <w:pStyle w:val="Heading1"/>
      </w:pPr>
      <w:r>
        <w:t>1. Milestone Summary</w:t>
      </w:r>
    </w:p>
    <w:p>
      <w:r>
        <w:rPr>
          <w:b w:val="0"/>
          <w:i w:val="0"/>
          <w:sz w:val="22"/>
        </w:rPr>
        <w:t>This week's milestone was a structural / architectural-design checkpoint. The goal was to consolidate the MVVM architectural spine and design how the existing Room-based Repository will evolve to support an external API as a second data source — without writing networking code and without breaking architectural boundaries. All planned deliverables were completed and incorporated into the cumulative SRS.</w:t>
      </w:r>
    </w:p>
    <w:p>
      <w:pPr>
        <w:pStyle w:val="Heading1"/>
      </w:pPr>
      <w:r>
        <w:t>2. Deliverable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472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2304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728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9"/>
              </w:rPr>
              <w:t>Repository Evolution Plan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9"/>
              </w:rPr>
              <w:t>Brandon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API Contract Specification</w:t>
            </w:r>
          </w:p>
        </w:tc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Jarod</w:t>
            </w:r>
          </w:p>
        </w:tc>
        <w:tc>
          <w:tcPr>
            <w:tcW w:type="dxa" w:w="1728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9"/>
              </w:rPr>
              <w:t>DTO + Mapping Plan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9"/>
              </w:rPr>
              <w:t>Thaigo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Thread Boundary Plan + coroutine write-up</w:t>
            </w:r>
          </w:p>
        </w:tc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Brandon</w:t>
            </w:r>
          </w:p>
        </w:tc>
        <w:tc>
          <w:tcPr>
            <w:tcW w:type="dxa" w:w="1728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 Activity Diagram (Main vs IO, dual source)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9"/>
              </w:rPr>
              <w:t>Thaigo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Updated Sequence Diagram (dual source, scope/thread bands)</w:t>
            </w:r>
          </w:p>
        </w:tc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Jarod</w:t>
            </w:r>
          </w:p>
        </w:tc>
        <w:tc>
          <w:tcPr>
            <w:tcW w:type="dxa" w:w="1728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9"/>
              </w:rPr>
              <w:t>State Machine Diagram (carried + refined)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9"/>
              </w:rPr>
              <w:t>Thaigo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Architectural Risk Statement</w:t>
            </w:r>
          </w:p>
        </w:tc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Jarod</w:t>
            </w:r>
          </w:p>
        </w:tc>
        <w:tc>
          <w:tcPr>
            <w:tcW w:type="dxa" w:w="1728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rFonts w:ascii="Calibri" w:hAnsi="Calibri"/>
                <w:b w:val="0"/>
                <w:sz w:val="19"/>
              </w:rPr>
              <w:t>Cumulative SRS assembly + instructor-feedback corrections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9"/>
              </w:rPr>
              <w:t>Brandon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  <w:tr>
        <w:tc>
          <w:tcPr>
            <w:tcW w:type="dxa" w:w="5472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Prior-week continuity (GP1–GP3, Week 4)</w:t>
            </w:r>
          </w:p>
        </w:tc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All</w:t>
            </w:r>
          </w:p>
        </w:tc>
        <w:tc>
          <w:tcPr>
            <w:tcW w:type="dxa" w:w="1728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Complete</w:t>
            </w:r>
          </w:p>
        </w:tc>
      </w:tr>
    </w:tbl>
    <w:p/>
    <w:p>
      <w:pPr>
        <w:pStyle w:val="Heading1"/>
      </w:pPr>
      <w:r>
        <w:t>3. Individual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864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Contributions This Week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9"/>
              </w:rPr>
              <w:t>Brandon Galli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b w:val="0"/>
                <w:sz w:val="19"/>
              </w:rPr>
              <w:t>Authored the Repository Evolution Plan and Thread Boundary Plan; wrote the coroutine-foundations section; assembled the cumulative SRS and applied instructor-feedback corrections.</w:t>
            </w:r>
          </w:p>
        </w:tc>
      </w:tr>
      <w:tr>
        <w:tc>
          <w:tcPr>
            <w:tcW w:type="dxa" w:w="2304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Jarod Atienzo</w:t>
            </w:r>
          </w:p>
        </w:tc>
        <w:tc>
          <w:tcPr>
            <w:tcW w:type="dxa" w:w="8640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Authored the API Contract Specification from the backend endpoints; produced the updated sequence diagram; wrote the Architectural Risk Statement; maintained the GitHub repo and project board.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sz w:val="19"/>
              </w:rPr>
              <w:t>Thaigo Amaro Da Silva</w:t>
            </w:r>
          </w:p>
        </w:tc>
        <w:tc>
          <w:tcPr>
            <w:tcW w:type="dxa" w:w="8640"/>
          </w:tcPr>
          <w:p>
            <w:r/>
            <w:r>
              <w:rPr>
                <w:rFonts w:ascii="Calibri" w:hAnsi="Calibri"/>
                <w:b w:val="0"/>
                <w:sz w:val="19"/>
              </w:rPr>
              <w:t>Authored the DTO + Mapping Plan; produced the updated activity diagram with Main/IO swimlanes and refined the state machine; reviewed layer-boundary compliance.</w:t>
            </w:r>
          </w:p>
        </w:tc>
      </w:tr>
    </w:tbl>
    <w:p/>
    <w:p>
      <w:pPr>
        <w:pStyle w:val="Heading1"/>
      </w:pPr>
      <w:r>
        <w:t>4. GitHub Project Board</w:t>
      </w:r>
    </w:p>
    <w:p>
      <w:r>
        <w:rPr>
          <w:b w:val="0"/>
          <w:i w:val="0"/>
          <w:sz w:val="22"/>
        </w:rPr>
        <w:t>Project execution is tracked on the team GitHub Project board. This week's cards moved from “To Do” through “In Progress” to “Done” for each design deliverable; the API-contract and Repository-evolution cards were linked to the SRS sections they produced.</w:t>
      </w:r>
    </w:p>
    <w:p>
      <w:pPr>
        <w:pStyle w:val="ListBullet"/>
        <w:spacing w:after="40"/>
        <w:ind w:left="432"/>
      </w:pPr>
      <w:r>
        <w:t>Backlog refined with next-phase cards: Retrofit client setup, DTO classes, mapper implementation, Room CachedInsight entity + migration.</w:t>
      </w:r>
    </w:p>
    <w:p>
      <w:pPr>
        <w:pStyle w:val="ListBullet"/>
        <w:spacing w:after="40"/>
        <w:ind w:left="432"/>
      </w:pPr>
      <w:r>
        <w:t>No code-bearing cards were closed this week by design (architectural checkpoint only).</w:t>
      </w:r>
    </w:p>
    <w:p>
      <w:r>
        <w:br w:type="page"/>
      </w:r>
    </w:p>
    <w:p>
      <w:pPr>
        <w:pStyle w:val="Heading1"/>
      </w:pPr>
      <w:r>
        <w:t>5. Team Retrospective</w:t>
      </w:r>
    </w:p>
    <w:p>
      <w:pPr>
        <w:pStyle w:val="Heading2"/>
      </w:pPr>
      <w:r>
        <w:t>5.1 What Worked</w:t>
      </w:r>
    </w:p>
    <w:p>
      <w:pPr>
        <w:pStyle w:val="ListBullet"/>
        <w:spacing w:after="40"/>
        <w:ind w:left="432"/>
      </w:pPr>
      <w:r>
        <w:t>Designing the Repository contract before any networking code clarified exactly which functions are local-only, remote-only, or cache-then-network. The branching-logic example removed ambiguity about where decisions live.</w:t>
      </w:r>
    </w:p>
    <w:p>
      <w:pPr>
        <w:pStyle w:val="ListBullet"/>
        <w:spacing w:after="40"/>
        <w:ind w:left="432"/>
      </w:pPr>
      <w:r>
        <w:t>Keeping three separate model families (DTO / Domain / Entity) on paper made the mapping responsibilities obvious and prevented the team from “just reusing the DTO everywhere.”</w:t>
      </w:r>
    </w:p>
    <w:p>
      <w:pPr>
        <w:pStyle w:val="ListBullet"/>
        <w:spacing w:after="40"/>
        <w:ind w:left="432"/>
      </w:pPr>
      <w:r>
        <w:t>Drawing the Main→IO→Main bands on the sequence diagram made the thread-boundary plan concrete and caught two places where we had informally assumed mapping happened on Main.</w:t>
      </w:r>
    </w:p>
    <w:p>
      <w:pPr>
        <w:pStyle w:val="ListBullet"/>
        <w:spacing w:after="40"/>
        <w:ind w:left="432"/>
      </w:pPr>
      <w:r>
        <w:t>Splitting deliverables by member with a shared SRS outline avoided merge friction.</w:t>
      </w:r>
    </w:p>
    <w:p>
      <w:pPr>
        <w:pStyle w:val="Heading2"/>
      </w:pPr>
      <w:r>
        <w:t>5.2 What Didn't Work</w:t>
      </w:r>
    </w:p>
    <w:p>
      <w:pPr>
        <w:pStyle w:val="ListBullet"/>
        <w:spacing w:after="40"/>
        <w:ind w:left="432"/>
      </w:pPr>
      <w:r>
        <w:t>Our first activity diagram tried to put both the cache-read and API-call branches on the same row, which overlapped and was unreadable.</w:t>
      </w:r>
    </w:p>
    <w:p>
      <w:pPr>
        <w:pStyle w:val="ListBullet"/>
        <w:spacing w:after="40"/>
        <w:ind w:left="432"/>
      </w:pPr>
      <w:r>
        <w:t>We initially under-specified the error contract, so the risk statement had no concrete failure-handling story to point at.</w:t>
      </w:r>
    </w:p>
    <w:p>
      <w:pPr>
        <w:pStyle w:val="ListBullet"/>
        <w:spacing w:after="40"/>
        <w:ind w:left="432"/>
      </w:pPr>
      <w:r>
        <w:t>Early drafts let mapping drift toward the ViewModel in discussion, which would have violated the layer rules.</w:t>
      </w:r>
    </w:p>
    <w:p>
      <w:pPr>
        <w:pStyle w:val="Heading2"/>
      </w:pPr>
      <w:r>
        <w:t>5.3 How We Fixed What Didn't Work</w:t>
      </w:r>
    </w:p>
    <w:p>
      <w:pPr>
        <w:pStyle w:val="ListBullet"/>
        <w:spacing w:after="40"/>
        <w:ind w:left="432"/>
      </w:pPr>
      <w:r>
        <w:t>Re-laid out the activity diagram so each branch occupies its own row and merges before the Flow emission; thread-crossing edges are colored to read at a glance.</w:t>
      </w:r>
    </w:p>
    <w:p>
      <w:pPr>
        <w:pStyle w:val="ListBullet"/>
        <w:spacing w:after="40"/>
        <w:ind w:left="432"/>
      </w:pPr>
      <w:r>
        <w:t>Added a dedicated Error Response Format (§16.4) with a status→code→handling table, which the concurrency/resilience risks now reference directly.</w:t>
      </w:r>
    </w:p>
    <w:p>
      <w:pPr>
        <w:pStyle w:val="ListBullet"/>
        <w:spacing w:after="40"/>
        <w:ind w:left="432"/>
      </w:pPr>
      <w:r>
        <w:t>Wrote the explicit rule that mapping lives only in the Repository (§17.3) and added it to the structural-risk mitigations, then code-reviewed the contract against the Layer Boundary Rules.</w:t>
      </w:r>
    </w:p>
    <w:p>
      <w:pPr>
        <w:pStyle w:val="Heading2"/>
      </w:pPr>
      <w:r>
        <w:t>5.4 Lessons Learned (to apply next time)</w:t>
      </w:r>
    </w:p>
    <w:p>
      <w:pPr>
        <w:pStyle w:val="ListBullet"/>
        <w:spacing w:after="40"/>
        <w:ind w:left="432"/>
      </w:pPr>
      <w:r>
        <w:t>Define the API error envelope at the same time as the success schema — resilience design depends on it.</w:t>
      </w:r>
    </w:p>
    <w:p>
      <w:pPr>
        <w:pStyle w:val="ListBullet"/>
        <w:spacing w:after="40"/>
        <w:ind w:left="432"/>
      </w:pPr>
      <w:r>
        <w:t>Decide the dispatcher for every unit of work (including mapping) up front, and annotate it on the diagram rather than leaving it implicit.</w:t>
      </w:r>
    </w:p>
    <w:p>
      <w:pPr>
        <w:pStyle w:val="ListBullet"/>
        <w:spacing w:after="40"/>
        <w:ind w:left="432"/>
      </w:pPr>
      <w:r>
        <w:t>Lay out diagram swimlanes with one activity per row from the start; it mirrors the “one activity per step” pseudocode rule and avoids rework.</w:t>
      </w:r>
    </w:p>
    <w:p>
      <w:pPr>
        <w:pStyle w:val="ListBullet"/>
        <w:spacing w:after="40"/>
        <w:ind w:left="432"/>
      </w:pPr>
      <w:r>
        <w:t>Lock the Repository's public surface to domain types early so no later code accidentally leaks DTOs or entities upward.</w:t>
      </w:r>
    </w:p>
    <w:p>
      <w:pPr>
        <w:pStyle w:val="Heading1"/>
      </w:pPr>
      <w:r>
        <w:t>6. Risks &amp; Blockers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184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144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4320"/>
            <w:shd w:val="clear" w:fill="1B3A57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9"/>
              </w:rPr>
              <w:t>Backend JSON contract may still change before implementation.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9"/>
              </w:rPr>
              <w:t>Nullable DTO fields + lenient parsing absorb additive changes; mapper isolates breaking ones.</w:t>
            </w:r>
          </w:p>
        </w:tc>
      </w:tr>
      <w:tr>
        <w:tc>
          <w:tcPr>
            <w:tcW w:type="dxa" w:w="5184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Emulator step-counter limitations for sensor testing.</w:t>
            </w:r>
          </w:p>
        </w:tc>
        <w:tc>
          <w:tcPr>
            <w:tcW w:type="dxa" w:w="1440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4320"/>
            <w:shd w:val="clear" w:fill="EAF2F8"/>
          </w:tcPr>
          <w:p>
            <w:r/>
            <w:r>
              <w:rPr>
                <w:rFonts w:ascii="Calibri" w:hAnsi="Calibri"/>
                <w:b w:val="0"/>
                <w:sz w:val="19"/>
              </w:rPr>
              <w:t>Accelerometer-derived step estimation fallback (already in scope).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sz w:val="19"/>
              </w:rPr>
              <w:t>No blockers requiring instructor action this week.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7. Plan for Next Milestone</w:t>
      </w:r>
    </w:p>
    <w:p>
      <w:pPr>
        <w:pStyle w:val="ListBullet"/>
        <w:spacing w:after="40"/>
        <w:ind w:left="432"/>
      </w:pPr>
      <w:r>
        <w:t>Implement the Retrofit client and ApiService against the documented contract.</w:t>
      </w:r>
    </w:p>
    <w:p>
      <w:pPr>
        <w:pStyle w:val="ListBullet"/>
        <w:spacing w:after="40"/>
        <w:ind w:left="432"/>
      </w:pPr>
      <w:r>
        <w:t>Add the CachedInsight Room entity, InsightDao, and a versioned migration.</w:t>
      </w:r>
    </w:p>
    <w:p>
      <w:pPr>
        <w:pStyle w:val="ListBullet"/>
        <w:spacing w:after="40"/>
        <w:ind w:left="432"/>
      </w:pPr>
      <w:r>
        <w:t>Implement DTO/Domain/Entity mappers exactly as specified in §17.</w:t>
      </w:r>
    </w:p>
    <w:p>
      <w:pPr>
        <w:pStyle w:val="ListBullet"/>
        <w:spacing w:after="40"/>
        <w:ind w:left="432"/>
      </w:pPr>
      <w:r>
        <w:t>Wire refreshInsights() write-through caching and verify Main→IO→Main boundaries at runtime.</w:t>
      </w:r>
    </w:p>
    <w:p>
      <w:pPr>
        <w:pStyle w:val="ListBullet"/>
        <w:spacing w:after="40"/>
        <w:ind w:left="432"/>
      </w:pPr>
      <w:r>
        <w:t>Validate graceful offline fallback against the error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EAF2F8"/>
          </w:tcPr>
          <w:p>
            <w:r/>
            <w:r>
              <w:rPr>
                <w:rFonts w:ascii="Calibri" w:hAnsi="Calibri"/>
                <w:b w:val="0"/>
                <w:color w:val="1B3A57"/>
                <w:sz w:val="21"/>
              </w:rPr>
              <w:t>Summary: GP4 deliverables are complete and merged into the cumulative SRS. The architecture is consolidated and ready for API implementation in the next phase with minimal expected refactor cost.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6E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868C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