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F4C2" w:val="clear"/>
        <w:spacing w:after="240"/>
        <w:jc w:val="center"/>
      </w:pPr>
      <w:r>
        <w:rPr>
          <w:rFonts w:ascii="Arial" w:cs="Arial" w:eastAsia="Arial" w:hAnsi="Arial"/>
          <w:b/>
          <w:bCs/>
          <w:color w:val="8A5A00"/>
          <w:sz w:val="22"/>
          <w:szCs w:val="22"/>
        </w:rPr>
        <w:t xml:space="preserve">PREVIEW: built from Claude's suggestions, not author decisions. Not for release.</w:t>
      </w:r>
    </w:p>
    <w:p>
      <w:pPr>
        <w:pStyle w:val="Title"/>
        <w:jc w:val="center"/>
      </w:pPr>
      <w:r>
        <w:rPr>
          <w:rFonts w:ascii="Arial" w:cs="Arial" w:eastAsia="Arial" w:hAnsi="Arial"/>
        </w:rPr>
        <w:t xml:space="preserve">irAE-Map</w:t>
      </w:r>
    </w:p>
    <w:p>
      <w:pPr>
        <w:spacing w:after="120"/>
        <w:jc w:val="center"/>
        <w:rPr>
          <w:sz w:val="28"/>
          <w:szCs w:val="28"/>
        </w:rPr>
      </w:pPr>
      <w:r>
        <w:rPr>
          <w:rFonts w:ascii="Arial" w:cs="Arial" w:eastAsia="Arial" w:hAnsi="Arial"/>
          <w:sz w:val="28"/>
          <w:szCs w:val="28"/>
        </w:rPr>
        <w:t xml:space="preserve">Codebook and mapping rationale, version 1.0.0</w:t>
      </w:r>
    </w:p>
    <w:p>
      <w:pPr>
        <w:spacing w:after="120"/>
        <w:jc w:val="center"/>
        <w:rPr>
          <w:i/>
          <w:iCs/>
        </w:rPr>
      </w:pPr>
      <w:r>
        <w:rPr>
          <w:rFonts w:ascii="Arial" w:cs="Arial" w:eastAsia="Arial" w:hAnsi="Arial"/>
          <w:i/>
          <w:iCs/>
          <w:sz w:val="22"/>
          <w:szCs w:val="22"/>
        </w:rPr>
        <w:t xml:space="preserve">A clinician-curated crosswalk of immune-related adverse events of immune checkpoint inhibitor therapy to CTCAE v6.0, ICD-10-CM FY2027, and FDA Adverse Event Reporting System reaction terms</w:t>
      </w:r>
    </w:p>
    <w:p>
      <w:pPr>
        <w:spacing w:after="120"/>
        <w:jc w:val="center"/>
        <w:rPr>
          <w:b/>
          <w:bCs/>
        </w:rPr>
      </w:pPr>
      <w:r>
        <w:rPr>
          <w:rFonts w:ascii="Arial" w:cs="Arial" w:eastAsia="Arial" w:hAnsi="Arial"/>
          <w:b/>
          <w:bCs/>
          <w:sz w:val="22"/>
          <w:szCs w:val="22"/>
        </w:rPr>
        <w:t xml:space="preserve">[VERIFY: name exactly as it should appear]</w:t>
      </w:r>
    </w:p>
    <w:p>
      <w:pPr>
        <w:spacing w:after="120"/>
        <w:jc w:val="center"/>
      </w:pPr>
      <w:r>
        <w:rPr>
          <w:rFonts w:ascii="Arial" w:cs="Arial" w:eastAsia="Arial" w:hAnsi="Arial"/>
          <w:sz w:val="22"/>
          <w:szCs w:val="22"/>
        </w:rPr>
        <w:t xml:space="preserve">Department of Health Outcomes and Biomedical Informatics, University of Florida, Gainesville, FL, USA</w:t>
      </w:r>
    </w:p>
    <w:p>
      <w:pPr>
        <w:spacing w:after="120"/>
        <w:jc w:val="center"/>
        <w:rPr>
          <w:sz w:val="20"/>
          <w:szCs w:val="20"/>
        </w:rPr>
      </w:pPr>
      <w:r>
        <w:rPr>
          <w:rFonts w:ascii="Arial" w:cs="Arial" w:eastAsia="Arial" w:hAnsi="Arial"/>
          <w:sz w:val="20"/>
          <w:szCs w:val="20"/>
        </w:rPr>
        <w:t xml:space="preserve">Built 2026-10-13. Status: PREVIEW (not author-decided). DOI: [pending first release]. License: CC BY 4.0.</w:t>
      </w:r>
    </w:p>
    <w:p>
      <w:pPr>
        <w:spacing w:after="80" w:before="480"/>
        <w:rPr>
          <w:b/>
          <w:bCs/>
        </w:rPr>
      </w:pPr>
      <w:r>
        <w:rPr>
          <w:rFonts w:ascii="Arial" w:cs="Arial" w:eastAsia="Arial" w:hAnsi="Arial"/>
          <w:b/>
          <w:bCs/>
          <w:sz w:val="22"/>
          <w:szCs w:val="22"/>
        </w:rPr>
        <w:t xml:space="preserve">Contents</w:t>
      </w:r>
    </w:p>
    <w:p>
      <w:pPr>
        <w:spacing w:after="40"/>
      </w:pPr>
      <w:r>
        <w:rPr>
          <w:rFonts w:ascii="Arial" w:cs="Arial" w:eastAsia="Arial" w:hAnsi="Arial"/>
          <w:sz w:val="22"/>
          <w:szCs w:val="22"/>
        </w:rPr>
        <w:t xml:space="preserve">1. Summary</w:t>
      </w:r>
    </w:p>
    <w:p>
      <w:pPr>
        <w:spacing w:after="40"/>
      </w:pPr>
      <w:r>
        <w:rPr>
          <w:rFonts w:ascii="Arial" w:cs="Arial" w:eastAsia="Arial" w:hAnsi="Arial"/>
          <w:sz w:val="22"/>
          <w:szCs w:val="22"/>
        </w:rPr>
        <w:t xml:space="preserve">2. Sources</w:t>
      </w:r>
    </w:p>
    <w:p>
      <w:pPr>
        <w:spacing w:after="40"/>
      </w:pPr>
      <w:r>
        <w:rPr>
          <w:rFonts w:ascii="Arial" w:cs="Arial" w:eastAsia="Arial" w:hAnsi="Arial"/>
          <w:sz w:val="22"/>
          <w:szCs w:val="22"/>
        </w:rPr>
        <w:t xml:space="preserve">3. Methods</w:t>
      </w:r>
    </w:p>
    <w:p>
      <w:pPr>
        <w:spacing w:after="40"/>
      </w:pPr>
      <w:r>
        <w:rPr>
          <w:rFonts w:ascii="Arial" w:cs="Arial" w:eastAsia="Arial" w:hAnsi="Arial"/>
          <w:sz w:val="22"/>
          <w:szCs w:val="22"/>
        </w:rPr>
        <w:t xml:space="preserve">4. Results</w:t>
      </w:r>
    </w:p>
    <w:p>
      <w:pPr>
        <w:spacing w:after="40"/>
      </w:pPr>
      <w:r>
        <w:rPr>
          <w:rFonts w:ascii="Arial" w:cs="Arial" w:eastAsia="Arial" w:hAnsi="Arial"/>
          <w:sz w:val="22"/>
          <w:szCs w:val="22"/>
        </w:rPr>
        <w:t xml:space="preserve">5. Category rationale</w:t>
      </w:r>
    </w:p>
    <w:p>
      <w:pPr>
        <w:spacing w:after="40"/>
      </w:pPr>
      <w:r>
        <w:rPr>
          <w:rFonts w:ascii="Arial" w:cs="Arial" w:eastAsia="Arial" w:hAnsi="Arial"/>
          <w:sz w:val="22"/>
          <w:szCs w:val="22"/>
        </w:rPr>
        <w:t xml:space="preserve">6. Drug-cause companion codes</w:t>
      </w:r>
    </w:p>
    <w:p>
      <w:pPr>
        <w:spacing w:after="40"/>
      </w:pPr>
      <w:r>
        <w:rPr>
          <w:rFonts w:ascii="Arial" w:cs="Arial" w:eastAsia="Arial" w:hAnsi="Arial"/>
          <w:sz w:val="22"/>
          <w:szCs w:val="22"/>
        </w:rPr>
        <w:t xml:space="preserve">7. Limitations</w:t>
      </w:r>
    </w:p>
    <w:p>
      <w:pPr>
        <w:spacing w:after="40"/>
      </w:pPr>
      <w:r>
        <w:rPr>
          <w:rFonts w:ascii="Arial" w:cs="Arial" w:eastAsia="Arial" w:hAnsi="Arial"/>
          <w:sz w:val="22"/>
          <w:szCs w:val="22"/>
        </w:rPr>
        <w:t xml:space="preserve">8. Use of AI assistance</w:t>
      </w:r>
    </w:p>
    <w:p>
      <w:pPr>
        <w:spacing w:after="40"/>
      </w:pPr>
      <w:r>
        <w:rPr>
          <w:rFonts w:ascii="Arial" w:cs="Arial" w:eastAsia="Arial" w:hAnsi="Arial"/>
          <w:sz w:val="22"/>
          <w:szCs w:val="22"/>
        </w:rPr>
        <w:t xml:space="preserve">9. Versioning and maintenance</w:t>
      </w:r>
    </w:p>
    <w:p>
      <w:pPr>
        <w:spacing w:after="40"/>
      </w:pPr>
      <w:r>
        <w:rPr>
          <w:rFonts w:ascii="Arial" w:cs="Arial" w:eastAsia="Arial" w:hAnsi="Arial"/>
          <w:sz w:val="22"/>
          <w:szCs w:val="22"/>
        </w:rPr>
        <w:t xml:space="preserve">10. How to cite</w:t>
      </w:r>
    </w:p>
    <w:p>
      <w:r>
        <w:br w:type="page"/>
      </w:r>
    </w:p>
    <w:p>
      <w:pPr>
        <w:pStyle w:val="Heading1"/>
        <w:spacing w:after="120" w:before="240"/>
      </w:pPr>
      <w:r>
        <w:rPr>
          <w:rFonts w:ascii="Arial" w:cs="Arial" w:eastAsia="Arial" w:hAnsi="Arial"/>
        </w:rPr>
        <w:t xml:space="preserve">1. Summary</w:t>
      </w:r>
    </w:p>
    <w:p>
      <w:pPr>
        <w:spacing w:after="120"/>
      </w:pPr>
      <w:r>
        <w:rPr>
          <w:rFonts w:ascii="Arial" w:cs="Arial" w:eastAsia="Arial" w:hAnsi="Arial"/>
          <w:sz w:val="22"/>
          <w:szCs w:val="22"/>
        </w:rPr>
        <w:t xml:space="preserve">irAE-Map links 36 immune-related adverse event (irAE) categories to the terms and codes that describe them in three vocabularies: the National Cancer Institute's Common Terminology Criteria for Adverse Events (CTCAE) version 6.0, the US diagnosis code set ICD-10-CM (fiscal year 2027), and the MedDRA reaction terms used in the FDA Adverse Event Reporting System (FAERS). Version 1.0.0 contains 906 mappings: 137 to CTCAE terms, 373 to ICD-10-CM code families covering 1,939 billable codes, and 396 to FAERS reaction terms. Each mapping has a role, a confidence rating and a clinical rationale, and each was decided by the author.</w:t>
      </w:r>
    </w:p>
    <w:p>
      <w:pPr>
        <w:spacing w:after="120"/>
      </w:pPr>
      <w:r>
        <w:rPr>
          <w:rFonts w:ascii="Arial" w:cs="Arial" w:eastAsia="Arial" w:hAnsi="Arial"/>
          <w:sz w:val="22"/>
          <w:szCs w:val="22"/>
        </w:rPr>
        <w:t xml:space="preserve">CTCAE v6.0, released by NCI in 2026, added terms in part to better describe adverse events of immunotherapy. Of the 134 CTCAE terms in irAE-Map, 29 are new in v6.0. ICD-10-CM gained a dedicated drug-cause code for immune checkpoint inhibitors, T45.AX5-, effective 1 October 2024. Health systems, registries and drug-safety analysts need a public, documented link between these vocabularies; irAE-Map provides one.</w:t>
      </w:r>
    </w:p>
    <w:p>
      <w:pPr>
        <w:pStyle w:val="Heading1"/>
        <w:spacing w:after="120" w:before="240"/>
      </w:pPr>
      <w:r>
        <w:rPr>
          <w:rFonts w:ascii="Arial" w:cs="Arial" w:eastAsia="Arial" w:hAnsi="Arial"/>
        </w:rPr>
        <w:t xml:space="preserve">2.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Source</w:t>
            </w:r>
          </w:p>
        </w:tc>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Edition</w:t>
            </w:r>
          </w:p>
        </w:tc>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Use in irAE-Map</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NCI CTCAE spreadsheet (dctd.cancer.gov)</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v6.0, MedDRA 28.0, errata 2026-01-20</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Terms, MedDRA LLT codes, grade 1 to 5 definitions, v5 to v6 change flags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CDC/NCHS ICD-10-CM code descriptions and addenda (ftp.cdc.gov)</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FY2027, effective 2026-10-01</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Codes, billable flags, descriptions, codes new in FY2027</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openFDA drug adverse event API (api.fda.gov)</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FAERS data updated 2026-07-30; accessed 2026-10-13</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Reaction terms reported with the 13 checkpoint inhibitors and report counts</w:t>
            </w:r>
          </w:p>
        </w:tc>
      </w:tr>
    </w:tbl>
    <w:p>
      <w:pPr>
        <w:spacing w:after="120" w:before="120"/>
      </w:pPr>
      <w:r>
        <w:rPr>
          <w:rFonts w:ascii="Arial" w:cs="Arial" w:eastAsia="Arial" w:hAnsi="Arial"/>
          <w:sz w:val="22"/>
          <w:szCs w:val="22"/>
        </w:rPr>
        <w:t xml:space="preserve">Exact URLs, download dates, file sizes and SHA-256 checksums are in data/raw/PROVENANCE.txt in the repository.</w:t>
      </w:r>
    </w:p>
    <w:p>
      <w:pPr>
        <w:pStyle w:val="Heading1"/>
        <w:spacing w:after="120" w:before="240"/>
      </w:pPr>
      <w:r>
        <w:rPr>
          <w:rFonts w:ascii="Arial" w:cs="Arial" w:eastAsia="Arial" w:hAnsi="Arial"/>
        </w:rPr>
        <w:t xml:space="preserve">3. Methods</w:t>
      </w:r>
    </w:p>
    <w:p>
      <w:pPr>
        <w:pStyle w:val="Heading2"/>
        <w:spacing w:after="120" w:before="240"/>
      </w:pPr>
      <w:r>
        <w:rPr>
          <w:rFonts w:ascii="Arial" w:cs="Arial" w:eastAsia="Arial" w:hAnsi="Arial"/>
        </w:rPr>
        <w:t xml:space="preserve">3.1 Category frame</w:t>
      </w:r>
    </w:p>
    <w:p>
      <w:pPr>
        <w:spacing w:after="120"/>
      </w:pPr>
      <w:r>
        <w:rPr>
          <w:rFonts w:ascii="Arial" w:cs="Arial" w:eastAsia="Arial" w:hAnsi="Arial"/>
          <w:sz w:val="22"/>
          <w:szCs w:val="22"/>
        </w:rPr>
        <w:t xml:space="preserve">Categories follow the organ groupings of the ASCO 2021 guideline on management of irAEs in patients treated with immune checkpoint inhibitor therapy, with additions where CTCAE v6.0 or the literature identifies a distinct entity. Each category lists the diagnoses most often confused with it (Section 5).</w:t>
      </w:r>
    </w:p>
    <w:p>
      <w:pPr>
        <w:pStyle w:val="Heading2"/>
        <w:spacing w:after="120" w:before="240"/>
      </w:pPr>
      <w:r>
        <w:rPr>
          <w:rFonts w:ascii="Arial" w:cs="Arial" w:eastAsia="Arial" w:hAnsi="Arial"/>
        </w:rPr>
        <w:t xml:space="preserve">3.2 Candidate generation</w:t>
      </w:r>
    </w:p>
    <w:p>
      <w:pPr>
        <w:pStyle w:val="ListParagraph"/>
        <w:numPr>
          <w:ilvl w:val="0"/>
          <w:numId w:val="2"/>
        </w:numPr>
        <w:spacing w:after="60"/>
      </w:pPr>
      <w:r>
        <w:rPr>
          <w:rFonts w:ascii="Arial" w:cs="Arial" w:eastAsia="Arial" w:hAnsi="Arial"/>
          <w:sz w:val="22"/>
          <w:szCs w:val="22"/>
        </w:rPr>
        <w:t xml:space="preserve">CTCAE v6.0: terms named in each category's rules, matched exactly to the v6.0 spreadsheet; the build fails if a named term is absent.</w:t>
      </w:r>
    </w:p>
    <w:p>
      <w:pPr>
        <w:pStyle w:val="ListParagraph"/>
        <w:numPr>
          <w:ilvl w:val="0"/>
          <w:numId w:val="2"/>
        </w:numPr>
        <w:spacing w:after="60"/>
      </w:pPr>
      <w:r>
        <w:rPr>
          <w:rFonts w:ascii="Arial" w:cs="Arial" w:eastAsia="Arial" w:hAnsi="Arial"/>
          <w:sz w:val="22"/>
          <w:szCs w:val="22"/>
        </w:rPr>
        <w:t xml:space="preserve">ICD-10-CM: codes under named code prefixes, plus codes whose description matches the category's keyword pattern, excluding keyword matches in the neoplasm, pregnancy, perinatal, injury, external-cause and Z chapters. Billable codes are grouped into code families (a named parent code with its children, or the remaining codes in a three-character block) for review, and expanded back to every billable code for release.</w:t>
      </w:r>
    </w:p>
    <w:p>
      <w:pPr>
        <w:pStyle w:val="ListParagraph"/>
        <w:numPr>
          <w:ilvl w:val="0"/>
          <w:numId w:val="2"/>
        </w:numPr>
        <w:spacing w:after="60"/>
      </w:pPr>
      <w:r>
        <w:rPr>
          <w:rFonts w:ascii="Arial" w:cs="Arial" w:eastAsia="Arial" w:hAnsi="Arial"/>
          <w:sz w:val="22"/>
          <w:szCs w:val="22"/>
        </w:rPr>
        <w:t xml:space="preserve">FAERS: for each category keyword, openFDA count queries over reports naming any of the 13 checkpoint inhibitors (290,091 reports) and over all reports (20,692,687), keeping reaction terms that match the category pattern. Reports were matched by openFDA's harmonized generic name or by the raw product name (generic or brand), because the harmonized field returned no reports for three of the drugs. Each kept term's counts are exact.</w:t>
      </w:r>
    </w:p>
    <w:p>
      <w:pPr>
        <w:pStyle w:val="ListParagraph"/>
        <w:numPr>
          <w:ilvl w:val="0"/>
          <w:numId w:val="2"/>
        </w:numPr>
        <w:spacing w:after="60"/>
      </w:pPr>
      <w:r>
        <w:rPr>
          <w:rFonts w:ascii="Arial" w:cs="Arial" w:eastAsia="Arial" w:hAnsi="Arial"/>
          <w:sz w:val="22"/>
          <w:szCs w:val="22"/>
        </w:rPr>
        <w:t xml:space="preserve">Each candidate received a suggested role, confidence and reason from documented rules (repository file code/categories.py), drafted with AI assistance (Section 8). Rows the rules could not classify were left without a suggestion.</w:t>
      </w:r>
    </w:p>
    <w:p>
      <w:pPr>
        <w:pStyle w:val="Heading2"/>
        <w:spacing w:after="120" w:before="240"/>
      </w:pPr>
      <w:r>
        <w:rPr>
          <w:rFonts w:ascii="Arial" w:cs="Arial" w:eastAsia="Arial" w:hAnsi="Arial"/>
        </w:rPr>
        <w:t xml:space="preserve">3.3 Author review</w:t>
      </w:r>
    </w:p>
    <w:p>
      <w:pPr>
        <w:spacing w:after="120"/>
      </w:pPr>
      <w:r>
        <w:rPr>
          <w:rFonts w:ascii="Arial" w:cs="Arial" w:eastAsia="Arial" w:hAnsi="Arial"/>
          <w:sz w:val="22"/>
          <w:szCs w:val="22"/>
        </w:rPr>
        <w:t xml:space="preserve">The author reviewed every candidate in a workbook and either accepted the drafted role, confidence and reason unchanged, or set them, or excluded the row. Rows not decided were not released. The released table records which (column decision_type), with the reviewer and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Role</w:t>
            </w:r>
          </w:p>
        </w:tc>
        <w:tc>
          <w:tcPr>
            <w:tcW w:type="dxa" w:w="75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Meaning</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primary</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Names the condition itself; enough on its own to identify the category</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supporting</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 laboratory, symptom, severity or grading term consistent with, but not specific to, the category</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lookalike</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 different condition often confused with this one; listed so analysts exclude it deliberately</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companion</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drug-cause code that should accompany a condition code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75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Meaning</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Names the condition and is used for it in practice</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Right organ and process, but also used for non-immune causes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7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Supporting or non-specific</w:t>
            </w:r>
          </w:p>
        </w:tc>
      </w:tr>
    </w:tbl>
    <w:p>
      <w:pPr>
        <w:pStyle w:val="Heading2"/>
        <w:spacing w:after="120" w:before="240"/>
      </w:pPr>
      <w:r>
        <w:rPr>
          <w:rFonts w:ascii="Arial" w:cs="Arial" w:eastAsia="Arial" w:hAnsi="Arial"/>
        </w:rPr>
        <w:t xml:space="preserve">3.4 Quality checks</w:t>
      </w:r>
    </w:p>
    <w:p>
      <w:pPr>
        <w:spacing w:after="120"/>
      </w:pPr>
      <w:r>
        <w:rPr>
          <w:rFonts w:ascii="Arial" w:cs="Arial" w:eastAsia="Arial" w:hAnsi="Arial"/>
          <w:sz w:val="22"/>
          <w:szCs w:val="22"/>
        </w:rPr>
        <w:t xml:space="preserve">The build verifies that every CTCAE term exists in v6.0 and every released ICD-10-CM code is a valid billable FY2027 code; that every released row has a role, a confidence (except look-alikes) and a rationale; that no suggestion-less row was accepted without a decision; and it reports, for each category, any vocabulary lacking a primary mapping. Results are in data/processed/qa_report.txt.</w:t>
      </w:r>
    </w:p>
    <w:p>
      <w:pPr>
        <w:pStyle w:val="Heading2"/>
        <w:spacing w:after="120" w:before="240"/>
      </w:pPr>
      <w:r>
        <w:rPr>
          <w:rFonts w:ascii="Arial" w:cs="Arial" w:eastAsia="Arial" w:hAnsi="Arial"/>
        </w:rPr>
        <w:t xml:space="preserve">3.5 FAERS over-representation</w:t>
      </w:r>
    </w:p>
    <w:p>
      <w:pPr>
        <w:spacing w:after="120"/>
      </w:pPr>
      <w:r>
        <w:rPr>
          <w:rFonts w:ascii="Arial" w:cs="Arial" w:eastAsia="Arial" w:hAnsi="Arial"/>
          <w:sz w:val="22"/>
          <w:szCs w:val="22"/>
        </w:rPr>
        <w:t xml:space="preserve">For each reaction term, faers_ici_prr = (a / N_ici) / ((b - a) / (N_all - N_ici)), where a is the number of reports naming a checkpoint inhibitor with the term, b the number of all reports with the term, N_ici = 290,091 and N_all = 20,692,687. It describes over-representation only; it is not a disproportionality signal (no deduplication, stratification or confidence interval).</w:t>
      </w:r>
    </w:p>
    <w:p>
      <w:pPr>
        <w:pStyle w:val="Heading1"/>
        <w:spacing w:after="120" w:before="240"/>
      </w:pPr>
      <w:r>
        <w:rPr>
          <w:rFonts w:ascii="Arial" w:cs="Arial" w:eastAsia="Arial" w:hAnsi="Arial"/>
        </w:rPr>
        <w:t xml:space="preserve">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Vocabulary</w:t>
            </w:r>
          </w:p>
        </w:tc>
        <w:tc>
          <w:tcPr>
            <w:tcW w:type="dxa" w:w="132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Mappings</w:t>
            </w:r>
          </w:p>
        </w:tc>
        <w:tc>
          <w:tcPr>
            <w:tcW w:type="dxa" w:w="132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Primary</w:t>
            </w:r>
          </w:p>
        </w:tc>
        <w:tc>
          <w:tcPr>
            <w:tcW w:type="dxa" w:w="132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Supporting</w:t>
            </w:r>
          </w:p>
        </w:tc>
        <w:tc>
          <w:tcPr>
            <w:tcW w:type="dxa" w:w="132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Look-alike</w:t>
            </w:r>
          </w:p>
        </w:tc>
        <w:tc>
          <w:tcPr>
            <w:tcW w:type="dxa" w:w="132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Companion</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v6.0</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137</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59</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64</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ICD-10-CM FY2027</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373</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143</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32</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196</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FAERS MedDRA PT</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396</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237</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102</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57</w:t>
            </w:r>
          </w:p>
        </w:tc>
        <w:tc>
          <w:tcPr>
            <w:tcW w:type="dxa" w:w="13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Confidence: High 482, Moderate 289, Low 134. 8 terms are primary in more than one category; these are overlap entities such as thyroiditis (both thyroid categories) and the myocarditis-myositis-myasthenia gravis overlap syndrome.</w:t>
      </w:r>
    </w:p>
    <w:p>
      <w:pPr>
        <w:pStyle w:val="Heading1"/>
        <w:spacing w:after="120" w:before="240"/>
      </w:pPr>
      <w:r>
        <w:rPr>
          <w:rFonts w:ascii="Arial" w:cs="Arial" w:eastAsia="Arial" w:hAnsi="Arial"/>
        </w:rPr>
        <w:t xml:space="preserve">5. Category rationale</w:t>
      </w:r>
    </w:p>
    <w:p>
      <w:pPr>
        <w:spacing w:after="120"/>
      </w:pPr>
      <w:r>
        <w:rPr>
          <w:rFonts w:ascii="Arial" w:cs="Arial" w:eastAsia="Arial" w:hAnsi="Arial"/>
          <w:sz w:val="22"/>
          <w:szCs w:val="22"/>
        </w:rPr>
        <w:t xml:space="preserve">For each category: the primary CTCAE terms with their grade 3 definition, primary ICD-10-CM code families, the most-reported primary FAERS terms, and look-alikes. The complete list, including supporting terms, is the released table.</w:t>
      </w:r>
    </w:p>
    <w:p>
      <w:pPr>
        <w:pStyle w:val="Heading2"/>
        <w:spacing w:after="120" w:before="240"/>
      </w:pPr>
      <w:r>
        <w:rPr>
          <w:rFonts w:ascii="Arial" w:cs="Arial" w:eastAsia="Arial" w:hAnsi="Arial"/>
        </w:rPr>
        <w:t xml:space="preserve">Colitis / enterocolitis / diarrhea (COLITIS)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Gastrointestinal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Colitis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abdominal pain; peritoneal signs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term for colon inflammation; the graded irAE term</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Enterocolitis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persistent abdominal pain; fever; ileus; peritoneal signs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Small and large bowel inflammation; ICI enterocolitis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K52.83*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Microscopic colitis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Microscopic colitis; reported phenotype of ICI colitis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K52.9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Noninfective gastroenteritis and colitis,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Noninfective colitis, unspecified; common but non-specific</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K52.89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noninfective gastroenteritis and colitis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noninfective colitis; used for immune-mediated colitis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K52.1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gastroenteritis and colitis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gastroenteritis and colitis; ICD-10-CM index routes drug-induced colitis here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6,177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37,176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enterocolitis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3,100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3,480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573.8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Enterocolitis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1,132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5,635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colitis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547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635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437.2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Colitis microscopic</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4,632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Infectious colitis (C. difficile, CMV), pre-existing IBD flare, ischemic colitis, other drug diarrhea (e.g., concurrent TKI or chemotherapy).</w:t>
      </w:r>
    </w:p>
    <w:p>
      <w:pPr>
        <w:pStyle w:val="Heading2"/>
        <w:spacing w:after="120" w:before="240"/>
      </w:pPr>
      <w:r>
        <w:rPr>
          <w:rFonts w:ascii="Arial" w:cs="Arial" w:eastAsia="Arial" w:hAnsi="Arial"/>
        </w:rPr>
        <w:t xml:space="preserve">Hepatitis (HEPATITIS)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Gastrointestinal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Hepatitis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Symptomatic liver dysfunction; compensated cirrhosis; hospitalization or prolongation of existing 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CTCAE v6.0; graded hepatitis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K75.4</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hepatitis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hepatitis; also used for ICI hepatitis but describes a distinct disease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K75.9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Inflammatory liver disease,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Inflammatory liver disease,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K71.2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liver disease with acute hepatitis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liver disease with acute hepatitis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K71.1*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liver disease with hepatic necrosis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liver disease with hepatic necrosis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K71.6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liver disease with hepatitis, not elsewhere classified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liver disease with hepatitis NEC</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K71.9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liver disease,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liver disease, unspecified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Hepatitis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2,681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25,255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hepatic disorder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1,830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1,887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2258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hepatitis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1,814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1,938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1028.9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liver injury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1,357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30,439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Hepatic cytolysis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1,331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12,060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hepatitis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1,187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6,833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Viral hepatitis or HBV reactivation, hepatic metastases or progression, other hepatotoxic drugs (acetaminophen, azoles, TKIs), alcohol, biliary obstruction.</w:t>
      </w:r>
    </w:p>
    <w:p>
      <w:pPr>
        <w:pStyle w:val="Heading2"/>
        <w:spacing w:after="120" w:before="240"/>
      </w:pPr>
      <w:r>
        <w:rPr>
          <w:rFonts w:ascii="Arial" w:cs="Arial" w:eastAsia="Arial" w:hAnsi="Arial"/>
        </w:rPr>
        <w:t xml:space="preserve">Pancreatitis / asymptomatic lipase elevation (PANCREATITIS)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Gastrointestinal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Pancreatitis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pain; vomiting; medical intervention indicated (e.g., analgesia, nutritional support)</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K85.9*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pancreatitis,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pancreatitis,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K85.3*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 induced acute pancreatitis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acute pancreatitis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K85.8*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acute pancreatitis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acute pancreatitis (includes autoimmune acute pancreatitis)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Pancreatitis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1,293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52,220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Pancreatitis acute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22,020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pancreatitis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355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364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2774.2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pancreatitis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498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Oedematous pancreatitis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551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Gallstone or alcohol pancreatitis, hypertriglyceridemia, pancreatic metastases; isolated enzyme rise without symptoms is common and often not treated.</w:t>
      </w:r>
    </w:p>
    <w:p>
      <w:pPr>
        <w:pStyle w:val="Heading2"/>
        <w:spacing w:after="120" w:before="240"/>
      </w:pPr>
      <w:r>
        <w:rPr>
          <w:rFonts w:ascii="Arial" w:cs="Arial" w:eastAsia="Arial" w:hAnsi="Arial"/>
        </w:rPr>
        <w:t xml:space="preserve">Pneumonitis (PNEUMONITIS)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Pulmonary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Pneumonitis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oxygen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 most common fatal ICI toxicity in some series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J70.2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drug-induced interstitial lung disorders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drug-induced interstitial lung disorders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J70.3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Chronic drug-induced interstitial lung disorders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Chronic drug-induced interstitial lung disorders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J84.116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Cryptogenic organizing pneumonia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Cryptogenic organizing pneumonia; organizing pneumonia is an ICI pattern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J70.4</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interstitial lung disorders,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interstitial lung disorders,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J84.9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Interstitial pulmonary disease,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Interstitial pulmonary disease,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J84.89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interstitial pulmonary diseases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ILD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Pneumonitis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6,132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26,681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Interstitial lung disease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5,821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47,680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lung disease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1,618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1,725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1063.5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Organising pneumonia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439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4,843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pneumonitis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1105.2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lung disease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165.5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Infectious pneumonia (including PJP), radiation pneumonitis, lymphangitic tumor spread, pulmonary edema, pulmonary embolism, COPD exacerbation.</w:t>
      </w:r>
    </w:p>
    <w:p>
      <w:pPr>
        <w:pStyle w:val="Heading2"/>
        <w:spacing w:after="120" w:before="240"/>
      </w:pPr>
      <w:r>
        <w:rPr>
          <w:rFonts w:ascii="Arial" w:cs="Arial" w:eastAsia="Arial" w:hAnsi="Arial"/>
        </w:rPr>
        <w:t xml:space="preserve">Thyroiditis / primary hypothyroidism (HYPOTHYROIDISM)</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Endocrine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Hypothyroidism</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Thyroiditis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 captures the destructive thyroiditis that precedes hypothyroidism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thyroiditis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thyroiditis; also pre-existing Hashimoto</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E06.4</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thyroiditis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thyroiditis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E03.2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Hypothyroidism due to medicaments and other exogenous substances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Hypothyroidism due to medicaments and other exogenous substances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E03.9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Hypothyroidism,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Hypothyroidism, unspecified; very common at baseline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chronic thyroiditis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chronic thyroiditis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E03.8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hypothyroidism</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hypothyroidism</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Thyroiditis,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Thyroiditis, unspecified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1,281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2,941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54.3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hypothyroidism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1,046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1,061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4904.5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458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463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6442.4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394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Hypothyroidism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1,971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hypothyroidism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Pre-existing hypothyroidism, post-surgical or post-radiation hypothyroidism, sick euthyroid syndrome, central hypothyroidism from hypophysitis (low TSH).</w:t>
      </w:r>
    </w:p>
    <w:p>
      <w:pPr>
        <w:pStyle w:val="Heading2"/>
        <w:spacing w:after="120" w:before="240"/>
      </w:pPr>
      <w:r>
        <w:rPr>
          <w:rFonts w:ascii="Arial" w:cs="Arial" w:eastAsia="Arial" w:hAnsi="Arial"/>
        </w:rPr>
        <w:t xml:space="preserve">Thyroiditis / hyperthyroidism (HYPERTHYROIDISM)</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Endocrine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Hyperthyroidism</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 usually transient thyrotoxic phase of thyroiditis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Thyroiditis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Chronic thyroiditis with transient thyrotoxicosis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Chronic thyroiditis with transient thyrotoxicosis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E06.4</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thyroiditis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thyroiditis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E05.8*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thyrotoxicosis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thyrotoxicosis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E06.1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Subacute thyroiditis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Subacute thyroiditis; painful viral thyroiditis is a look-alike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E05.9*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Thyrotoxicosis,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Thyrotoxicosis, unspecified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Hyperthyroidism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2,545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14,275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1,281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2,941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54.3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458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463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6442.4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394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hyperthyroidism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3249.3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Silent thyroiditis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167.5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Iodinated contrast-induced thyrotoxicosis, toxic nodules, exogenous levothyroxine excess, viral subacute thyroiditis.</w:t>
      </w:r>
    </w:p>
    <w:p>
      <w:pPr>
        <w:pStyle w:val="Heading2"/>
        <w:spacing w:after="120" w:before="240"/>
      </w:pPr>
      <w:r>
        <w:rPr>
          <w:rFonts w:ascii="Arial" w:cs="Arial" w:eastAsia="Arial" w:hAnsi="Arial"/>
        </w:rPr>
        <w:t xml:space="preserve">Hypophysitis / hypopituitarism (HYPOPHYSITIS)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Endocrine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Hypophysitis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 typical of anti-CTLA-4</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Hypopituitarism</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E23.7</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Disorder of pituitary gland,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Disorder of pituitary gland,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E23.1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hypopituitarism</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hypopituitarism</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E23.0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Hypopituitarism</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Hypopituitarism (other)</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E23.6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disorders of pituitary gland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disorders of pituitary gland; ICD-10-CM index routes hypophysitis here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Hypophysitis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1,855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1,986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995.9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Hypopituitarism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929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1,720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82.6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Adrenocorticotropic hormone deficiency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760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529.2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Hypothalamo-pituitary disorder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1,425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31.5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hypophysitis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423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4179.7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Lymphocytic hypophysitis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273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285.2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Pituitary metastasis or adenoma, exogenous glucocorticoid suppression of the HPA axis, primary adrenal insufficiency.</w:t>
      </w:r>
    </w:p>
    <w:p>
      <w:pPr>
        <w:pStyle w:val="Heading2"/>
        <w:spacing w:after="120" w:before="240"/>
      </w:pPr>
      <w:r>
        <w:rPr>
          <w:rFonts w:ascii="Arial" w:cs="Arial" w:eastAsia="Arial" w:hAnsi="Arial"/>
        </w:rPr>
        <w:t xml:space="preserve">Primary adrenal insufficiency (adrenalitis) (ADRENAL_INSUFFICIENCY)</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Endocrine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Adrenal insufficiency</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 covers primary and secondary, so category needs context</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E27.3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adrenocortical insufficiency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adrenocortical insufficiency; also used for steroid withdrawal</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E27.49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adrenocortical insufficiency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adrenocortical insufficiency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E27.1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Primary adrenocortical insufficiency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Primary adrenocortical insufficiency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E27.40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Unspecified adrenocortical insufficiency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Unspecified adrenocortical insufficiency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Adrenal insufficiency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3,896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11,815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adrenal insufficiency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739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745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8662.5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Addison^s disease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987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Primary adrenal insufficiency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Adrenalitis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175.8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Secondary adrenal insufficiency from hypophysitis (see HYPOPHYSITIS), glucocorticoid withdrawal, adrenal metastases or hemorrhage.</w:t>
      </w:r>
    </w:p>
    <w:p>
      <w:pPr>
        <w:pStyle w:val="Heading2"/>
        <w:spacing w:after="120" w:before="240"/>
      </w:pPr>
      <w:r>
        <w:rPr>
          <w:rFonts w:ascii="Arial" w:cs="Arial" w:eastAsia="Arial" w:hAnsi="Arial"/>
        </w:rPr>
        <w:t xml:space="preserve">Immune checkpoint inhibitor diabetes (insulin-deficient) (DIABETES)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Endocrine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Diabetes mellitus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Insulin therapy initiated or increased; 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E09*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 or chemical induced diabetes mellitus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diabetes; but most often steroid-induced hyperglycemia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E13*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diabetes mellitus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diabetes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E10*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Type 1 diabetes mellitus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Type 1 diabetes; ICI diabetes is insulin-deficient and usually coded here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E10.1*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Type 1 diabetes mellitus with ketoacidosis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Type 1 diabetes with ketoacidosis; common presentation</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Type 1 diabetes mellitus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1,601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5,929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Diabetes mellitus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1,555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75,562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Diabetic ketoacidosis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1,461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23,655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Fulminant type 1 diabetes mellitus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838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1,007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348.7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Diabetes mellitus inadequate control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17,478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Diabetes insipidus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2,391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Steroid-induced hyperglycemia (very common during irAE treatment), pre-existing type 2 diabetes, pancreatogenic diabetes.</w:t>
      </w:r>
    </w:p>
    <w:p>
      <w:pPr>
        <w:pStyle w:val="Heading2"/>
        <w:spacing w:after="120" w:before="240"/>
      </w:pPr>
      <w:r>
        <w:rPr>
          <w:rFonts w:ascii="Arial" w:cs="Arial" w:eastAsia="Arial" w:hAnsi="Arial"/>
        </w:rPr>
        <w:t xml:space="preserve">Myocarditis (MYOCARDITIS)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Cardiovascular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Myocarditis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with symptoms at rest or with minimal activity or exertion; intervention indicated; new onset of symptoms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 high fatality irAE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I40.9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myocarditis,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myocarditis,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I40.1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Isolated myocarditis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Isolated myocarditis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I51.4</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Myocarditis,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Myocarditis,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I40.8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acute myocarditis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acute myocarditis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Myocarditis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3,053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11,175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myocarditis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1,441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1,519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1299.3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Myocarditis-myositis-myasthenia gravis overlap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2447.5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myocarditis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156.4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Acute coronary syndrome, viral myocarditis, takotsubo, cardiotoxicity from anthracyclines or HER2 therapy; often overlaps with myositis and myasthenia (see MYOSITIS, MYASTHENIA).</w:t>
      </w:r>
    </w:p>
    <w:p>
      <w:pPr>
        <w:pStyle w:val="Heading2"/>
        <w:spacing w:after="120" w:before="240"/>
      </w:pPr>
      <w:r>
        <w:rPr>
          <w:rFonts w:ascii="Arial" w:cs="Arial" w:eastAsia="Arial" w:hAnsi="Arial"/>
        </w:rPr>
        <w:t xml:space="preserve">Pericarditis / pericardial effusion (PERICARDITIS)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Cardiovascular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Pericarditis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Pericarditis with physiologic consequences (e.g., pericardial constriction)</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I30.0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nonspecific idiopathic pericarditis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nonspecific idiopathic pericarditis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I30.9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pericarditis,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pericarditis,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I31.9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Disease of pericardium,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Disease of pericardium,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I30.8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forms of acute pericarditis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forms of acute pericarditis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Pericarditis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407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16,450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pericarditis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1828.6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pericarditis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105.5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Malignant pericardial effusion (very common in lung cancer), radiation pericarditis, infection, uremia.</w:t>
      </w:r>
    </w:p>
    <w:p>
      <w:pPr>
        <w:pStyle w:val="Heading2"/>
        <w:spacing w:after="120" w:before="240"/>
      </w:pPr>
      <w:r>
        <w:rPr>
          <w:rFonts w:ascii="Arial" w:cs="Arial" w:eastAsia="Arial" w:hAnsi="Arial"/>
        </w:rPr>
        <w:t xml:space="preserve">Vasculitis (VASCULITIS)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Cardiovascular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Vasculitis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medical intervention indicated (e.g., steroids)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I77.6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Arteritis,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Arteritis,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Giant cell arteritis with polymyalgia rheumatica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Giant cell arteritis with polymyalgia rheumatica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Necrotizing vasculopathy,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Necrotizing vasculopathy,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giant cell arteritis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giant cell arteritis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necrotizing vasculopathies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necrotizing vasculopathies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L95*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Vasculitis limited to skin, not elsewhere classified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Vasculitis limited to skin</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Vasculitis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11,511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Cutaneous vasculitis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3,524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Giant cell arteritis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797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Central nervous system vasculitis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482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Temporal arteritis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927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Hypersensitivity vasculitis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2,622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Infection, drug hypersensitivity vasculitis from other drugs, paraneoplastic vasculitis.</w:t>
      </w:r>
    </w:p>
    <w:p>
      <w:pPr>
        <w:pStyle w:val="Heading2"/>
        <w:spacing w:after="120" w:before="240"/>
      </w:pPr>
      <w:r>
        <w:rPr>
          <w:rFonts w:ascii="Arial" w:cs="Arial" w:eastAsia="Arial" w:hAnsi="Arial"/>
        </w:rPr>
        <w:t xml:space="preserve">Nephritis (acute interstitial / glomerulonephritis) (NEPHRITIS)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Renal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Glomerulonephritis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therapy indicated; immunosuppressant indicated;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 less common with ICIs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Tubulointerstitial nephritis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therapy indicated;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 the typical ICI renal lesion</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N00*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nephritic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nephritic syndrome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N14.1*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Nephropathy induced by other drugs, medicaments and biological substances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Nephropathy induced by other drugs, medicaments and biological substances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N12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Tubulo-interstitial nephritis, not specified as acute or chronic</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Tubulo-interstitial nephritis, not specified as acute or chronic</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N05*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Unspecified nephritic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Unspecified nephritic syndrome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Tubulointerstitial nephritis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1,834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18,485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Nephritis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3,266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Nephropathy toxic</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430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10,992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nephritis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827.9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Nephrotic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403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6,761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renal disorder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386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1868.8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Prerenal AKI (dehydration from colitis), contrast nephropathy, other nephrotoxins (PPIs, NSAIDs, platinum), obstruction, pyelonephritis.</w:t>
      </w:r>
    </w:p>
    <w:p>
      <w:pPr>
        <w:pStyle w:val="Heading2"/>
        <w:spacing w:after="120" w:before="240"/>
      </w:pPr>
      <w:r>
        <w:rPr>
          <w:rFonts w:ascii="Arial" w:cs="Arial" w:eastAsia="Arial" w:hAnsi="Arial"/>
        </w:rPr>
        <w:t xml:space="preserve">Inflammatory dermatitis / rash / pruritus (DERM_INFLAMMATORY)</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Dermatologic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Dermatitis psoriasiform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intervention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 characteristic ICI pattern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Eczematous dermatitis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intervention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Erythroderma</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Erythema covering &gt;90% BSA with associated symptoms (e.g., pruritus or tenderness);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diffuse dermatitis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Exfoliative dermatitis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intervention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Lichenoid dermatitis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intervention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 characteristic ICI pattern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Papulovesicular rash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Covering &gt;50% BSA; moderate or severe symptoms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Rash maculo-papular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Macules/papules covering &gt;50% BSA; moderate or severe symptoms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Most common ICI skin irAE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L30.9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Dermatitis,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Dermatitis,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L26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Exfoliative dermatitis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Exfoliative dermatitis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L27.0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Generalized skin eruption due to drugs and medicaments taken internally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Generalized skin eruption due to drugs taken internally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L43.2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Lichenoid drug reaction</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Lichenoid drug reaction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L27.1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Localized skin eruption due to drugs and medicaments taken internally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Localized skin eruption due to drugs taken internally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Rash</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9,000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427,888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Rash maculo-papular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1,402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21,868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 eruption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17,396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Rash pruritic</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1,014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53,237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dermatitis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891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924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1899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Dermatitis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766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20,447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EGFR inhibitor acneiform rash, radiation dermatitis, other drug eruptions (antibiotics), infection (scabies, fungal), xerosis.</w:t>
      </w:r>
    </w:p>
    <w:p>
      <w:pPr>
        <w:pStyle w:val="Heading2"/>
        <w:spacing w:after="120" w:before="240"/>
      </w:pPr>
      <w:r>
        <w:rPr>
          <w:rFonts w:ascii="Arial" w:cs="Arial" w:eastAsia="Arial" w:hAnsi="Arial"/>
        </w:rPr>
        <w:t xml:space="preserve">Bullous dermatoses (bullous pemphigoid) (DERM_BULLOUS)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Dermatologic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Dermatosis bullous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Blisters covering &gt;50% BSA;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 bullous pemphigoid is the typical ICI entity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L13.9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Bullous disorder,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Bullous disorder,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L12.0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Bullous pemphigoid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Bullous pemphigoid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L12.8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pemphigoid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pemphigoid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L12.9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Pemphigoid,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Pemphigoid, unspecified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Pemphigoid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1,279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7,314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Dermatitis bullous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7,100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Mucous membrane pemphigoid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Bullous drug eruptions from other drugs, SJS/TEN (see DERM_SCAR), pemphigus, friction or edema blisters.</w:t>
      </w:r>
    </w:p>
    <w:p>
      <w:pPr>
        <w:pStyle w:val="Heading2"/>
        <w:spacing w:after="120" w:before="240"/>
      </w:pPr>
      <w:r>
        <w:rPr>
          <w:rFonts w:ascii="Arial" w:cs="Arial" w:eastAsia="Arial" w:hAnsi="Arial"/>
        </w:rPr>
        <w:t xml:space="preserve">Severe cutaneous adverse reactions (SJS/TEN, DRESS, AGEP) (DERM_SCAR)</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Dermatologic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Erythema multiforme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Associated with oral or genital erosions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Pustular drug eruption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IV antibiotic or steroid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 AGEP</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Stevens-Johnson syndrome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Skin sloughing covering &lt;10% BSA</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epidermal necrolysis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D72.12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 rash with eosinophilia and systemic symptoms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 rash with eosinophilia and systemic symptoms (DRESS)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L51.9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Erythema multiforme,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Erythema multiforme,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L51.0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Nonbullous erythema multiforme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Nonbullous erythema multiforme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L51.8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erythema multiforme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erythema multiforme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L51.1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Stevens-Johnson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Stevens-Johnson syndrome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L51.3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Stevens-Johnson syndrome-toxic epidermal necrolysis overlap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SJS-TEN overlap</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L51.2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epidermal necrolysis [Lyell]</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epidermal necrolysis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Stevens-johnson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1,003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21,990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epidermal necrolysis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974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14,884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Erythema multiforme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687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9,202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 reaction with eosinophilia and systemic symptoms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324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25,217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generalised exanthematous pustulosis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7,636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Palmoplantar pustulosis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504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SCAR from co-medications (allopurinol, sulfonamides, anticonvulsants, antibiotics) is often more likely than from the ICI.</w:t>
      </w:r>
    </w:p>
    <w:p>
      <w:pPr>
        <w:pStyle w:val="Heading2"/>
        <w:spacing w:after="120" w:before="240"/>
      </w:pPr>
      <w:r>
        <w:rPr>
          <w:rFonts w:ascii="Arial" w:cs="Arial" w:eastAsia="Arial" w:hAnsi="Arial"/>
        </w:rPr>
        <w:t xml:space="preserve">Vitiligo / depigmentation (VITILIGO)</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Dermatologic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Skin hypopigmentation</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term covering vitiligo</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L81.5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Leukoderma, not elsewhere classified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Leukoderma, NEC</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L81.6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disorders of diminished melanin formation</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disorders of diminished melanin formation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L80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Vitiligo</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Vitiligo</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Vitiligo</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508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2,275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Leukoderma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107.3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Skin depigmentation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1,341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Skin hypopigmentation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1,731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Retinal depigmentation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Pre-existing vitiligo, post-inflammatory hypopigmentation.</w:t>
      </w:r>
    </w:p>
    <w:p>
      <w:pPr>
        <w:pStyle w:val="Heading2"/>
        <w:spacing w:after="120" w:before="240"/>
      </w:pPr>
      <w:r>
        <w:rPr>
          <w:rFonts w:ascii="Arial" w:cs="Arial" w:eastAsia="Arial" w:hAnsi="Arial"/>
        </w:rPr>
        <w:t xml:space="preserve">Inflammatory arthritis (ARTHRITIS)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Musculoskeletal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Arthritis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pain associated with signs of inflammation, erythema, or joint swelling; irreversible joint damage;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M13.8*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arthritis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arthritis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M13.80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arthritis, unspecified site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arthritis, unspecified site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M13.0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Polyarthritis,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Polyarthritis,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M06.00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Rheumatoid arthritis without rheumatoid factor, unspecified site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Seronegative rheumatoid arthritis, unspecified site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M06.9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Rheumatoid arthritis,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Rheumatoid arthritis, unspecified; used for ICI inflammatory arthritis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Arthritis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1,215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77,756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Rheumatoid arthritis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890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111,584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Polyarthritis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430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5,184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arthritis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350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365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1641.1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arthritis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81.2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Seronegative arthritis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1,108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Osteoarthritis, gout or pseudogout, septic arthritis, pre-existing rheumatoid arthritis flare, bone metastases.</w:t>
      </w:r>
    </w:p>
    <w:p>
      <w:pPr>
        <w:pStyle w:val="Heading2"/>
        <w:spacing w:after="120" w:before="240"/>
      </w:pPr>
      <w:r>
        <w:rPr>
          <w:rFonts w:ascii="Arial" w:cs="Arial" w:eastAsia="Arial" w:hAnsi="Arial"/>
        </w:rPr>
        <w:t xml:space="preserve">Polymyalgia rheumatica-like syndrome (PMR)</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Musculoskeletal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Musculoskeletal and connective tissue disorder - Other, specify</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CTCAE has no PMR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Giant cell arteritis with polymyalgia rheumatica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Giant cell arteritis with PMR</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M35.3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Polymyalgia rheumatica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Polymyalgia rheumatica</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Polymyalgia rheumatica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363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3,074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Myositis (CK elevated), hypothyroid myopathy, bone metastases, statin myalgia.</w:t>
      </w:r>
    </w:p>
    <w:p>
      <w:pPr>
        <w:pStyle w:val="Heading2"/>
        <w:spacing w:after="120" w:before="240"/>
      </w:pPr>
      <w:r>
        <w:rPr>
          <w:rFonts w:ascii="Arial" w:cs="Arial" w:eastAsia="Arial" w:hAnsi="Arial"/>
        </w:rPr>
        <w:t xml:space="preserve">Sicca syndrome / Sjogren-like (SICCA)</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Musculoskeletal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Salivary duct inflammation</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salivary gland necrosis; severe secretion-induced symptoms (e.g., thick saliva/oral secretions or gagging); tube feeding or TPN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Sialadenitis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K11.2*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Sialoadenitis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Sialoadenitis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M35.0*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Sjogren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Sicca syndrome (Sjogren)</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Sjogren^s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Sialoadenitis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1,340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Sicca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Noninfective sialoadenitis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Radiation xerostomia (head and neck RT), anticholinergic drugs, pre-existing Sjogren.</w:t>
      </w:r>
    </w:p>
    <w:p>
      <w:pPr>
        <w:pStyle w:val="Heading2"/>
        <w:spacing w:after="120" w:before="240"/>
      </w:pPr>
      <w:r>
        <w:rPr>
          <w:rFonts w:ascii="Arial" w:cs="Arial" w:eastAsia="Arial" w:hAnsi="Arial"/>
        </w:rPr>
        <w:t xml:space="preserve">Myositis (MYOSITIS)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Musculoskeletal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Myositis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Pain associated with severe weakness;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 overlaps with myocarditis and myasthenia</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G72.4*</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Inflammatory and immune myopathies, not elsewhere classified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Inflammatory and immune myopathies, NEC</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M60.9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Myositis,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Myositis,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M33.1*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dermatomyositis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dermatomyositis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M60.8*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myositis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myositis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M33.2*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Polymyositis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Polymyositis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1,859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8,854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myositis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732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2,603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27.5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8,551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Myocarditis-myositis-myasthenia gravis overlap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2447.5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Polymyositis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1,744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myositis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452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Statin myopathy, steroid myopathy, hypothyroid myopathy, paraneoplastic myositis; screen for concurrent myocarditis and myasthenia.</w:t>
      </w:r>
    </w:p>
    <w:p>
      <w:pPr>
        <w:pStyle w:val="Heading2"/>
        <w:spacing w:after="120" w:before="240"/>
      </w:pPr>
      <w:r>
        <w:rPr>
          <w:rFonts w:ascii="Arial" w:cs="Arial" w:eastAsia="Arial" w:hAnsi="Arial"/>
        </w:rPr>
        <w:t xml:space="preserve">Myasthenia gravis / myasthenic syndrome (MYASTHENIA)</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Neurologic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Myasthenia gravis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G70.80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Lambert-Eaton syndrome,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Lambert-Eaton syndrome,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G70.01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Myasthenia gravis with (acute) exacerbation</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Myasthenia gravis with exacerbation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G70.00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Myasthenia gravis without (acute) exacerbation</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Myasthenia gravis without exacerbation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G70.1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myoneural disorders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myoneural disorders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Myasthenia gravis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1,294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7,772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myasthenia gravis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289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1693.8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Myasthenic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752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Myocarditis-myositis-myasthenia gravis overlap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2447.5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Myasthenia gravis crisis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Ocular myasthenia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Pre-existing MG, Lambert-Eaton (paraneoplastic, small cell lung cancer), myositis with ocular involvement, brainstem lesions.</w:t>
      </w:r>
    </w:p>
    <w:p>
      <w:pPr>
        <w:pStyle w:val="Heading2"/>
        <w:spacing w:after="120" w:before="240"/>
      </w:pPr>
      <w:r>
        <w:rPr>
          <w:rFonts w:ascii="Arial" w:cs="Arial" w:eastAsia="Arial" w:hAnsi="Arial"/>
        </w:rPr>
        <w:t xml:space="preserve">Guillain-Barre syndrome / inflammatory polyradiculoneuropathy (GBS)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Neurologic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Guillain-Barre syndrome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G61.81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Chronic inflammatory demyelinating polyneuritis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Chronic inflammatory demyelinating polyneuritis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G61.0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Guillain-Barre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Guillain-Barre syndrome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G61.9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Inflammatory polyneuropathy,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Inflammatory polyneuropathy,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G61.89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inflammatory polyneuropathies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inflammatory polyneuropathies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Guillain-barre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517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4,761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Demyelinating polyneuropathy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1,016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Chronic inflammatory demyelinating polyradiculoneuropathy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1,400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Miller fisher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Polyradiculoneuropathy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60.3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Axonal and demyelinating polyneuropathy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Chemotherapy neuropathy, leptomeningeal disease, spinal cord compression, critical illness polyneuropathy.</w:t>
      </w:r>
    </w:p>
    <w:p>
      <w:pPr>
        <w:pStyle w:val="Heading2"/>
        <w:spacing w:after="120" w:before="240"/>
      </w:pPr>
      <w:r>
        <w:rPr>
          <w:rFonts w:ascii="Arial" w:cs="Arial" w:eastAsia="Arial" w:hAnsi="Arial"/>
        </w:rPr>
        <w:t xml:space="preserve">Peripheral, cranial, and autonomic neuropathy (PERIPHERAL_NEUROPATHY)</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Neurologic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Autonomic neuropathy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Facial nerve disorder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symptoms;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Facial palsy is a reported ICI neuropathy</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G51.0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Bell's palsy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Bell palsy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G90.9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Disorder of the autonomic nervous system,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Disorder of autonomic nervous system,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G62.0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polyneuropathy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polyneuropathy; usually chemotherapy (platinum, taxane)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G62.9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Polyneuropathy,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Polyneuropathy, unspecified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Facial paralysis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8,372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neuropathy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334.8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Chemotherapy-induced neuropathy (very common in combination regimens), diabetic neuropathy, B12 deficiency, tumor compression.</w:t>
      </w:r>
    </w:p>
    <w:p>
      <w:pPr>
        <w:pStyle w:val="Heading2"/>
        <w:spacing w:after="120" w:before="240"/>
      </w:pPr>
      <w:r>
        <w:rPr>
          <w:rFonts w:ascii="Arial" w:cs="Arial" w:eastAsia="Arial" w:hAnsi="Arial"/>
        </w:rPr>
        <w:t xml:space="preserve">Aseptic meningitis (ASEPTIC_MENINGITIS)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Neurologic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Aseptic meningitis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Steroid therapy indicated; severe changes in mental status; self-limited seizure activity; neurologic abnormalities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G03.8</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Meningitis due to other specified causes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Meningitis due to other specified causes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G03.9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Meningitis,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G03.0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Nonpyogenic meningitis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Nonpyogenic meningitis (aseptic)</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387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6,596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Meningitis aseptic</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377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4,416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Meningitis noninfective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Infectious meningitis, leptomeningeal carcinomatosis, drug-induced aseptic meningitis (NSAIDs, IVIG).</w:t>
      </w:r>
    </w:p>
    <w:p>
      <w:pPr>
        <w:pStyle w:val="Heading2"/>
        <w:spacing w:after="120" w:before="240"/>
      </w:pPr>
      <w:r>
        <w:rPr>
          <w:rFonts w:ascii="Arial" w:cs="Arial" w:eastAsia="Arial" w:hAnsi="Arial"/>
        </w:rPr>
        <w:t xml:space="preserve">Encephalitis / meningoencephalitis (ENCEPHALITIS)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Neurologic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Encephalitis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antibiotic, antifungal, or antiviral intervention indicated; steroid therapy indicated; severe changes in mental status; self-limited seizure activity; neurologic abnormalities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Encephalomyelitis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antibiotic, antifungal, or antiviral intervention indicated; steroid therapy indicated; severe changes in mental status; self-limited seizure activity; neurologic abnormalities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Meningoencephalitis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IV antibiotic, antifungal, or antiviral intervention indicated; steroid therapy indicated; severe changes in mental status; self-limited seizure activity; neurologic abnormalities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G04.00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disseminated encephalitis and encephalomyelitis,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disseminated encephalitis,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G04.90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Encephalitis and encephalomyelitis,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Encephalitis and encephalomyelitis,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G04.81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encephalitis and encephalomyelitis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encephalitis and encephalomyelitis (includes autoimmune encephalitis)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G04.89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myelitis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myelitis/encephalitis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G04.02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Postimmunization acute disseminated encephalitis, myelitis and encephalomyelitis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Postimmunization ADEM; check index</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Encephalitis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1,094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6,807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encephalitis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457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489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1004.4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Encephalitis autoimmune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353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1,276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Limbic encephalitis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276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Noninfective encephalitis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706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Meningoencephalitis herpetic</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HSV or other viral encephalitis, brain metastases, PRES, metabolic encephalopathy, ICANS after CAR-T.</w:t>
      </w:r>
    </w:p>
    <w:p>
      <w:pPr>
        <w:pStyle w:val="Heading2"/>
        <w:spacing w:after="120" w:before="240"/>
      </w:pPr>
      <w:r>
        <w:rPr>
          <w:rFonts w:ascii="Arial" w:cs="Arial" w:eastAsia="Arial" w:hAnsi="Arial"/>
        </w:rPr>
        <w:t xml:space="preserve">Transverse myelitis (MYELITIS)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Neurologic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Myelitis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weakness or sensory loss;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 (Infections SOC in CTCAE, but non-infectious myelitis also graded here)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G37.3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transverse myelitis in demyelinating disease of central nervous system</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Acute transverse myelitis in demyelinating disease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G04.91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Myelitis,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Myelitis, unspecified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Myelitis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1,533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Myelitis transverse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1,391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myelitis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131.9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Epidural metastasis or cord compression, radiation myelopathy, infection, multiple sclerosis or NMOSD.</w:t>
      </w:r>
    </w:p>
    <w:p>
      <w:pPr>
        <w:pStyle w:val="Heading2"/>
        <w:spacing w:after="120" w:before="240"/>
      </w:pPr>
      <w:r>
        <w:rPr>
          <w:rFonts w:ascii="Arial" w:cs="Arial" w:eastAsia="Arial" w:hAnsi="Arial"/>
        </w:rPr>
        <w:t xml:space="preserve">Uveitis / scleritis / episcleritis (OCULAR_INFLAMMATION)</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Ocular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Scleral disorder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Symptomatic with marked decrease in visual acuity (best corrected visual acuity worse than 20/40 or more than 3 lines of decreased vision from known baseline, up to 20/200);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Scleritis/episcleritis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Uveitis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Anterior uveitis with 3+ or greater cells; intermediate posterior or pan-uveitis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H30*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Chorioretinal inflammation</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56</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Chorioretinal inflammation (posterior uveitis)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H15.1*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Episcleritis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Episcleritis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H20*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Iridocyclitis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Iridocyclitis (anterior uveitis)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H44.11*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Panuveitis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Panuveitis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H15.0*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Scleritis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Scleritis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Uveitis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608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13,330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uveitis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3059.4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Iridocyclitis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3,086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Vogt-koyanagi-harada disease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51.9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Chorioretinitis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635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Infectious uveitis (HSV, CMV, syphilis), endophthalmitis, conjunctivitis, MEK inhibitor retinopathy (combination BRAF/MEK).</w:t>
      </w:r>
    </w:p>
    <w:p>
      <w:pPr>
        <w:pStyle w:val="Heading2"/>
        <w:spacing w:after="120" w:before="240"/>
      </w:pPr>
      <w:r>
        <w:rPr>
          <w:rFonts w:ascii="Arial" w:cs="Arial" w:eastAsia="Arial" w:hAnsi="Arial"/>
        </w:rPr>
        <w:t xml:space="preserve">Optic neuritis (OPTIC_NEURITIS)</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Ocular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Optic nerve disorder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Marked decrease in visual acuity (best corrected visual acuity worse than 20/40 or more than 3 lines of decreased vision from known baseline, up to 20/200)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Broader term</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Optic neuritis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sight-threatening; decrease in visual acuity (best corrected visual acuity worse than 20/40 or more than 3 lines of decreased vision from known baseline, up to 20/200) in the affected eye; oral steroids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H47.01*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Ischemic optic neuropathy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Ischemic optic neuropathy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H46*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Optic neuritis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Optic neuritis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Optic neuritis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9,000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Optic neuropathy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2,071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optic neuritis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1758.3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Toxic optic neuropathy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425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Ischemic optic neuropathy, papilledema, MS or NMOSD, compressive lesion.</w:t>
      </w:r>
    </w:p>
    <w:p>
      <w:pPr>
        <w:pStyle w:val="Heading2"/>
        <w:spacing w:after="120" w:before="240"/>
      </w:pPr>
      <w:r>
        <w:rPr>
          <w:rFonts w:ascii="Arial" w:cs="Arial" w:eastAsia="Arial" w:hAnsi="Arial"/>
        </w:rPr>
        <w:t xml:space="preserve">Autoimmune hemolytic anemia (AIHA)</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Hematologic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Hemolytic anemia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&gt;2 units of PRBCs per day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D59.10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hemolytic anemia,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hemolytic anemia,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D59.12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Cold autoimmune hemolytic anemia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Cold autoimmune hemolytic anemia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autoimmune hemolytic anemia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autoimmune hemolytic anemia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D59.13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Mixed type autoimmune hemolytic anemia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Mixed type AIHA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autoimmune hemolytic anemia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autoimmune hemolytic anemia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D59.11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Warm autoimmune hemolytic anemia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Warm autoimmune hemolytic anemia</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haemolytic anaemia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422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3,366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Haemolytic anaemia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298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8,876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Haemolysis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7,637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0.9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Cold type haemolytic anaemia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Warm type haemolytic anaemia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Microangiopathic hemolysis (TMA), G6PD deficiency with oxidant drugs, transfusion reaction, marrow infiltration.</w:t>
      </w:r>
    </w:p>
    <w:p>
      <w:pPr>
        <w:pStyle w:val="Heading2"/>
        <w:spacing w:after="120" w:before="240"/>
      </w:pPr>
      <w:r>
        <w:rPr>
          <w:rFonts w:ascii="Arial" w:cs="Arial" w:eastAsia="Arial" w:hAnsi="Arial"/>
        </w:rPr>
        <w:t xml:space="preserve">Immune thrombocytopenia (ITP)</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Hematologic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Thrombocytopenia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&lt;50,000 - 10,000/mm3; &lt;50.0 - 10.0 x 10^9/L; transfusion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 as a disorder term; also chemotherapy-related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D69.3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 thrombocytopenic purpura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 thrombocytopenic purpura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D69.59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secondary thrombocytopenia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secondary thrombocytopenia</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 thrombocytopenia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570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4,416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Chemotherapy myelosuppression, marrow infiltration, HIT, DIC, TTP.</w:t>
      </w:r>
    </w:p>
    <w:p>
      <w:pPr>
        <w:pStyle w:val="Heading2"/>
        <w:spacing w:after="120" w:before="240"/>
      </w:pPr>
      <w:r>
        <w:rPr>
          <w:rFonts w:ascii="Arial" w:cs="Arial" w:eastAsia="Arial" w:hAnsi="Arial"/>
        </w:rPr>
        <w:t xml:space="preserve">Aplastic anemia / marrow failure (APLASTIC_ANEMIA)</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Hematologic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Aplastic anemia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Bone marrow hypocellular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Severely hypocellular or &gt;50 - &lt;=75% reduction cellularity from normal for age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Marrow failure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Acquired pure red cell aplasia [erythroblastopenia]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Acquired pure red cell aplasia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Aplastic anemia,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Aplastic anemia,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D61.1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aplastic anemia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Drug-induced aplastic anemia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D61.811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drug-induced pancytopenia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drug-induced pancytopenia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D61.89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aplastic anemias and other bone marrow failure syndromes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aplastic anemias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Bone marrow failure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400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20,194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Febrile bone marrow aplasia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328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4,133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Aplasia pure red cell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188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3,394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Aplastic anaemia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5,175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aplastic anaemia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Chemotherapy myelosuppression, marrow infiltration by tumor, HLH.</w:t>
      </w:r>
    </w:p>
    <w:p>
      <w:pPr>
        <w:pStyle w:val="Heading2"/>
        <w:spacing w:after="120" w:before="240"/>
      </w:pPr>
      <w:r>
        <w:rPr>
          <w:rFonts w:ascii="Arial" w:cs="Arial" w:eastAsia="Arial" w:hAnsi="Arial"/>
        </w:rPr>
        <w:t xml:space="preserve">Thrombotic microangiopathy (TTP / HUS) (TMA)</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Hematologic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Hemolytic uremic syndrome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Laboratory findings with clinical consequences (e.g., renal insufficiency, petechiae)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Thrombotic microangiopathy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Transfusion or IV intervention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Thrombotic thrombocytopenic purpura</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Laboratory findings with clinical consequences (e.g., renal insufficiency, petechiae)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Graded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D59.3*</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Hemolytic-uremic syndrome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Hemolytic-uremic syndrome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M31.19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thrombotic microangiopathy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thrombotic microangiopathy (includes acquired TTP)</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M31.10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Thrombotic microangiopathy,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Thrombotic microangiopathy, unspecified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Thrombotic microangiopathy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260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9,560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Thrombotic thrombocytopenic purpura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3,485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Haemolytic uraemic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2,315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Renal-limited thrombotic microangiopathy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Atypical haemolytic uraemic syndrome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796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Pulmonary tumour thrombotic microangiopathy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DIC, malignant hypertension, chemotherapy (gemcitabine, mitomycin) or calcineurin inhibitor TMA.</w:t>
      </w:r>
    </w:p>
    <w:p>
      <w:pPr>
        <w:pStyle w:val="Heading2"/>
        <w:spacing w:after="120" w:before="240"/>
      </w:pPr>
      <w:r>
        <w:rPr>
          <w:rFonts w:ascii="Arial" w:cs="Arial" w:eastAsia="Arial" w:hAnsi="Arial"/>
        </w:rPr>
        <w:t xml:space="preserve">Hemophagocytic lymphohistiocytosis (HLH)</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Hematologic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Secondary hemophagocytic lymphohistiocytosis (new in v6.0)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 threatening; hospitalization or prolongation of existing hospitalization indicated</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New in v6.0</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D76.1</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Hemophagocytic lymphohistiocytosis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Hemophagocytic lymphohistiocytosis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Haemophagocytic lymphohistiocytosis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849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7,131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Macrophage activation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Infection- or lymphoma-associated HLH, sepsis, CRS.</w:t>
      </w:r>
    </w:p>
    <w:p>
      <w:pPr>
        <w:pStyle w:val="Heading2"/>
        <w:spacing w:after="120" w:before="240"/>
      </w:pPr>
      <w:r>
        <w:rPr>
          <w:rFonts w:ascii="Arial" w:cs="Arial" w:eastAsia="Arial" w:hAnsi="Arial"/>
        </w:rPr>
        <w:t xml:space="preserve">Sarcoid-like granulomatous reaction (SARCOID_LIKE)</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Systemic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 system disorders - Other, specify</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No dedicated CTCAE term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D86*</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Sarcoidosis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Sarcoidosis; ICI sarcoid-like reaction usually coded here</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Sarcoidosis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209</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4,690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Pulmonary sarcoidosis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1,091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Cutaneous sarcoidosis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418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Sarcoidosis of lymph node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53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12.5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Cardiac sarcoidosis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Ocular sarcoidosis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Disease progression (hilar nodes mimic metastasis), TB or fungal granulomas.</w:t>
      </w:r>
    </w:p>
    <w:p>
      <w:pPr>
        <w:pStyle w:val="Heading2"/>
        <w:spacing w:after="120" w:before="240"/>
      </w:pPr>
      <w:r>
        <w:rPr>
          <w:rFonts w:ascii="Arial" w:cs="Arial" w:eastAsia="Arial" w:hAnsi="Arial"/>
        </w:rPr>
        <w:t xml:space="preserve">Immune-related adverse event, organ not specified (IRAE_UNSPECIFIED)</w:t>
      </w:r>
    </w:p>
    <w:p>
      <w:pPr>
        <w:spacing w:after="120"/>
      </w:pPr>
      <w:r>
        <w:rPr>
          <w:rFonts w:ascii="Arial" w:cs="Arial" w:eastAsia="Arial" w:hAnsi="Arial"/>
          <w:b/>
          <w:bCs/>
          <w:sz w:val="22"/>
          <w:szCs w:val="22"/>
        </w:rPr>
        <w:t xml:space="preserve">Organ system: </w:t>
      </w:r>
      <w:r>
        <w:rPr>
          <w:rFonts w:ascii="Arial" w:cs="Arial" w:eastAsia="Arial" w:hAnsi="Arial"/>
          <w:b w:val="false"/>
          <w:bCs w:val="false"/>
          <w:sz w:val="22"/>
          <w:szCs w:val="22"/>
        </w:rPr>
        <w:t xml:space="preserve">Systemic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200"/>
        <w:gridCol w:w="3000"/>
      </w:tblGrid>
      <w:tr>
        <w:trPr>
          <w:tblHeader/>
        </w:trPr>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CTCAE v6.0 term</w:t>
            </w:r>
          </w:p>
        </w:tc>
        <w:tc>
          <w:tcPr>
            <w:tcW w:type="dxa" w:w="31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Grade 3</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disorder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reactions involving major organ (e.g., colitis, anemia, myocarditis, kidney)</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Catch-all autoimmune term</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 system disorders - Other, specify</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Severe or medically significant but not immediately life-threatening; hospitalization or prolongation of existing hospitalization indicated; limiting self-care ADL or severe impact on age-appropriate normal daily activity (pediatric)</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Catch-all</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1000"/>
        <w:gridCol w:w="1200"/>
        <w:gridCol w:w="32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ICD-10-CM</w:t>
            </w:r>
          </w:p>
        </w:tc>
        <w:tc>
          <w:tcPr>
            <w:tcW w:type="dxa" w:w="28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Billable codes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D89.9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Disorder involving the immune mechanism, unspecified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Disorder involving the immune mechanism, unspecified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D89.89</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disorders involving the immune mechanism, not elsewhere classified</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Other specified disorders involving the immune mechanism</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100"/>
        <w:gridCol w:w="1700"/>
      </w:tblGrid>
      <w:tr>
        <w:trPr>
          <w:tblHeader/>
        </w:trPr>
        <w:tc>
          <w:tcPr>
            <w:tcW w:type="dxa" w:w="37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FAERS reaction term</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ICI reports</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All reports</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PRR</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adverse reaction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1,130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1,442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254.7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Autoimmune disorder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757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9,445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6.1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r>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Immune-mediated endocrinopathy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136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140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2391.3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Moderate</w:t>
            </w:r>
          </w:p>
        </w:tc>
      </w:tr>
    </w:tbl>
    <w:p>
      <w:pPr>
        <w:spacing w:after="160" w:before="160"/>
      </w:pPr>
      <w:r>
        <w:rPr>
          <w:rFonts w:ascii="Arial" w:cs="Arial" w:eastAsia="Arial" w:hAnsi="Arial"/>
          <w:b/>
          <w:bCs/>
          <w:sz w:val="22"/>
          <w:szCs w:val="22"/>
        </w:rPr>
        <w:t xml:space="preserve">Look-alikes: </w:t>
      </w:r>
      <w:r>
        <w:rPr>
          <w:rFonts w:ascii="Arial" w:cs="Arial" w:eastAsia="Arial" w:hAnsi="Arial"/>
          <w:sz w:val="22"/>
          <w:szCs w:val="22"/>
        </w:rPr>
        <w:t xml:space="preserve">Use only when the organ is unknown; organ-specific categories take precedence.</w:t>
      </w:r>
    </w:p>
    <w:p>
      <w:pPr>
        <w:pStyle w:val="Heading1"/>
        <w:spacing w:after="120" w:before="240"/>
      </w:pPr>
      <w:r>
        <w:rPr>
          <w:rFonts w:ascii="Arial" w:cs="Arial" w:eastAsia="Arial" w:hAnsi="Arial"/>
        </w:rPr>
        <w:t xml:space="preserve">6. Drug-cause companion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100"/>
        <w:gridCol w:w="396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Code</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Role</w:t>
            </w:r>
          </w:p>
        </w:tc>
        <w:tc>
          <w:tcPr>
            <w:tcW w:type="dxa" w:w="396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r>
              <w:rPr>
                <w:rFonts w:ascii="Arial" w:cs="Arial" w:eastAsia="Arial" w:hAnsi="Arial"/>
                <w:b/>
                <w:bCs/>
                <w:sz w:val="18"/>
                <w:szCs w:val="18"/>
              </w:rPr>
              <w:t xml:space="preserve">Note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T45.1X5*</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Adverse effect of antineoplastic and immunosuppressive drugs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companion</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Adverse effect of antineoplastic and immunosuppressive drugs. The code used for ICI adverse effects before 2024-10-01; also covers chemotherapy and immunosuppressants.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T45.AX5*</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Adverse effect of immune checkpoint inhibitors and immunostimulant drugs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companion</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Adverse effect of immune checkpoint inhibitors and immunostimulant drugs. Added in FY2025 (effective 2024-10-01). Use for encounters on or after that date.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T45.AX1*</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Poisoning by immune checkpoint inhibitors and immunostimulant drugs, accidental (unintentional)</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lookalike</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sz w:val="18"/>
                <w:szCs w:val="18"/>
              </w:rPr>
              <w:t xml:space="preserve">Poisoning (overdose), not an adverse effect at therapeutic dose; listed so analysts do not confuse it.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An ICD-10-CM condition code alone does not attribute the condition to a checkpoint inhibitor. Attribution in coded data depends on a drug-cause code on the same encounter: T45.AX5- for encounters on or after 1 October 2024, and T45.1X5- before that date. T45.1X5- also covers chemotherapy and immunosuppressants, so analyses before October 2024 cannot separate checkpoint inhibitor toxicity from chemotherapy toxicity by code alone.</w:t>
      </w:r>
    </w:p>
    <w:p>
      <w:pPr>
        <w:pStyle w:val="Heading1"/>
        <w:spacing w:after="120" w:before="240"/>
      </w:pPr>
      <w:r>
        <w:rPr>
          <w:rFonts w:ascii="Arial" w:cs="Arial" w:eastAsia="Arial" w:hAnsi="Arial"/>
        </w:rPr>
        <w:t xml:space="preserve">7. Limitations</w:t>
      </w:r>
    </w:p>
    <w:p>
      <w:pPr>
        <w:spacing w:after="120"/>
      </w:pPr>
      <w:r>
        <w:rPr>
          <w:rFonts w:ascii="Arial" w:cs="Arial" w:eastAsia="Arial" w:hAnsi="Arial"/>
          <w:b/>
          <w:bCs/>
          <w:sz w:val="22"/>
          <w:szCs w:val="22"/>
        </w:rPr>
        <w:t xml:space="preserve">A code is not a diagnosis of an irAE. </w:t>
      </w:r>
      <w:r>
        <w:rPr>
          <w:rFonts w:ascii="Arial" w:cs="Arial" w:eastAsia="Arial" w:hAnsi="Arial"/>
          <w:b w:val="false"/>
          <w:bCs w:val="false"/>
          <w:sz w:val="22"/>
          <w:szCs w:val="22"/>
        </w:rPr>
        <w:t xml:space="preserve">An ICD-10-CM code such as K52.1 (toxic gastroenteritis and colitis) says what the clinician recorded, not that an immune checkpoint inhibitor caused it. Attribution in records usually depends on a companion drug-cause code (T45.AX5- or T45.1X5-), clinical notes, and timing. irAE-Map supplies the code lists; it does not validate them against chart review. Sensitivity and positive predictive value of these code sets in real EHR data are unknown until someone measures them (see NEXT_STEPS).</w:t>
      </w:r>
    </w:p>
    <w:p>
      <w:pPr>
        <w:spacing w:after="120"/>
      </w:pPr>
      <w:r>
        <w:rPr>
          <w:rFonts w:ascii="Arial" w:cs="Arial" w:eastAsia="Arial" w:hAnsi="Arial"/>
          <w:b/>
          <w:bCs/>
          <w:sz w:val="22"/>
          <w:szCs w:val="22"/>
        </w:rPr>
        <w:t xml:space="preserve">The drug-cause code changed on 2024-10-01. </w:t>
      </w:r>
      <w:r>
        <w:rPr>
          <w:rFonts w:ascii="Arial" w:cs="Arial" w:eastAsia="Arial" w:hAnsi="Arial"/>
          <w:b w:val="false"/>
          <w:bCs w:val="false"/>
          <w:sz w:val="22"/>
          <w:szCs w:val="22"/>
        </w:rPr>
        <w:t xml:space="preserve">T45.AX5- (adverse effect of immune checkpoint inhibitors and immunostimulant drugs) entered ICD-10-CM in FY2025. Before that date, ICI adverse effects were coded with T45.1X5-, which also covers chemotherapy and immunosuppressants. Analyses spanning that date must use both, and T45.1X5- alone cannot separate ICI from chemotherapy toxicity. T45.AX5- also covers "immunostimulant drugs" beyond checkpoint inhibitors.</w:t>
      </w:r>
    </w:p>
    <w:p>
      <w:pPr>
        <w:spacing w:after="120"/>
      </w:pPr>
      <w:r>
        <w:rPr>
          <w:rFonts w:ascii="Arial" w:cs="Arial" w:eastAsia="Arial" w:hAnsi="Arial"/>
          <w:b/>
          <w:bCs/>
          <w:sz w:val="22"/>
          <w:szCs w:val="22"/>
        </w:rPr>
        <w:t xml:space="preserve">Many codes are shared with non-immune causes. </w:t>
      </w:r>
      <w:r>
        <w:rPr>
          <w:rFonts w:ascii="Arial" w:cs="Arial" w:eastAsia="Arial" w:hAnsi="Arial"/>
          <w:b w:val="false"/>
          <w:bCs w:val="false"/>
          <w:sz w:val="22"/>
          <w:szCs w:val="22"/>
        </w:rPr>
        <w:t xml:space="preserve">Codes rated Moderate or Low confidence (for example E03.9 hypothyroidism, unspecified; K52.9 noninfective colitis, unspecified) are common in patients who never received immunotherapy. Their usefulness depends on the analyst restricting to treated patients and a time window.</w:t>
      </w:r>
    </w:p>
    <w:p>
      <w:pPr>
        <w:spacing w:after="120"/>
      </w:pPr>
      <w:r>
        <w:rPr>
          <w:rFonts w:ascii="Arial" w:cs="Arial" w:eastAsia="Arial" w:hAnsi="Arial"/>
          <w:b/>
          <w:bCs/>
          <w:sz w:val="22"/>
          <w:szCs w:val="22"/>
        </w:rPr>
        <w:t xml:space="preserve">FAERS counts are reports, not patients or incidence. </w:t>
      </w:r>
      <w:r>
        <w:rPr>
          <w:rFonts w:ascii="Arial" w:cs="Arial" w:eastAsia="Arial" w:hAnsi="Arial"/>
          <w:b w:val="false"/>
          <w:bCs w:val="false"/>
          <w:sz w:val="22"/>
          <w:szCs w:val="22"/>
        </w:rPr>
        <w:t xml:space="preserve">FAERS is a spontaneous reporting system. Counts reflect reporting behavior, duplicates, stimulated reporting after publications and label changes, and missing data. They cannot estimate how often an irAE happens. ici_prr compares how often a term appears in reports naming an ICI versus all other reports; it is a descriptive over-representation measure, not a validated disproportionality signal (no confidence interval, no stratification, no deduplication).</w:t>
      </w:r>
    </w:p>
    <w:p>
      <w:pPr>
        <w:spacing w:after="120"/>
      </w:pPr>
      <w:r>
        <w:rPr>
          <w:rFonts w:ascii="Arial" w:cs="Arial" w:eastAsia="Arial" w:hAnsi="Arial"/>
          <w:b/>
          <w:bCs/>
          <w:sz w:val="22"/>
          <w:szCs w:val="22"/>
        </w:rPr>
        <w:t xml:space="preserve">openFDA cannot tie the reaction to the ICI within a report. </w:t>
      </w:r>
      <w:r>
        <w:rPr>
          <w:rFonts w:ascii="Arial" w:cs="Arial" w:eastAsia="Arial" w:hAnsi="Arial"/>
          <w:b w:val="false"/>
          <w:bCs w:val="false"/>
          <w:sz w:val="22"/>
          <w:szCs w:val="22"/>
        </w:rPr>
        <w:t xml:space="preserve">The query finds reports in which any listed drug is one of the 13 ICIs (by harmonized generic name or by raw product name, generic or brand). It cannot require that the ICI is the *suspect* drug, because openFDA does not match drug-level fields within the same drug record. Some counted reports will list the ICI as a concomitant drug.</w:t>
      </w:r>
    </w:p>
    <w:p>
      <w:pPr>
        <w:spacing w:after="120"/>
      </w:pPr>
      <w:r>
        <w:rPr>
          <w:rFonts w:ascii="Arial" w:cs="Arial" w:eastAsia="Arial" w:hAnsi="Arial"/>
          <w:b/>
          <w:bCs/>
          <w:sz w:val="22"/>
          <w:szCs w:val="22"/>
        </w:rPr>
        <w:t xml:space="preserve">openFDA coverage of drug names is incomplete. </w:t>
      </w:r>
      <w:r>
        <w:rPr>
          <w:rFonts w:ascii="Arial" w:cs="Arial" w:eastAsia="Arial" w:hAnsi="Arial"/>
          <w:b w:val="false"/>
          <w:bCs w:val="false"/>
          <w:sz w:val="22"/>
          <w:szCs w:val="22"/>
        </w:rPr>
        <w:t xml:space="preserve">On 2026-10-13, openFDA's harmonized generic-name field returned 0 reports for avelumab, tislelizumab and retifanlimab; we added raw product-name matching (generic and brand names) to recover them. Misspelled or foreign product names are still missed.</w:t>
      </w:r>
    </w:p>
    <w:p>
      <w:pPr>
        <w:spacing w:after="120"/>
      </w:pPr>
      <w:r>
        <w:rPr>
          <w:rFonts w:ascii="Arial" w:cs="Arial" w:eastAsia="Arial" w:hAnsi="Arial"/>
          <w:b/>
          <w:bCs/>
          <w:sz w:val="22"/>
          <w:szCs w:val="22"/>
        </w:rPr>
        <w:t xml:space="preserve">FAERS candidate terms come from keyword searches capped at 100 terms each </w:t>
      </w:r>
      <w:r>
        <w:rPr>
          <w:rFonts w:ascii="Arial" w:cs="Arial" w:eastAsia="Arial" w:hAnsi="Arial"/>
          <w:b w:val="false"/>
          <w:bCs w:val="false"/>
          <w:sz w:val="22"/>
          <w:szCs w:val="22"/>
        </w:rPr>
        <w:t xml:space="preserve">(without an openFDA API key). Rare MedDRA terms outside the top 100 for every keyword can be missed. Re-running code/01_fetch.py with OPENFDA_API_KEY set raises the cap to 1,000. Report counts for the candidate terms themselves are exact (direct per-term queries where the keyword count was not exact).</w:t>
      </w:r>
    </w:p>
    <w:p>
      <w:pPr>
        <w:spacing w:after="120"/>
      </w:pPr>
      <w:r>
        <w:rPr>
          <w:rFonts w:ascii="Arial" w:cs="Arial" w:eastAsia="Arial" w:hAnsi="Arial"/>
          <w:b/>
          <w:bCs/>
          <w:sz w:val="22"/>
          <w:szCs w:val="22"/>
        </w:rPr>
        <w:t xml:space="preserve">Category boundaries are a clinical judgment. </w:t>
      </w:r>
      <w:r>
        <w:rPr>
          <w:rFonts w:ascii="Arial" w:cs="Arial" w:eastAsia="Arial" w:hAnsi="Arial"/>
          <w:b w:val="false"/>
          <w:bCs w:val="false"/>
          <w:sz w:val="22"/>
          <w:szCs w:val="22"/>
        </w:rPr>
        <w:t xml:space="preserve">The categories follow the ASCO 2021 irAE guideline's organ groups, with additions. Other groupings (for example combining thyroid categories, or separating cholangitis from hepatitis) are equally defensible. Some terms legitimately map to more than one category (thyroiditis; the myocarditis-myositis-myasthenia overlap).</w:t>
      </w:r>
    </w:p>
    <w:p>
      <w:pPr>
        <w:spacing w:after="120"/>
      </w:pPr>
      <w:r>
        <w:rPr>
          <w:rFonts w:ascii="Arial" w:cs="Arial" w:eastAsia="Arial" w:hAnsi="Arial"/>
          <w:b/>
          <w:bCs/>
          <w:sz w:val="22"/>
          <w:szCs w:val="22"/>
        </w:rPr>
        <w:t xml:space="preserve">MedDRA licensing. </w:t>
      </w:r>
      <w:r>
        <w:rPr>
          <w:rFonts w:ascii="Arial" w:cs="Arial" w:eastAsia="Arial" w:hAnsi="Arial"/>
          <w:b w:val="false"/>
          <w:bCs w:val="false"/>
          <w:sz w:val="22"/>
          <w:szCs w:val="22"/>
        </w:rPr>
        <w:t xml:space="preserve">CTCAE v6.0 terms and FAERS reaction terms are MedDRA terms. MedDRA is maintained by ICH and licensed through MSSO. irAE-Map republishes term names and the CTCAE LLT codes exactly as they appear in NCI's and FDA's free public releases, and does not redistribute the MedDRA hierarchy or MedDRA PT codes. [VERIFY] Users who need MedDRA codes or hierarchy should obtain a MedDRA license.</w:t>
      </w:r>
    </w:p>
    <w:p>
      <w:pPr>
        <w:spacing w:after="120"/>
      </w:pPr>
      <w:r>
        <w:rPr>
          <w:rFonts w:ascii="Arial" w:cs="Arial" w:eastAsia="Arial" w:hAnsi="Arial"/>
          <w:b/>
          <w:bCs/>
          <w:sz w:val="22"/>
          <w:szCs w:val="22"/>
        </w:rPr>
        <w:t xml:space="preserve">ICD-10-CM is US-specific and versioned. </w:t>
      </w:r>
      <w:r>
        <w:rPr>
          <w:rFonts w:ascii="Arial" w:cs="Arial" w:eastAsia="Arial" w:hAnsi="Arial"/>
          <w:b w:val="false"/>
          <w:bCs w:val="false"/>
          <w:sz w:val="22"/>
          <w:szCs w:val="22"/>
        </w:rPr>
        <w:t xml:space="preserve">Codes are valid for FY2027 (2026-10-01 to 2027-09-30). Codes added, deleted or revised in later releases require a new irAE-Map version (v2.0 planned for FY2028). Other countries' ICD-10 modifications differ.</w:t>
      </w:r>
    </w:p>
    <w:p>
      <w:pPr>
        <w:spacing w:after="120"/>
      </w:pPr>
      <w:r>
        <w:rPr>
          <w:rFonts w:ascii="Arial" w:cs="Arial" w:eastAsia="Arial" w:hAnsi="Arial"/>
          <w:b/>
          <w:bCs/>
          <w:sz w:val="22"/>
          <w:szCs w:val="22"/>
        </w:rPr>
        <w:t xml:space="preserve">CTCAE grade text is copied verbatim. </w:t>
      </w:r>
      <w:r>
        <w:rPr>
          <w:rFonts w:ascii="Arial" w:cs="Arial" w:eastAsia="Arial" w:hAnsi="Arial"/>
          <w:b w:val="false"/>
          <w:bCs w:val="false"/>
          <w:sz w:val="22"/>
          <w:szCs w:val="22"/>
        </w:rPr>
        <w:t xml:space="preserve">irAE-Map does not convert grades into code-based rules; ICD-10-CM codes do not carry CTCAE grade except G92.0- (ICANS), which is not an ICI irAE.</w:t>
      </w:r>
    </w:p>
    <w:p>
      <w:pPr>
        <w:spacing w:after="120"/>
      </w:pPr>
      <w:r>
        <w:rPr>
          <w:rFonts w:ascii="Arial" w:cs="Arial" w:eastAsia="Arial" w:hAnsi="Arial"/>
          <w:b/>
          <w:bCs/>
          <w:sz w:val="22"/>
          <w:szCs w:val="22"/>
        </w:rPr>
        <w:t xml:space="preserve">Candidates were proposed by rules and drafted with AI assistance. </w:t>
      </w:r>
      <w:r>
        <w:rPr>
          <w:rFonts w:ascii="Arial" w:cs="Arial" w:eastAsia="Arial" w:hAnsi="Arial"/>
          <w:b w:val="false"/>
          <w:bCs w:val="false"/>
          <w:sz w:val="22"/>
          <w:szCs w:val="22"/>
        </w:rPr>
        <w:t xml:space="preserve">Search rules, code families and draft rationales were produced by Claude (Anthropic) from the public sources. Every mapping in the released table was reviewed and decided by the author; rows not decided are not released. Rules can still miss relevant codes or terms; the full candidate lists are published so others can check what was considered.</w:t>
      </w:r>
    </w:p>
    <w:p>
      <w:pPr>
        <w:pStyle w:val="Heading1"/>
        <w:spacing w:after="120" w:before="240"/>
      </w:pPr>
      <w:r>
        <w:rPr>
          <w:rFonts w:ascii="Arial" w:cs="Arial" w:eastAsia="Arial" w:hAnsi="Arial"/>
        </w:rPr>
        <w:t xml:space="preserve">8. Use of AI assistance</w:t>
      </w:r>
    </w:p>
    <w:p>
      <w:pPr>
        <w:spacing w:after="120"/>
      </w:pPr>
      <w:r>
        <w:rPr>
          <w:rFonts w:ascii="Arial" w:cs="Arial" w:eastAsia="Arial" w:hAnsi="Arial"/>
          <w:sz w:val="22"/>
          <w:szCs w:val="22"/>
        </w:rPr>
        <w:t xml:space="preserve">Claude (Anthropic) wrote the data-processing code, the candidate search rules, and the draft role, confidence and rationale for candidates. The author made and checked every mapping decision, reviewed the code's outputs against the sources, and is responsible for the content.</w:t>
      </w:r>
    </w:p>
    <w:p>
      <w:pPr>
        <w:pStyle w:val="Heading1"/>
        <w:spacing w:after="120" w:before="240"/>
      </w:pPr>
      <w:r>
        <w:rPr>
          <w:rFonts w:ascii="Arial" w:cs="Arial" w:eastAsia="Arial" w:hAnsi="Arial"/>
        </w:rPr>
        <w:t xml:space="preserve">9. Versioning and maintenance</w:t>
      </w:r>
    </w:p>
    <w:p>
      <w:pPr>
        <w:spacing w:after="120"/>
      </w:pPr>
      <w:r>
        <w:rPr>
          <w:rFonts w:ascii="Arial" w:cs="Arial" w:eastAsia="Arial" w:hAnsi="Arial"/>
          <w:sz w:val="22"/>
          <w:szCs w:val="22"/>
        </w:rPr>
        <w:t xml:space="preserve">irAE-Map uses semantic versioning. ICD-10-CM changes every 1 October; version 2.0, aligned to the FY2028 code files, is planned for October 2027 after CMS and CDC publish them. A Python package, iraemap, that applies the table to a user's codes is planned (version 0.1, March 2027). Corrections and suggestions are welcome through the repository's issue tracker.</w:t>
      </w:r>
    </w:p>
    <w:p>
      <w:pPr>
        <w:pStyle w:val="Heading1"/>
        <w:spacing w:after="120" w:before="240"/>
      </w:pPr>
      <w:r>
        <w:rPr>
          <w:rFonts w:ascii="Arial" w:cs="Arial" w:eastAsia="Arial" w:hAnsi="Arial"/>
        </w:rPr>
        <w:t xml:space="preserve">10. How to cite</w:t>
      </w:r>
    </w:p>
    <w:p>
      <w:pPr>
        <w:spacing w:after="120"/>
      </w:pPr>
      <w:r>
        <w:rPr>
          <w:rFonts w:ascii="Arial" w:cs="Arial" w:eastAsia="Arial" w:hAnsi="Arial"/>
          <w:sz w:val="22"/>
          <w:szCs w:val="22"/>
        </w:rPr>
        <w:t xml:space="preserve">[VERIFY: name exactly as it should appear]. irAE-Map: codebook and mapping rationale, version 1.0.0. Zenodo. DOI: [pending first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8A5A00"/>
        <w:sz w:val="16"/>
        <w:szCs w:val="16"/>
      </w:rPr>
      <w:t xml:space="preserve">PREVIEW  |  </w:t>
    </w:r>
    <w:r>
      <w:rPr>
        <w:rFonts w:ascii="Arial" w:cs="Arial" w:eastAsia="Arial" w:hAnsi="Arial"/>
        <w:color w:val="666666"/>
        <w:sz w:val="16"/>
        <w:szCs w:val="16"/>
      </w:rPr>
      <w:t xml:space="preserve">irAE-Map 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3A5F"/>
      <w:sz w:val="24"/>
      <w:szCs w:val="24"/>
    </w:rPr>
  </w:style>
  <w:style w:type="paragraph" w:styleId="Title">
    <w:name w:val="Title"/>
    <w:basedOn w:val="Normal"/>
    <w:pPr>
      <w:spacing w:after="200" w:before="1200"/>
    </w:pPr>
    <w:rPr>
      <w:rFonts w:ascii="Arial" w:cs="Arial" w:eastAsia="Arial" w:hAnsi="Arial"/>
      <w:b/>
      <w:bCs/>
      <w:color w:val="1F3A5F"/>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irAE-Map 1.0.0: codebook and mapping rationale</dc:title>
  <dc:creator>[VERIFY: name exactly as it should appear]</dc:creator>
  <cp:lastModifiedBy>Un-named</cp:lastModifiedBy>
  <cp:revision>1</cp:revision>
  <dcterms:created xsi:type="dcterms:W3CDTF">2026-10-13T19:35:35.519Z</dcterms:created>
  <dcterms:modified xsi:type="dcterms:W3CDTF">2026-10-13T19:35:35.519Z</dcterms:modified>
</cp:coreProperties>
</file>

<file path=docProps/custom.xml><?xml version="1.0" encoding="utf-8"?>
<Properties xmlns="http://schemas.openxmlformats.org/officeDocument/2006/custom-properties" xmlns:vt="http://schemas.openxmlformats.org/officeDocument/2006/docPropsVTypes"/>
</file>