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Absa is willing to support Khula’s proposal to participate in the payment system as a TPPP.  It is however important to note that: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i w:val="1"/>
          <w:color w:val="222222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ind w:left="940" w:hanging="360"/>
        <w:rPr/>
      </w:pP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In terms of s 7 of the NPS Act, Khula may as a regular feature of its business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accept money or payment instructions from any other person for purposes of making payment on behalf of that other person to a third person to whom that payment is due</w:t>
      </w: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, if the money is accepted or payment made in accordance with directive issued by SARB from time to time.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i w:val="1"/>
          <w:color w:val="222222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Exec Comments: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hd w:fill="ffffff" w:val="clear"/>
        <w:ind w:left="720" w:hanging="360"/>
        <w:rPr>
          <w:rFonts w:ascii="Calibri" w:cs="Calibri" w:eastAsia="Calibri" w:hAnsi="Calibri"/>
          <w:b w:val="1"/>
          <w:color w:val="38761d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rtl w:val="0"/>
        </w:rPr>
        <w:t xml:space="preserve">ALL GOOD HERE</w:t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ind w:left="940" w:hanging="360"/>
        <w:rPr/>
      </w:pP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Payment</w:t>
      </w: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 can only be due if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contract between the Buyer and the Seller has been concluded </w:t>
      </w: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(even if such contract is subject to fulfillment of certain conditions).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i w:val="1"/>
          <w:color w:val="222222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Exec Comments: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Calibri" w:cs="Calibri" w:eastAsia="Calibri" w:hAnsi="Calibri"/>
          <w:color w:val="222222"/>
          <w:shd w:fill="e6b8af" w:val="clear"/>
        </w:rPr>
      </w:pPr>
      <w:r w:rsidDel="00000000" w:rsidR="00000000" w:rsidRPr="00000000">
        <w:rPr>
          <w:rFonts w:ascii="Calibri" w:cs="Calibri" w:eastAsia="Calibri" w:hAnsi="Calibri"/>
          <w:color w:val="222222"/>
          <w:shd w:fill="e6b8af" w:val="clear"/>
          <w:rtl w:val="0"/>
        </w:rPr>
        <w:t xml:space="preserve">Do we need to implement a contract for each transaction? How do we define a contract?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rFonts w:ascii="Calibri" w:cs="Calibri" w:eastAsia="Calibri" w:hAnsi="Calibri"/>
          <w:color w:val="222222"/>
          <w:shd w:fill="e6b8af" w:val="clear"/>
        </w:rPr>
      </w:pPr>
      <w:r w:rsidDel="00000000" w:rsidR="00000000" w:rsidRPr="00000000">
        <w:rPr>
          <w:rFonts w:ascii="Calibri" w:cs="Calibri" w:eastAsia="Calibri" w:hAnsi="Calibri"/>
          <w:color w:val="222222"/>
          <w:shd w:fill="e6b8af" w:val="clear"/>
          <w:rtl w:val="0"/>
        </w:rPr>
        <w:t xml:space="preserve">Are our current Ts and Cs enough to cover this point?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rFonts w:ascii="Calibri" w:cs="Calibri" w:eastAsia="Calibri" w:hAnsi="Calibri"/>
          <w:color w:val="222222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color w:val="222222"/>
          <w:shd w:fill="b6d7a8" w:val="clear"/>
          <w:rtl w:val="0"/>
        </w:rPr>
        <w:t xml:space="preserve">Could make this point more explicit in the Ts and Cs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ind w:left="940" w:hanging="360"/>
        <w:rPr/>
      </w:pP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Accepting money or payment instructions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rtl w:val="0"/>
        </w:rPr>
        <w:t xml:space="preserve">where payment is not due</w:t>
      </w: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 will not comply with the requirements of s 7 of the NPS Act or Directive 1/2007.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Calibri" w:cs="Calibri" w:eastAsia="Calibri" w:hAnsi="Calibri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rFonts w:ascii="Calibri" w:cs="Calibri" w:eastAsia="Calibri" w:hAnsi="Calibri"/>
          <w:i w:val="1"/>
          <w:color w:val="222222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Exec Comments: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ind w:left="720" w:hanging="360"/>
        <w:rPr>
          <w:rFonts w:ascii="Calibri" w:cs="Calibri" w:eastAsia="Calibri" w:hAnsi="Calibri"/>
          <w:color w:val="222222"/>
          <w:shd w:fill="e6b8af" w:val="clear"/>
        </w:rPr>
      </w:pPr>
      <w:r w:rsidDel="00000000" w:rsidR="00000000" w:rsidRPr="00000000">
        <w:rPr>
          <w:rFonts w:ascii="Calibri" w:cs="Calibri" w:eastAsia="Calibri" w:hAnsi="Calibri"/>
          <w:color w:val="222222"/>
          <w:shd w:fill="e6b8af" w:val="clear"/>
          <w:rtl w:val="0"/>
        </w:rPr>
        <w:t xml:space="preserve">Can a retailer allocate a budget on the system that are intended to be used for buying from farmers? In a two-way scenario, does this contradict point 1 ?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Calibri" w:cs="Calibri" w:eastAsia="Calibri" w:hAnsi="Calibri"/>
          <w:color w:val="222222"/>
          <w:shd w:fill="e6b8af" w:val="clear"/>
        </w:rPr>
      </w:pPr>
      <w:r w:rsidDel="00000000" w:rsidR="00000000" w:rsidRPr="00000000">
        <w:rPr>
          <w:rFonts w:ascii="Calibri" w:cs="Calibri" w:eastAsia="Calibri" w:hAnsi="Calibri"/>
          <w:color w:val="222222"/>
          <w:shd w:fill="e6b8af" w:val="clear"/>
          <w:rtl w:val="0"/>
        </w:rPr>
        <w:t xml:space="preserve">Would Absa need to hold the account in this scenario?</w:t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720" w:hanging="360"/>
        <w:rPr>
          <w:rFonts w:ascii="Calibri" w:cs="Calibri" w:eastAsia="Calibri" w:hAnsi="Calibri"/>
          <w:color w:val="222222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color w:val="222222"/>
          <w:shd w:fill="b6d7a8" w:val="clear"/>
          <w:rtl w:val="0"/>
        </w:rPr>
        <w:t xml:space="preserve">Funds being placed in the system are intended for use.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720" w:hanging="360"/>
        <w:rPr>
          <w:rFonts w:ascii="Calibri" w:cs="Calibri" w:eastAsia="Calibri" w:hAnsi="Calibri"/>
          <w:color w:val="222222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color w:val="222222"/>
          <w:shd w:fill="b6d7a8" w:val="clear"/>
          <w:rtl w:val="0"/>
        </w:rPr>
        <w:t xml:space="preserve">Withdrawal account is a pre verified, authorised &amp; configured external account account, provided by the client - can’t randomly be changed.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720" w:hanging="360"/>
        <w:rPr>
          <w:rFonts w:ascii="Calibri" w:cs="Calibri" w:eastAsia="Calibri" w:hAnsi="Calibri"/>
          <w:color w:val="222222"/>
          <w:u w:val="none"/>
          <w:shd w:fill="b6d7a8" w:val="clear"/>
        </w:rPr>
      </w:pPr>
      <w:r w:rsidDel="00000000" w:rsidR="00000000" w:rsidRPr="00000000">
        <w:rPr>
          <w:rFonts w:ascii="Calibri" w:cs="Calibri" w:eastAsia="Calibri" w:hAnsi="Calibri"/>
          <w:color w:val="222222"/>
          <w:shd w:fill="b6d7a8" w:val="clear"/>
          <w:rtl w:val="0"/>
        </w:rPr>
        <w:t xml:space="preserve">Destination party is known, the transaction is not concluded. We know who the receivers could be. It’s not an open loop environment - all users are pre-vetted</w:t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ind w:left="940" w:hanging="360"/>
      </w:pPr>
      <w:r w:rsidDel="00000000" w:rsidR="00000000" w:rsidRPr="00000000">
        <w:rPr>
          <w:rFonts w:ascii="Calibri" w:cs="Calibri" w:eastAsia="Calibri" w:hAnsi="Calibri"/>
          <w:i w:val="1"/>
          <w:color w:val="222222"/>
          <w:rtl w:val="0"/>
        </w:rPr>
        <w:t xml:space="preserve">If Khula does accept money from a payer when no payment is due to a third party (i.e where the contract between Buyer and Seller has not been concluded as yet), this may be considered to be an activity that constitutes the business of a bank as defined in the Banks Act, specifically the acceptance of deposits from the general public.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22222"/>
          <w:rtl w:val="0"/>
        </w:rPr>
        <w:t xml:space="preserve">None of the exceptions applicable under the Banks Act seem to apply to the use cases presented in this regard</w:t>
      </w:r>
      <w:r w:rsidDel="00000000" w:rsidR="00000000" w:rsidRPr="00000000">
        <w:rPr>
          <w:b w:val="1"/>
          <w:i w:val="1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