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ACX750成员A多帧数据与PC验证任务说明</w:t>
      </w:r>
    </w:p>
    <w:p>
      <w:pPr>
        <w:pStyle w:val="Subtitle"/>
      </w:pPr>
      <w:r>
        <w:t>接收人  成员 A    日期  2026年10月3日</w:t>
      </w:r>
    </w:p>
    <w:p>
      <w:r>
        <w:t>请 A 在 C 进行新版单帧板测期间，并行交付不同输入帧的整数 Golden、预录短序列、离线对拍和播放工具。第一优先级是第二张不同全尺寸输入及其 Golden，交付后即可解除 C 的双帧数值验证缺项。</w:t>
      </w:r>
    </w:p>
    <w:p>
      <w:pPr>
        <w:pStyle w:val="Heading2"/>
      </w:pPr>
      <w:r>
        <w:t>一 本轮目标与工程边界</w:t>
      </w:r>
    </w:p>
    <w:p>
      <w:r>
        <w:t>当前阶段目标是预录连续多帧输入 → FPGA 超分 → PC 回传播放，帧率暂不设严格门槛。ROM 单图和 UART 单帧对拍是检查点；摄像头与 HDMI 属于后续竞赛。本说明细化 A 已有的数据与参考职责，不改变当前 ACX750 部署任务书的主线。</w:t>
      </w:r>
    </w:p>
    <w:p>
      <w:r>
        <w:t>B 的板测候选固定为 6cc8ea4173d2a720f741e80b7cbd9279558ee93a，分支 member-b-2025-2-bc-trial。后来发布的 200 MHz V1/V2/V6 实验不混入本轮数据或板测基线。A 继续使用已冻结的 d16/s8/m1/c16 模型、权重和量化参数。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4252"/>
        <w:gridCol w:w="4252"/>
      </w:tblGrid>
      <w:tr>
        <w:trPr>
          <w:tblHeader/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fill="E7E7E7"/>
          </w:tcPr>
          <w:p>
            <w:pPr>
              <w:spacing w:after="40" w:line="252" w:lineRule="auto"/>
            </w:pPr>
            <w:r>
              <w:rPr>
                <w:b/>
                <w:sz w:val="19"/>
              </w:rPr>
              <w:t>协作方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fill="E7E7E7"/>
          </w:tcPr>
          <w:p>
            <w:pPr>
              <w:spacing w:after="40" w:line="252" w:lineRule="auto"/>
            </w:pPr>
            <w:r>
              <w:rPr>
                <w:b/>
                <w:sz w:val="19"/>
              </w:rPr>
              <w:t>本轮负责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fill="E7E7E7"/>
          </w:tcPr>
          <w:p>
            <w:pPr>
              <w:spacing w:after="40" w:line="252" w:lineRule="auto"/>
            </w:pPr>
            <w:r>
              <w:rPr>
                <w:b/>
                <w:sz w:val="19"/>
              </w:rPr>
              <w:t>交接关系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A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不同帧输入及整数 Golden；序列与校验清单；PC 对拍播放工具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先交第二帧；协议冻结后接 PC 通信层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C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完整板级构建；单帧上板；接收、缓冲、帧调度、回传与连续帧板测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阶段6交接单帧证据，继续阶段7至10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我们与 B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核查单帧证据；评审帧边界与反压；必要时配合核心接口调试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不替 C 擅自决定实体引脚或通信格式</w:t>
            </w:r>
          </w:p>
        </w:tc>
      </w:tr>
    </w:tbl>
    <w:p/>
    <w:p>
      <w:pPr>
        <w:pStyle w:val="Heading2"/>
      </w:pPr>
      <w:r>
        <w:t>二 可以立即开工的工作</w:t>
      </w:r>
    </w:p>
    <w:p>
      <w:r>
        <w:t>数据生成、manifest、离线比较和文件播放均不依赖 150 MHz 板测通过。UART 或 UDP 的消息格式、分块、CRC 和流控由 A/C 联合确认，C 负责硬件实现；A 在协议未定前保持软件数据层与通信层分开。</w:t>
      </w:r>
    </w:p>
    <w:p>
      <w:r>
        <w:t>C 阶段6交接必须附源码与 overlay、完整 XDC、工具和构建脚本、后布线时序及 DRC、bitstream 哈希与配置记录、原始回读文件及对拍结果。若仅100 MHz通过，可交接已通过部分和150 MHz失败证据，沿100 MHz继续多帧功能。</w:t>
      </w:r>
    </w:p>
    <w:p>
      <w:r>
        <w:br w:type="page"/>
      </w:r>
    </w:p>
    <w:p>
      <w:pPr>
        <w:pStyle w:val="Heading1"/>
      </w:pPr>
      <w:r>
        <w:t>三 优先交付第二个全尺寸用例</w:t>
      </w:r>
    </w:p>
    <w:p>
      <w:pPr>
        <w:pStyle w:val="Heading2"/>
      </w:pPr>
      <w:r>
        <w:t>先核验既有参考</w:t>
      </w:r>
    </w:p>
    <w:p>
      <w:pPr>
        <w:pStyle w:val="ListNumber"/>
      </w:pPr>
      <w:r>
        <w:t>记录 A 实际仓库提交、工作区状态和运行环境。助手本地资产快照为 98c82f394bdfba85bc2959bede9760edc4d6862f，仅供定位；A 应以自己核验过的冻结资产与实际提交为准。</w:t>
      </w:r>
    </w:p>
    <w:p>
      <w:pPr>
        <w:pStyle w:val="ListNumber"/>
      </w:pPr>
      <w:r>
        <w:t>在已有 A 环境执行 scripts/verify_full_integer_golden.py --recompute。保留全层重算与最终逐字节匹配记录；失败时先排查资产或环境，不生成新验收 Golden。</w:t>
      </w:r>
    </w:p>
    <w:p>
      <w:pPr>
        <w:spacing w:line="240" w:lineRule="auto" w:after="120"/>
      </w:pPr>
      <w:r>
        <w:rPr>
          <w:rFonts w:ascii="Consolas" w:hAnsi="Consolas" w:eastAsia="Microsoft YaHei"/>
          <w:sz w:val="18"/>
        </w:rPr>
        <w:t>python scripts/verify_full_integer_golden.py --recompute</w:t>
      </w:r>
    </w:p>
    <w:p>
      <w:r>
        <w:t>以上 python 指 A 已验收环境的解释器，不要求重新安装或重训。旧权威输出共2,073,600字节，SHA-256应为：</w:t>
      </w:r>
    </w:p>
    <w:p>
      <w:pPr>
        <w:spacing w:line="240" w:lineRule="auto" w:after="120"/>
      </w:pPr>
      <w:r>
        <w:rPr>
          <w:rFonts w:ascii="Consolas" w:hAnsi="Consolas" w:eastAsia="Microsoft YaHei"/>
          <w:sz w:val="18"/>
        </w:rPr>
        <w:t>be8e576beea1632e6ee8257ba39a92c9c7950e9ae90b202bd240677e2d85504e</w:t>
      </w:r>
    </w:p>
    <w:p>
      <w:pPr>
        <w:pStyle w:val="Heading2"/>
      </w:pPr>
      <w:r>
        <w:t>生成新的不同帧</w:t>
      </w:r>
    </w:p>
    <w:p>
      <w:pPr>
        <w:pStyle w:val="ListNumber"/>
      </w:pPr>
      <w:r>
        <w:t>保留旧帧作为 frame_0000，新增明显不同的 frame_0001。可先用另一张已获许可的自然图像；要求输入字节与旧帧不同，预览能区分，且输出 Golden 也不同，便于发现重复输出旧帧。</w:t>
      </w:r>
    </w:p>
    <w:p>
      <w:pPr>
        <w:pStyle w:val="ListNumber"/>
      </w:pPr>
      <w:r>
        <w:t>将新输入固定为960×540单通道uint8，输出固定为1920×1080单通道uint8。保存行优先原始 .bin 与PNG预览，生成过程记录原图来源和全部预处理。</w:t>
      </w:r>
    </w:p>
    <w:p>
      <w:pPr>
        <w:pStyle w:val="ListNumber"/>
      </w:pPr>
      <w:r>
        <w:t>调用冻结整数参考生成新 Golden，使用独立目录，保存最终输出、逐层摘要和文件哈希。无需为每帧存完整中间特征图；出现失配时再导出相应层。</w:t>
      </w:r>
    </w:p>
    <w:p>
      <w:pPr>
        <w:pStyle w:val="ListNumber"/>
      </w:pPr>
      <w:r>
        <w:t>重算新输入的整数参考，验证全部输出字节及摘要一致。交付第二帧时同时给出旧帧来源引用，让 C 能获得成对数据。</w:t>
      </w:r>
    </w:p>
    <w:p>
      <w:pPr>
        <w:pStyle w:val="Heading2"/>
      </w:pPr>
      <w:r>
        <w:t>复用现有代码的注意事项</w:t>
      </w:r>
    </w:p>
    <w:p>
      <w:r>
        <w:t>现有 scripts/generate_full_integer_golden.py 和验证脚本的命令行入口写死旧单帧目录；src/member_a/artifacts.py 中 generate_full_integer_golden 已接收 quant_dir、input_bin、output_dir，可复用。新增 CLI 或批处理入口，保留原入口兼容，不覆盖旧 artifacts/full_integer_golden。</w:t>
      </w:r>
    </w:p>
    <w:p>
      <w:r>
        <w:t>生成器写出的 quant_params.path 为相对路径，换成深层多帧目录后必须修正路径解析或在序列manifest中明确量化资产位置和哈希。每帧目录只能包含本帧文件，避免旧残留被收进清单。</w:t>
      </w:r>
    </w:p>
    <w:p>
      <w:r>
        <w:br w:type="page"/>
      </w:r>
    </w:p>
    <w:p>
      <w:pPr>
        <w:pStyle w:val="Heading1"/>
      </w:pPr>
      <w:r>
        <w:t>四 扩展预录短序列与数据规格</w:t>
      </w:r>
    </w:p>
    <w:p>
      <w:r>
        <w:t>第二帧先交付，随后准备一段内容按时间变化的预录序列。建议先取10帧作为第一轮调试序列，数量可与C按运行成本约定；10帧不是新增的强制验收门槛。两张独立图片用于双帧边界测试，预录序列用于实际回传播放，两类用途都应标明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rPr>
          <w:tblHeader/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fill="E7E7E7"/>
          </w:tcPr>
          <w:p>
            <w:pPr>
              <w:spacing w:after="40" w:line="252" w:lineRule="auto"/>
            </w:pPr>
            <w:r>
              <w:rPr>
                <w:b/>
                <w:sz w:val="19"/>
              </w:rPr>
              <w:t>文件或字段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fill="E7E7E7"/>
          </w:tcPr>
          <w:p>
            <w:pPr>
              <w:spacing w:after="40" w:line="252" w:lineRule="auto"/>
            </w:pPr>
            <w:r>
              <w:rPr>
                <w:b/>
                <w:sz w:val="19"/>
              </w:rPr>
              <w:t>规格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输入原始帧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960×540×1；uint8；行优先；518,400字节；无文件头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整数 Golden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1920×1080×1；uint8；行优先；2,073,600字节；无文件头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数据顺序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文件 frame_id 与 order 明确；采样时间和原视频帧号另存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ROM补零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仅ROM辅助文件深度524,288，末尾5,888字节补0；通信输入仍为518,400字节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模型与量化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冻结d16/s8/m1/c16；保存量化JSON与所有读取参数文件的哈希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预览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输入和Golden灰度PNG，像素不做额外增强或归一化</w:t>
            </w:r>
          </w:p>
        </w:tc>
      </w:tr>
    </w:tbl>
    <w:p/>
    <w:p>
      <w:pPr>
        <w:pStyle w:val="Heading2"/>
      </w:pPr>
      <w:r>
        <w:t>预处理必须可复现</w:t>
      </w:r>
    </w:p>
    <w:p>
      <w:pPr>
        <w:pStyle w:val="ListBullet"/>
      </w:pPr>
      <w:r>
        <w:t>选择团队有权使用的短视频，记录源文件名、SHA-256、分辨率、帧率或时间戳、抽帧位置；按原顺序取样，不随机打乱。无需先寻找有高分辨率真值的视频。</w:t>
      </w:r>
    </w:p>
    <w:p>
      <w:pPr>
        <w:pStyle w:val="ListBullet"/>
      </w:pPr>
      <w:r>
        <w:t>记录裁切、缩放顺序及插值方法。明确Y的转换公式、输入色彩顺序、全范围或有限范围、舍入与裁剪规则。不要把OpenCV默认灰度转换和视频解码Y平面视为同一处理。</w:t>
      </w:r>
    </w:p>
    <w:p>
      <w:pPr>
        <w:pStyle w:val="ListBullet"/>
      </w:pPr>
      <w:r>
        <w:t>算法只接收导出的uint8 Y字节。输入转换确定后，本轮Golden与PC发送必须读取同一份 .bin，禁止各自再转换一次。</w:t>
      </w:r>
    </w:p>
    <w:p>
      <w:pPr>
        <w:pStyle w:val="ListBullet"/>
      </w:pPr>
      <w:r>
        <w:t>超分Golden是冻结整数模型的输出，不是原视频高分辨率真值。没有配对HR真值时，不给出该序列PSNR提升结论。</w:t>
      </w:r>
    </w:p>
    <w:p>
      <w:pPr>
        <w:pStyle w:val="Heading2"/>
      </w:pPr>
      <w:r>
        <w:t>建议分两次交付</w:t>
      </w:r>
    </w:p>
    <w:p>
      <w:r>
        <w:t>第一包为旧帧引用加第二个不同帧，供C立即做双帧验证。第二包为预录短序列及完整manifest，供连续运行和播放。辅助ROM可在C确有需要时生成；多帧通信不应要求每换一帧都重新综合或烧录。</w:t>
      </w:r>
    </w:p>
    <w:p>
      <w:r>
        <w:br w:type="page"/>
      </w:r>
    </w:p>
    <w:p>
      <w:pPr>
        <w:pStyle w:val="Heading1"/>
      </w:pPr>
      <w:r>
        <w:t>五 序列清单和工具入口</w:t>
      </w:r>
    </w:p>
    <w:p>
      <w:pPr>
        <w:pStyle w:val="Heading2"/>
      </w:pPr>
      <w:r>
        <w:t>manifest必须能定位每个字节文件</w:t>
      </w:r>
    </w:p>
    <w:p>
      <w:r>
        <w:t>序列清单采用UTF-8 JSON，路径相对交付包根目录。至少保存schema版本、序列ID、A代码commit、模型名、量化资产清单与SHA、源视频与预处理、帧数，以及每帧frame_id、order、源帧号/时间戳、输入和Golden路径、尺寸、类型、长度、CRC32、SHA-256。</w:t>
      </w:r>
    </w:p>
    <w:p>
      <w:pPr>
        <w:spacing w:line="240" w:lineRule="auto" w:after="120"/>
      </w:pPr>
      <w:r>
        <w:rPr>
          <w:rFonts w:ascii="Consolas" w:hAnsi="Consolas" w:eastAsia="Microsoft YaHei"/>
          <w:sz w:val="18"/>
        </w:rPr>
        <w:t>示意字段  实际值由A生成</w:t>
        <w:br/>
        <w:t>sequence_id: clip_01</w:t>
        <w:br/>
        <w:t>frame_id: 1    order: 1</w:t>
        <w:br/>
        <w:t>input.path: frames/frame_0001/input_y_u8.bin</w:t>
        <w:br/>
        <w:t>input.bytes: 518400</w:t>
        <w:br/>
        <w:t>golden.path: frames/frame_0001/output_y_u8.bin</w:t>
        <w:br/>
        <w:t>golden.bytes: 2073600</w:t>
        <w:br/>
        <w:t>input.sha256 / golden.sha256: 实际文件的64位十六进制哈希</w:t>
      </w:r>
    </w:p>
    <w:p>
      <w:r>
        <w:t>每帧可保留原生成器manifest与逐层stage_digests。序列清单应指向实际量化资产，不只记quant_params.json而遗漏其引用的权重与bias文件。SHA按实际二进制字节计算；ROM文本若使用换行归一化，必须另标canonical口径。</w:t>
      </w:r>
    </w:p>
    <w:p>
      <w:pPr>
        <w:pStyle w:val="Heading2"/>
      </w:pPr>
      <w:r>
        <w:t>建议实现的脚本接口</w:t>
      </w:r>
    </w:p>
    <w:p>
      <w:r>
        <w:t>下列脚本名和命令是待实现的建议接口，当前仓库没有这些入口。A可调整名称，但交付README必须给出真实可执行的完整命令、参数含义及退出码。</w:t>
      </w:r>
    </w:p>
    <w:p>
      <w:pPr>
        <w:spacing w:line="240" w:lineRule="auto" w:after="120"/>
      </w:pPr>
      <w:r>
        <w:rPr>
          <w:rFonts w:ascii="Consolas" w:hAnsi="Consolas" w:eastAsia="Microsoft YaHei"/>
          <w:sz w:val="18"/>
        </w:rPr>
        <w:t>python scripts/generate_multiframe_golden.py --inputs inputs.json --quant-dir artifacts/quant --out artifacts/multiframe/clip_01</w:t>
        <w:br/>
        <w:br/>
        <w:t>python scripts/verify_multiframe_golden.py --manifest artifacts/multiframe/clip_01/manifest.json --recompute</w:t>
        <w:br/>
        <w:br/>
        <w:t>python scripts/compare_received_frames.py --manifest artifacts/multiframe/clip_01/manifest.json --received received/clip_01 --out results/clip_01</w:t>
        <w:br/>
        <w:br/>
        <w:t>python scripts/play_received_frames.py --received-manifest received/clip_01/received_manifest.json --fps 2</w:t>
      </w:r>
    </w:p>
    <w:p>
      <w:pPr>
        <w:pStyle w:val="ListBullet"/>
      </w:pPr>
      <w:r>
        <w:t>生成入口拒绝覆盖既有序列，或要求显式选择新输出目录；读取长度/形状/资产哈希不符应返回非零。</w:t>
      </w:r>
    </w:p>
    <w:p>
      <w:pPr>
        <w:pStyle w:val="ListBullet"/>
      </w:pPr>
      <w:r>
        <w:t>验证入口分别报告文件校验和整数全层重算，不把仅检查SHA描述成重新计算Golden。记录开始时间、实际耗时与解释器/库版本。</w:t>
      </w:r>
    </w:p>
    <w:p>
      <w:pPr>
        <w:pStyle w:val="ListBullet"/>
      </w:pPr>
      <w:r>
        <w:t>支持先生成两帧，再按同一接口扩展短序列。禁止调用run_all.py重新训练、重新校准或替换量化常数来匹配RTL。</w:t>
      </w:r>
    </w:p>
    <w:p>
      <w:r>
        <w:br w:type="page"/>
      </w:r>
    </w:p>
    <w:p>
      <w:pPr>
        <w:pStyle w:val="Heading1"/>
      </w:pPr>
      <w:r>
        <w:t>六 PC离线对拍播放与测试</w:t>
      </w:r>
    </w:p>
    <w:p>
      <w:pPr>
        <w:pStyle w:val="Heading2"/>
      </w:pPr>
      <w:r>
        <w:t>逐帧比较的输出</w:t>
      </w:r>
    </w:p>
    <w:p>
      <w:r>
        <w:t>离线比较读取序列manifest和C接收程序生成的received_manifest。逐帧报告frame_id、输入来源、接收路径、字节数、SHA、失配数、首个失配字节位置及对应行列、通过状态。先检查长度，再逐字节比较，不能裁剪、补零或重排文件以匹配Golden。</w:t>
      </w:r>
    </w:p>
    <w:p>
      <w:r>
        <w:t>received_manifest至少记录实际收到的帧号、接收顺序、文件路径、字节数、接收状态、CRC结果和时间戳。丢帧、重复、乱序由真实协议帧号和接收日志判断；只凭几个无帧号文件，不能证明线上未丢帧或未乱序。对于仅部分有Golden的序列，明确抽样范围，不宣称全部bit-exact。</w:t>
      </w:r>
    </w:p>
    <w:p>
      <w:pPr>
        <w:pStyle w:val="Heading2"/>
      </w:pPr>
      <w:r>
        <w:t>播放实际回传结果</w:t>
      </w:r>
    </w:p>
    <w:p>
      <w:r>
        <w:t>播放器按收到的帧清单显示1920×1080灰度输出，可先在全部接收完成后播放。显示序列ID、frame_id、当前文件来源和对拍状态；不能在缺帧时自动用Golden替代。Golden预览应使用独立模式并明确标识，避免把参考输出演示成FPGA回传。</w:t>
      </w:r>
    </w:p>
    <w:p>
      <w:r>
        <w:t>播放速度是演示参数，独立于FPGA吞吐。保存实际接收耗时、帧间隔和总帧数，播放fps不写入核心性能结论。C负责测量核心周期与stall，A负责接收和软件日志；统一定义计时起止事件。</w:t>
      </w:r>
    </w:p>
    <w:p>
      <w:pPr>
        <w:pStyle w:val="Heading2"/>
      </w:pPr>
      <w:r>
        <w:t>交付前的有意义测试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5669"/>
      </w:tblGrid>
      <w:tr>
        <w:trPr>
          <w:tblHeader/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fill="E7E7E7"/>
          </w:tcPr>
          <w:p>
            <w:pPr>
              <w:spacing w:after="40" w:line="252" w:lineRule="auto"/>
            </w:pPr>
            <w:r>
              <w:rPr>
                <w:b/>
                <w:sz w:val="19"/>
              </w:rPr>
              <w:t>用例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fill="E7E7E7"/>
          </w:tcPr>
          <w:p>
            <w:pPr>
              <w:spacing w:after="40" w:line="252" w:lineRule="auto"/>
            </w:pPr>
            <w:r>
              <w:rPr>
                <w:b/>
                <w:sz w:val="19"/>
              </w:rPr>
              <w:t>预期结果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已有权威单帧重算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输出2073600字节，SHA等于旧权威值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两帧及预录短序列重算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每帧来源正确，最终输出全字节一致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复制Golden作模拟接收数据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离线比较PASS；明确为软件自测，非板测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故意修改1字节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返回非零；失配数及首个位置正确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截短或追加1字节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长度检查失败，不裁剪或填补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缺帧 重复帧 乱序接收清单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按frame_id和order报告具体异常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量化或输入文件被改动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资产校验失败，不继续生成或验收</w:t>
            </w:r>
          </w:p>
        </w:tc>
      </w:tr>
    </w:tbl>
    <w:p/>
    <w:p>
      <w:r>
        <w:t>保存每项执行命令、退出码和摘要。软件工具自测通过不能写成FPGA多帧通过；最终以C实际回传文件、配置版本和板测日志为准。</w:t>
      </w:r>
    </w:p>
    <w:p>
      <w:r>
        <w:br w:type="page"/>
      </w:r>
    </w:p>
    <w:p>
      <w:pPr>
        <w:pStyle w:val="Heading1"/>
      </w:pPr>
      <w:r>
        <w:t>七 A与C的协议协作和交付目录</w:t>
      </w:r>
    </w:p>
    <w:p>
      <w:pPr>
        <w:pStyle w:val="Heading2"/>
      </w:pPr>
      <w:r>
        <w:t>哪些需要共同确认</w:t>
      </w:r>
    </w:p>
    <w:p>
      <w:r>
        <w:t>C阶段6交接后，A/C与我们先确认传输路线和消息格式。UART双向或UDP取决于板卡已有可复用工程；本说明不替C选择路线。已有TX单向单帧通路不等于已有输入接口。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69"/>
        <w:gridCol w:w="3969"/>
      </w:tblGrid>
      <w:tr>
        <w:trPr>
          <w:tblHeader/>
          <w:cantSplit/>
        </w:trPr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fill="E7E7E7"/>
          </w:tcPr>
          <w:p>
            <w:pPr>
              <w:spacing w:after="40" w:line="252" w:lineRule="auto"/>
            </w:pPr>
            <w:r>
              <w:rPr>
                <w:b/>
                <w:sz w:val="19"/>
              </w:rPr>
              <w:t>需冻结的内容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fill="E7E7E7"/>
          </w:tcPr>
          <w:p>
            <w:pPr>
              <w:spacing w:after="40" w:line="252" w:lineRule="auto"/>
            </w:pPr>
            <w:r>
              <w:rPr>
                <w:b/>
                <w:sz w:val="19"/>
              </w:rPr>
              <w:t>责任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TX RX或网络引脚 时钟域 实体例程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C提供硬件依据并实现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帧ID 字节序 消息类型 分块与长度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A/C共同确认协议文档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CRC范围 多项式 初值 反射 末异或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A/C明确全部参数和测试向量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流控 超时 重试 复位残留恢复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C定义缓冲能力，A实现匹配的PC行为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核心完成与发送排空的边界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C负责调度，我们评审握手与尾部状态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逐帧日志和时间口径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A/C约定字段并分别采集真实证据</w:t>
            </w:r>
          </w:p>
        </w:tc>
      </w:tr>
    </w:tbl>
    <w:p/>
    <w:p>
      <w:r>
        <w:t>建议先一帧处理并回传排空后再接收下一帧，无逐帧人工复位；随后才考虑重叠传输。A的软件须遵守C给出的可发送额度，禁止在缓冲满时继续无节制发字节。协议未冻结前，A先完成文件层与离线工具，不写死帧头和UART分块格式。</w:t>
      </w:r>
    </w:p>
    <w:p>
      <w:pPr>
        <w:pStyle w:val="Heading2"/>
      </w:pPr>
      <w:r>
        <w:t>建议交付结构</w:t>
      </w:r>
    </w:p>
    <w:p>
      <w:pPr>
        <w:spacing w:line="240" w:lineRule="auto" w:after="120"/>
      </w:pPr>
      <w:r>
        <w:rPr>
          <w:rFonts w:ascii="Consolas" w:hAnsi="Consolas" w:eastAsia="Microsoft YaHei"/>
          <w:sz w:val="18"/>
        </w:rPr>
        <w:t>artifacts/multiframe/clip_01/</w:t>
        <w:br/>
        <w:t xml:space="preserve">  manifest.json</w:t>
        <w:br/>
        <w:t xml:space="preserve">  preprocessing.json</w:t>
        <w:br/>
        <w:t xml:space="preserve">  frames/frame_0000/</w:t>
        <w:br/>
        <w:t xml:space="preserve">  frames/frame_0001/ ...</w:t>
        <w:br/>
        <w:t xml:space="preserve">    input_y_u8.bin    output_y_u8.bin</w:t>
        <w:br/>
        <w:t xml:space="preserve">    input.png        output.png</w:t>
        <w:br/>
        <w:t xml:space="preserve">    manifest.json</w:t>
        <w:br/>
        <w:t>results/multiframe/</w:t>
        <w:br/>
        <w:t xml:space="preserve">  generation_summary.json</w:t>
        <w:br/>
        <w:t xml:space="preserve">  verification_summary.json</w:t>
        <w:br/>
        <w:t xml:space="preserve">  tool_selftest_summary.json</w:t>
        <w:br/>
        <w:t>scripts/  生成 验证 对拍 播放入口</w:t>
        <w:br/>
        <w:t>docs/     使用说明 协议确认项与A交接</w:t>
      </w:r>
    </w:p>
    <w:p>
      <w:r>
        <w:t>每个交付包给出源码commit、是否有未提交修改、文件列表、SHA及下载位置。较大文件可放团队可访问附件，不用A本机磁盘路径作为唯一交付位置。使用说明中的命令以接收人检出目录为基准。</w:t>
      </w:r>
    </w:p>
    <w:p>
      <w:r>
        <w:br w:type="page"/>
      </w:r>
    </w:p>
    <w:p>
      <w:pPr>
        <w:pStyle w:val="Heading1"/>
      </w:pPr>
      <w:r>
        <w:t>八 分批交付顺序与验收清单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4082"/>
        <w:gridCol w:w="3969"/>
      </w:tblGrid>
      <w:tr>
        <w:trPr>
          <w:tblHeader/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fill="E7E7E7"/>
          </w:tcPr>
          <w:p>
            <w:pPr>
              <w:spacing w:after="40" w:line="252" w:lineRule="auto"/>
            </w:pPr>
            <w:r>
              <w:rPr>
                <w:b/>
                <w:sz w:val="19"/>
              </w:rPr>
              <w:t>批次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fill="E7E7E7"/>
          </w:tcPr>
          <w:p>
            <w:pPr>
              <w:spacing w:after="40" w:line="252" w:lineRule="auto"/>
            </w:pPr>
            <w:r>
              <w:rPr>
                <w:b/>
                <w:sz w:val="19"/>
              </w:rPr>
              <w:t>先交什么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  <w:shd w:fill="E7E7E7"/>
          </w:tcPr>
          <w:p>
            <w:pPr>
              <w:spacing w:after="40" w:line="252" w:lineRule="auto"/>
            </w:pPr>
            <w:r>
              <w:rPr>
                <w:b/>
                <w:sz w:val="19"/>
              </w:rPr>
              <w:t>接收方接下来能做什么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A1 优先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旧Golden复核记录；第二张不同全尺寸帧及整数Golden；成对manifest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C运行两张不同帧的功能测试；我们核对数据口径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A2 随后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预录短序列；逐帧参考；生成和重算验证脚本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C扩展连续帧回归，评审帧边界与反压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A3 并行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离线比较与实际回传文件播放器；软件错误用例记录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先做工具自测，随后对C实际回传数据验收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A4 协议冻结后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PC收发适配、接收manifest、超时及流控日志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9"/>
              </w:rPr>
              <w:t>与C联合做无逐帧复位的实体板闭环</w:t>
            </w:r>
          </w:p>
        </w:tc>
      </w:tr>
    </w:tbl>
    <w:p/>
    <w:p>
      <w:pPr>
        <w:pStyle w:val="Heading2"/>
      </w:pPr>
      <w:r>
        <w:t>每次交付按此格式汇报</w:t>
      </w:r>
    </w:p>
    <w:p>
      <w:pPr>
        <w:pStyle w:val="ListBullet"/>
      </w:pPr>
      <w:r>
        <w:t>本次完成：具体帧数、脚本和验证；所有“通过”附命令、退出码、日志路径。</w:t>
      </w:r>
    </w:p>
    <w:p>
      <w:pPr>
        <w:pStyle w:val="ListBullet"/>
      </w:pPr>
      <w:r>
        <w:t>版本与数据：A源码commit、冻结量化资产哈希、输入与Golden清单、实际下载位置。</w:t>
      </w:r>
    </w:p>
    <w:p>
      <w:pPr>
        <w:pStyle w:val="ListBullet"/>
      </w:pPr>
      <w:r>
        <w:t>证据范围：区分文件校验、整数重算、工具自测、实体板回传；说明仍缺的协议或硬件信息。</w:t>
      </w:r>
    </w:p>
    <w:p>
      <w:pPr>
        <w:pStyle w:val="ListBullet"/>
      </w:pPr>
      <w:r>
        <w:t>下一步与阻塞：明确需要C确认的具体字段，不把等待150MHz当作数据生成的前提。</w:t>
      </w:r>
    </w:p>
    <w:p>
      <w:pPr>
        <w:pStyle w:val="Heading2"/>
      </w:pPr>
      <w:r>
        <w:t>交付完成时应全部满足</w:t>
      </w:r>
    </w:p>
    <w:p>
      <w:r>
        <w:t>已有权威单帧仍可复现；第二帧及预录序列均使用同一冻结整数语义；原始输入/输出尺寸、长度、哈希正确；生成可复现；工具能识别长度和数据损坏；播放来源清晰；源码与数据可由B/C取得；未覆盖旧资产。A的数据工具交付完成与C的多帧板级验收完成分别记录。</w:t>
      </w:r>
    </w:p>
    <w:p>
      <w:pPr>
        <w:pStyle w:val="Heading2"/>
      </w:pPr>
      <w:r>
        <w:t>项目来源与定位入口</w:t>
      </w:r>
    </w:p>
    <w:p>
      <w:r>
        <w:t>当前计划依据：10h冲刺_a_assets/docs/source/FSRCNN_ACX750-200T_540p到1080p_30fps部署任务书.docx，以及用户2026年9月26日的阶段澄清。C提供的阶段0至10计划用于当前步骤定位。</w:t>
      </w:r>
    </w:p>
    <w:p>
      <w:r>
        <w:t>B→C交接：固定提交6cc8ea4中的 docs/MEMBER_B_TO_C_BOARD_VALIDATION_2026-09-26.md，特别是第5至7节。团队仓库为 github.com/CalmDown789/a_dui_dui_dui。</w:t>
      </w:r>
    </w:p>
    <w:p>
      <w:r>
        <w:t>A代码入口：scripts/generate_full_integer_golden.py、scripts/verify_full_integer_golden.py、src/member_a/artifacts.py、src/member_a/fixed_reference.py；原始资产在 artifacts/quant 和 artifacts/full_integer_golden。</w:t>
      </w:r>
    </w:p>
    <w:p>
      <w:r>
        <w:t>注意已有FixedReference使用CPU float64卷积实现整数点积，随后按冻结整数规则舍入、饱和、PReLU及重量化；本任务复用已核验实现，不将FP32或QDQ输出替代整数Golden，也不擅自迁移为GPU低精度实现。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第 </w:t>
    </w:r>
    <w:fldSimple w:instr="PAGE"/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69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69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69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69" w:lineRule="auto"/>
    </w:pPr>
    <w:rPr>
      <w:rFonts w:asciiTheme="majorHAnsi" w:eastAsiaTheme="majorEastAsia" w:hAnsiTheme="majorHAnsi" w:cstheme="majorBidi" w:ascii="Microsoft YaHei" w:hAnsi="Microsoft YaHei" w:eastAsia="Microsoft YaHei"/>
      <w:i w:val="0"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69" w:lineRule="auto"/>
      <w:contextualSpacing/>
    </w:pPr>
    <w:rPr>
      <w:rFonts w:ascii="Microsoft YaHei" w:hAnsi="Microsoft YaHei" w:eastAsia="Microsoft YaHei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69" w:lineRule="auto"/>
      <w:contextualSpacing/>
    </w:pPr>
    <w:rPr>
      <w:rFonts w:ascii="Microsoft YaHei" w:hAnsi="Microsoft YaHei" w:eastAsia="Microsoft YaHei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ACX750成员A多帧数据与PC验证任务说明</dc:title>
  <dc:subject>不同预录帧整数Golden与PC离线验证交付</dc:subject>
  <dc:creator>SRTP ACX750 项目协作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