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173F67"/>
          <w:sz w:val="54"/>
        </w:rPr>
        <w:t>INGENIERÍA INVERSA Y REDISEÑO</w:t>
      </w:r>
    </w:p>
    <w:p>
      <w:pPr>
        <w:jc w:val="center"/>
      </w:pPr>
      <w:r>
        <w:rPr>
          <w:b/>
          <w:color w:val="2C5F8A"/>
          <w:sz w:val="34"/>
        </w:rPr>
        <w:t>MVP COURIER SaaS · MODELO A+ v0.2</w:t>
      </w:r>
    </w:p>
    <w:p>
      <w:pPr>
        <w:spacing w:before="320"/>
        <w:jc w:val="center"/>
      </w:pPr>
      <w:r>
        <w:rPr>
          <w:color w:val="66727F"/>
          <w:sz w:val="24"/>
        </w:rPr>
        <w:t>Next.js · NestJS · Prisma · PostgreSQL · Docker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3992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992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/>
        <w:jc w:val="center"/>
      </w:pPr>
      <w:r>
        <w:rPr>
          <w:i/>
          <w:color w:val="1F2933"/>
          <w:sz w:val="22"/>
        </w:rPr>
        <w:t>Documento técnico para iniciar la implementación del MVP</w:t>
      </w:r>
    </w:p>
    <w:p>
      <w:pPr>
        <w:jc w:val="center"/>
      </w:pPr>
      <w:r>
        <w:rPr>
          <w:color w:val="66727F"/>
          <w:sz w:val="20"/>
        </w:rPr>
        <w:t>Versión 0.2 · 23 de junio de 2026</w:t>
      </w:r>
    </w:p>
    <w:p>
      <w:r>
        <w:br w:type="page"/>
      </w:r>
    </w:p>
    <w:p>
      <w:pPr>
        <w:pStyle w:val="Heading1"/>
        <w:keepNext/>
        <w:pBdr>
          <w:bottom w:val="single" w:sz="8" w:space="1" w:color="A9BBC9"/>
        </w:pBdr>
        <w:spacing w:before="240" w:after="140"/>
      </w:pPr>
      <w:r>
        <w:t>Ficha del producto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173F6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7200"/>
            <w:shd w:fill="173F6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  <w:t>Definición</w:t>
            </w:r>
          </w:p>
        </w:tc>
      </w:tr>
      <w:tr>
        <w:tc>
          <w:tcPr>
            <w:tcW w:type="dxa" w:w="288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Tipo de solución</w:t>
            </w:r>
          </w:p>
        </w:tc>
        <w:tc>
          <w:tcPr>
            <w:tcW w:type="dxa" w:w="720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Plataforma web SaaS multi-tenant para empresas de courier</w:t>
            </w:r>
          </w:p>
        </w:tc>
      </w:tr>
      <w:tr>
        <w:tc>
          <w:tcPr>
            <w:tcW w:type="dxa" w:w="2880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Modelo</w:t>
            </w:r>
          </w:p>
        </w:tc>
        <w:tc>
          <w:tcPr>
            <w:tcW w:type="dxa" w:w="7200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A+ · tenant independiente con red operativa interna</w:t>
            </w:r>
          </w:p>
        </w:tc>
      </w:tr>
      <w:tr>
        <w:tc>
          <w:tcPr>
            <w:tcW w:type="dxa" w:w="288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Frontend</w:t>
            </w:r>
          </w:p>
        </w:tc>
        <w:tc>
          <w:tcPr>
            <w:tcW w:type="dxa" w:w="720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Next.js + React + TypeScript</w:t>
            </w:r>
          </w:p>
        </w:tc>
      </w:tr>
      <w:tr>
        <w:tc>
          <w:tcPr>
            <w:tcW w:type="dxa" w:w="2880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Backend</w:t>
            </w:r>
          </w:p>
        </w:tc>
        <w:tc>
          <w:tcPr>
            <w:tcW w:type="dxa" w:w="7200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NestJS + TypeScript + Prisma ORM</w:t>
            </w:r>
          </w:p>
        </w:tc>
      </w:tr>
      <w:tr>
        <w:tc>
          <w:tcPr>
            <w:tcW w:type="dxa" w:w="288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Base de datos</w:t>
            </w:r>
          </w:p>
        </w:tc>
        <w:tc>
          <w:tcPr>
            <w:tcW w:type="dxa" w:w="720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PostgreSQL 15+</w:t>
            </w:r>
          </w:p>
        </w:tc>
      </w:tr>
      <w:tr>
        <w:tc>
          <w:tcPr>
            <w:tcW w:type="dxa" w:w="2880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Monorepo</w:t>
            </w:r>
          </w:p>
        </w:tc>
        <w:tc>
          <w:tcPr>
            <w:tcW w:type="dxa" w:w="7200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pnpm workspaces + Turborepo</w:t>
            </w:r>
          </w:p>
        </w:tc>
      </w:tr>
      <w:tr>
        <w:tc>
          <w:tcPr>
            <w:tcW w:type="dxa" w:w="288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Contenedores</w:t>
            </w:r>
          </w:p>
        </w:tc>
        <w:tc>
          <w:tcPr>
            <w:tcW w:type="dxa" w:w="720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Docker y Docker Compose</w:t>
            </w:r>
          </w:p>
        </w:tc>
      </w:tr>
      <w:tr>
        <w:tc>
          <w:tcPr>
            <w:tcW w:type="dxa" w:w="2880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Mercado inicial</w:t>
            </w:r>
          </w:p>
        </w:tc>
        <w:tc>
          <w:tcPr>
            <w:tcW w:type="dxa" w:w="7200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Empresas de courier en República Dominicana</w:t>
            </w:r>
          </w:p>
        </w:tc>
      </w:tr>
      <w:tr>
        <w:tc>
          <w:tcPr>
            <w:tcW w:type="dxa" w:w="288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Versión</w:t>
            </w:r>
          </w:p>
        </w:tc>
        <w:tc>
          <w:tcPr>
            <w:tcW w:type="dxa" w:w="720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MVP v0.2 · base congelada para iniciar implementación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4F8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left w:val="single" w:sz="22" w:color="2C5F8A"/>
            </w:tcBorders>
          </w:tcPr>
          <w:p>
            <w:r>
              <w:rPr>
                <w:b/>
                <w:color w:val="2C5F8A"/>
                <w:sz w:val="20"/>
              </w:rPr>
              <w:t>Nota</w:t>
            </w:r>
          </w:p>
          <w:p>
            <w:pPr>
              <w:spacing w:after="0"/>
            </w:pPr>
            <w:r>
              <w:rPr>
                <w:color w:val="1F2933"/>
                <w:sz w:val="18"/>
              </w:rPr>
              <w:t>Decisión central: cada courier comprador es una organization aislada. Dentro de esa organización puede operar almacenes internacionales, centros de distribución, sucursales, agencias y puntos de retiro. Ningún courier comparte información operativa o financiera con otro.</w:t>
            </w:r>
          </w:p>
        </w:tc>
      </w:tr>
    </w:tbl>
    <w:p>
      <w:pPr>
        <w:spacing w:after="0"/>
      </w:pPr>
    </w:p>
    <w:p>
      <w:pPr>
        <w:pStyle w:val="Heading1"/>
        <w:keepNext/>
        <w:pBdr>
          <w:bottom w:val="single" w:sz="8" w:space="1" w:color="A9BBC9"/>
        </w:pBdr>
        <w:spacing w:before="240" w:after="140"/>
      </w:pPr>
      <w:r>
        <w:t>Contenido</w:t>
      </w:r>
    </w:p>
    <w:p>
      <w:pPr>
        <w:spacing w:after="40"/>
        <w:ind w:left="360" w:hanging="288"/>
      </w:pPr>
      <w:r>
        <w:rPr>
          <w:b/>
          <w:color w:val="1F2933"/>
          <w:sz w:val="19"/>
        </w:rPr>
        <w:t xml:space="preserve">1. </w:t>
      </w:r>
      <w:r>
        <w:rPr>
          <w:color w:val="1F2933"/>
          <w:sz w:val="19"/>
        </w:rPr>
        <w:t>Resumen ejecutivo</w:t>
      </w:r>
    </w:p>
    <w:p>
      <w:pPr>
        <w:spacing w:after="40"/>
        <w:ind w:left="360" w:hanging="288"/>
      </w:pPr>
      <w:r>
        <w:rPr>
          <w:b/>
          <w:color w:val="1F2933"/>
          <w:sz w:val="19"/>
        </w:rPr>
        <w:t xml:space="preserve">2. </w:t>
      </w:r>
      <w:r>
        <w:rPr>
          <w:color w:val="1F2933"/>
          <w:sz w:val="19"/>
        </w:rPr>
        <w:t>Ingeniería inversa del producto y operación</w:t>
      </w:r>
    </w:p>
    <w:p>
      <w:pPr>
        <w:spacing w:after="40"/>
        <w:ind w:left="360" w:hanging="288"/>
      </w:pPr>
      <w:r>
        <w:rPr>
          <w:b/>
          <w:color w:val="1F2933"/>
          <w:sz w:val="19"/>
        </w:rPr>
        <w:t xml:space="preserve">3. </w:t>
      </w:r>
      <w:r>
        <w:rPr>
          <w:color w:val="1F2933"/>
          <w:sz w:val="19"/>
        </w:rPr>
        <w:t>Modelo A+ y límites del dominio</w:t>
      </w:r>
    </w:p>
    <w:p>
      <w:pPr>
        <w:spacing w:after="40"/>
        <w:ind w:left="360" w:hanging="288"/>
      </w:pPr>
      <w:r>
        <w:rPr>
          <w:b/>
          <w:color w:val="1F2933"/>
          <w:sz w:val="19"/>
        </w:rPr>
        <w:t xml:space="preserve">4. </w:t>
      </w:r>
      <w:r>
        <w:rPr>
          <w:color w:val="1F2933"/>
          <w:sz w:val="19"/>
        </w:rPr>
        <w:t>Arquitectura recomendada</w:t>
      </w:r>
    </w:p>
    <w:p>
      <w:pPr>
        <w:spacing w:after="40"/>
        <w:ind w:left="360" w:hanging="288"/>
      </w:pPr>
      <w:r>
        <w:rPr>
          <w:b/>
          <w:color w:val="1F2933"/>
          <w:sz w:val="19"/>
        </w:rPr>
        <w:t xml:space="preserve">5. </w:t>
      </w:r>
      <w:r>
        <w:rPr>
          <w:color w:val="1F2933"/>
          <w:sz w:val="19"/>
        </w:rPr>
        <w:t>Docker, entornos y despliegue</w:t>
      </w:r>
    </w:p>
    <w:p>
      <w:pPr>
        <w:spacing w:after="40"/>
        <w:ind w:left="360" w:hanging="288"/>
      </w:pPr>
      <w:r>
        <w:rPr>
          <w:b/>
          <w:color w:val="1F2933"/>
          <w:sz w:val="19"/>
        </w:rPr>
        <w:t xml:space="preserve">6. </w:t>
      </w:r>
      <w:r>
        <w:rPr>
          <w:color w:val="1F2933"/>
          <w:sz w:val="19"/>
        </w:rPr>
        <w:t>Flujo operativo principal</w:t>
      </w:r>
    </w:p>
    <w:p>
      <w:pPr>
        <w:spacing w:after="40"/>
        <w:ind w:left="360" w:hanging="288"/>
      </w:pPr>
      <w:r>
        <w:rPr>
          <w:b/>
          <w:color w:val="1F2933"/>
          <w:sz w:val="19"/>
        </w:rPr>
        <w:t xml:space="preserve">7. </w:t>
      </w:r>
      <w:r>
        <w:rPr>
          <w:color w:val="1F2933"/>
          <w:sz w:val="19"/>
        </w:rPr>
        <w:t>Fortalezas del diseño</w:t>
      </w:r>
    </w:p>
    <w:p>
      <w:pPr>
        <w:spacing w:after="40"/>
        <w:ind w:left="360" w:hanging="288"/>
      </w:pPr>
      <w:r>
        <w:rPr>
          <w:b/>
          <w:color w:val="1F2933"/>
          <w:sz w:val="19"/>
        </w:rPr>
        <w:t xml:space="preserve">8. </w:t>
      </w:r>
      <w:r>
        <w:rPr>
          <w:color w:val="1F2933"/>
          <w:sz w:val="19"/>
        </w:rPr>
        <w:t>Debilidades, riesgos y correcciones</w:t>
      </w:r>
    </w:p>
    <w:p>
      <w:pPr>
        <w:spacing w:after="40"/>
        <w:ind w:left="360" w:hanging="288"/>
      </w:pPr>
      <w:r>
        <w:rPr>
          <w:b/>
          <w:color w:val="1F2933"/>
          <w:sz w:val="19"/>
        </w:rPr>
        <w:t xml:space="preserve">9. </w:t>
      </w:r>
      <w:r>
        <w:rPr>
          <w:color w:val="1F2933"/>
          <w:sz w:val="19"/>
        </w:rPr>
        <w:t>Análisis FODA</w:t>
      </w:r>
    </w:p>
    <w:p>
      <w:pPr>
        <w:spacing w:after="40"/>
        <w:ind w:left="360" w:hanging="288"/>
      </w:pPr>
      <w:r>
        <w:rPr>
          <w:b/>
          <w:color w:val="1F2933"/>
          <w:sz w:val="19"/>
        </w:rPr>
        <w:t xml:space="preserve">10. </w:t>
      </w:r>
      <w:r>
        <w:rPr>
          <w:color w:val="1F2933"/>
          <w:sz w:val="19"/>
        </w:rPr>
        <w:t>Alcance del MVP inicial</w:t>
      </w:r>
    </w:p>
    <w:p>
      <w:pPr>
        <w:spacing w:after="40"/>
        <w:ind w:left="360" w:hanging="288"/>
      </w:pPr>
      <w:r>
        <w:rPr>
          <w:b/>
          <w:color w:val="1F2933"/>
          <w:sz w:val="19"/>
        </w:rPr>
        <w:t xml:space="preserve">11. </w:t>
      </w:r>
      <w:r>
        <w:rPr>
          <w:color w:val="1F2933"/>
          <w:sz w:val="19"/>
        </w:rPr>
        <w:t>Base de datos propuesta</w:t>
      </w:r>
    </w:p>
    <w:p>
      <w:pPr>
        <w:spacing w:after="40"/>
        <w:ind w:left="360" w:hanging="288"/>
      </w:pPr>
      <w:r>
        <w:rPr>
          <w:b/>
          <w:color w:val="1F2933"/>
          <w:sz w:val="19"/>
        </w:rPr>
        <w:t xml:space="preserve">12. </w:t>
      </w:r>
      <w:r>
        <w:rPr>
          <w:color w:val="1F2933"/>
          <w:sz w:val="19"/>
        </w:rPr>
        <w:t>Reglas de negocio obligatorias</w:t>
      </w:r>
    </w:p>
    <w:p>
      <w:pPr>
        <w:spacing w:after="40"/>
        <w:ind w:left="360" w:hanging="288"/>
      </w:pPr>
      <w:r>
        <w:rPr>
          <w:b/>
          <w:color w:val="1F2933"/>
          <w:sz w:val="19"/>
        </w:rPr>
        <w:t xml:space="preserve">13. </w:t>
      </w:r>
      <w:r>
        <w:rPr>
          <w:color w:val="1F2933"/>
          <w:sz w:val="19"/>
        </w:rPr>
        <w:t>API mínima de NestJS</w:t>
      </w:r>
    </w:p>
    <w:p>
      <w:pPr>
        <w:spacing w:after="40"/>
        <w:ind w:left="360" w:hanging="288"/>
      </w:pPr>
      <w:r>
        <w:rPr>
          <w:b/>
          <w:color w:val="1F2933"/>
          <w:sz w:val="19"/>
        </w:rPr>
        <w:t xml:space="preserve">14. </w:t>
      </w:r>
      <w:r>
        <w:rPr>
          <w:color w:val="1F2933"/>
          <w:sz w:val="19"/>
        </w:rPr>
        <w:t>Pantallas mínimas de Next.js</w:t>
      </w:r>
    </w:p>
    <w:p>
      <w:pPr>
        <w:spacing w:after="40"/>
        <w:ind w:left="360" w:hanging="288"/>
      </w:pPr>
      <w:r>
        <w:rPr>
          <w:b/>
          <w:color w:val="1F2933"/>
          <w:sz w:val="19"/>
        </w:rPr>
        <w:t xml:space="preserve">15. </w:t>
      </w:r>
      <w:r>
        <w:rPr>
          <w:color w:val="1F2933"/>
          <w:sz w:val="19"/>
        </w:rPr>
        <w:t>Seguridad, confiabilidad, rendimiento y observabilidad</w:t>
      </w:r>
    </w:p>
    <w:p>
      <w:pPr>
        <w:spacing w:after="40"/>
        <w:ind w:left="360" w:hanging="288"/>
      </w:pPr>
      <w:r>
        <w:rPr>
          <w:b/>
          <w:color w:val="1F2933"/>
          <w:sz w:val="19"/>
        </w:rPr>
        <w:t xml:space="preserve">16. </w:t>
      </w:r>
      <w:r>
        <w:rPr>
          <w:color w:val="1F2933"/>
          <w:sz w:val="19"/>
        </w:rPr>
        <w:t>Estrategia de pruebas</w:t>
      </w:r>
    </w:p>
    <w:p>
      <w:pPr>
        <w:spacing w:after="40"/>
        <w:ind w:left="360" w:hanging="288"/>
      </w:pPr>
      <w:r>
        <w:rPr>
          <w:b/>
          <w:color w:val="1F2933"/>
          <w:sz w:val="19"/>
        </w:rPr>
        <w:t xml:space="preserve">17. </w:t>
      </w:r>
      <w:r>
        <w:rPr>
          <w:color w:val="1F2933"/>
          <w:sz w:val="19"/>
        </w:rPr>
        <w:t>Plan de implementación con Codex</w:t>
      </w:r>
    </w:p>
    <w:p>
      <w:pPr>
        <w:spacing w:after="40"/>
        <w:ind w:left="360" w:hanging="288"/>
      </w:pPr>
      <w:r>
        <w:rPr>
          <w:b/>
          <w:color w:val="1F2933"/>
          <w:sz w:val="19"/>
        </w:rPr>
        <w:t xml:space="preserve">18. </w:t>
      </w:r>
      <w:r>
        <w:rPr>
          <w:color w:val="1F2933"/>
          <w:sz w:val="19"/>
        </w:rPr>
        <w:t>Roadmap y paso a producción</w:t>
      </w:r>
    </w:p>
    <w:p>
      <w:pPr>
        <w:spacing w:after="40"/>
        <w:ind w:left="360" w:hanging="288"/>
      </w:pPr>
      <w:r>
        <w:rPr>
          <w:b/>
          <w:color w:val="1F2933"/>
          <w:sz w:val="19"/>
        </w:rPr>
        <w:t xml:space="preserve">19. </w:t>
      </w:r>
      <w:r>
        <w:rPr>
          <w:color w:val="1F2933"/>
          <w:sz w:val="19"/>
        </w:rPr>
        <w:t>Decisión final</w:t>
      </w:r>
    </w:p>
    <w:p>
      <w:pPr>
        <w:pStyle w:val="Heading1"/>
        <w:keepNext/>
        <w:pBdr>
          <w:bottom w:val="single" w:sz="8" w:space="1" w:color="A9BBC9"/>
        </w:pBdr>
        <w:spacing w:before="240" w:after="140"/>
      </w:pPr>
      <w:r>
        <w:t>1. Resumen ejecutivo</w:t>
      </w:r>
    </w:p>
    <w:p>
      <w:pPr>
        <w:spacing w:after="80" w:line="252" w:lineRule="auto"/>
      </w:pPr>
      <w:r>
        <w:rPr>
          <w:color w:val="1F2933"/>
          <w:sz w:val="20"/>
        </w:rPr>
        <w:t xml:space="preserve">El producto es una plataforma SaaS para vender a múltiples empresas de courier. Cada empresa se registra como una </w:t>
      </w:r>
      <w:r>
        <w:rPr>
          <w:rFonts w:ascii="Consolas" w:hAnsi="Consolas"/>
          <w:color w:val="1F2933"/>
          <w:sz w:val="20"/>
        </w:rPr>
        <w:t>organization</w:t>
      </w:r>
      <w:r>
        <w:rPr>
          <w:color w:val="1F2933"/>
          <w:sz w:val="20"/>
        </w:rPr>
        <w:t xml:space="preserve"> y funciona como tenant: sus clientes, empleados, servicios, tarifas, paquetes, facturas, pagos, ubicaciones y auditoría permanecen aislados de los demás couriers.</w:t>
      </w:r>
    </w:p>
    <w:p>
      <w:pPr>
        <w:spacing w:after="80" w:line="252" w:lineRule="auto"/>
      </w:pPr>
      <w:r>
        <w:rPr>
          <w:color w:val="1F2933"/>
          <w:sz w:val="20"/>
        </w:rPr>
        <w:t>El componente “+” permite que cada courier administre una red interna: almacén internacional, centro de distribución en República Dominicana, sucursales propias, agencias asociadas y puntos de retiro conectados por manifiestos y transferencias.</w:t>
      </w:r>
    </w:p>
    <w:p>
      <w:pPr>
        <w:spacing w:after="80" w:line="252" w:lineRule="auto"/>
      </w:pPr>
      <w:r>
        <w:rPr>
          <w:color w:val="1F2933"/>
          <w:sz w:val="20"/>
        </w:rPr>
        <w:t>La arquitectura conserva Next.js para la experiencia web, NestJS para la API y las reglas de negocio, Prisma para acceso a datos y PostgreSQL como fuente de verdad. El MVP se implementará como monolito modular en un monorepo y se dockerizará desde el inicio con imágenes separadas para web y API.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448"/>
            <w:shd w:fill="173F6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  <w:t>Área</w:t>
            </w:r>
          </w:p>
        </w:tc>
        <w:tc>
          <w:tcPr>
            <w:tcW w:type="dxa" w:w="1584"/>
            <w:shd w:fill="173F6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  <w:t>Valoración</w:t>
            </w:r>
          </w:p>
        </w:tc>
        <w:tc>
          <w:tcPr>
            <w:tcW w:type="dxa" w:w="6048"/>
            <w:shd w:fill="173F6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  <w:t>Comentario</w:t>
            </w:r>
          </w:p>
        </w:tc>
      </w:tr>
      <w:tr>
        <w:tc>
          <w:tcPr>
            <w:tcW w:type="dxa" w:w="244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Ajuste al negocio SaaS</w:t>
            </w:r>
          </w:p>
        </w:tc>
        <w:tc>
          <w:tcPr>
            <w:tcW w:type="dxa" w:w="15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9/10</w:t>
            </w:r>
          </w:p>
        </w:tc>
        <w:tc>
          <w:tcPr>
            <w:tcW w:type="dxa" w:w="604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Permite vender el mismo producto a couriers independientes.</w:t>
            </w:r>
          </w:p>
        </w:tc>
      </w:tr>
      <w:tr>
        <w:tc>
          <w:tcPr>
            <w:tcW w:type="dxa" w:w="2448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Arquitectura</w:t>
            </w:r>
          </w:p>
        </w:tc>
        <w:tc>
          <w:tcPr>
            <w:tcW w:type="dxa" w:w="1584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9/10</w:t>
            </w:r>
          </w:p>
        </w:tc>
        <w:tc>
          <w:tcPr>
            <w:tcW w:type="dxa" w:w="6048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Separación clara entre experiencia web, dominio y persistencia.</w:t>
            </w:r>
          </w:p>
        </w:tc>
      </w:tr>
      <w:tr>
        <w:tc>
          <w:tcPr>
            <w:tcW w:type="dxa" w:w="244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Base de datos v0.2</w:t>
            </w:r>
          </w:p>
        </w:tc>
        <w:tc>
          <w:tcPr>
            <w:tcW w:type="dxa" w:w="15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8.8/10</w:t>
            </w:r>
          </w:p>
        </w:tc>
        <w:tc>
          <w:tcPr>
            <w:tcW w:type="dxa" w:w="604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Servicios configurables, tracking normalizado y facturación más coherente.</w:t>
            </w:r>
          </w:p>
        </w:tc>
      </w:tr>
      <w:tr>
        <w:tc>
          <w:tcPr>
            <w:tcW w:type="dxa" w:w="2448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Viabilidad del MVP</w:t>
            </w:r>
          </w:p>
        </w:tc>
        <w:tc>
          <w:tcPr>
            <w:tcW w:type="dxa" w:w="1584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8/10</w:t>
            </w:r>
          </w:p>
        </w:tc>
        <w:tc>
          <w:tcPr>
            <w:tcW w:type="dxa" w:w="6048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Viable si se construye por cortes verticales.</w:t>
            </w:r>
          </w:p>
        </w:tc>
      </w:tr>
      <w:tr>
        <w:tc>
          <w:tcPr>
            <w:tcW w:type="dxa" w:w="244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Preparación para iniciar</w:t>
            </w:r>
          </w:p>
        </w:tc>
        <w:tc>
          <w:tcPr>
            <w:tcW w:type="dxa" w:w="15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9/10</w:t>
            </w:r>
          </w:p>
        </w:tc>
        <w:tc>
          <w:tcPr>
            <w:tcW w:type="dxa" w:w="604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La versión v0.2 ya puede convertirse en backlog e implementación.</w:t>
            </w:r>
          </w:p>
        </w:tc>
      </w:tr>
      <w:tr>
        <w:tc>
          <w:tcPr>
            <w:tcW w:type="dxa" w:w="2448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Preparación para producción</w:t>
            </w:r>
          </w:p>
        </w:tc>
        <w:tc>
          <w:tcPr>
            <w:tcW w:type="dxa" w:w="1584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6.5/10</w:t>
            </w:r>
          </w:p>
        </w:tc>
        <w:tc>
          <w:tcPr>
            <w:tcW w:type="dxa" w:w="6048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Faltan piloto, pruebas de carga, restauración y cumplimiento fiscal.</w:t>
            </w:r>
          </w:p>
        </w:tc>
      </w:tr>
    </w:tbl>
    <w:p>
      <w:pPr>
        <w:spacing w:after="0"/>
      </w:pPr>
    </w:p>
    <w:p>
      <w:pPr>
        <w:pStyle w:val="Heading1"/>
        <w:keepNext/>
        <w:pBdr>
          <w:bottom w:val="single" w:sz="8" w:space="1" w:color="A9BBC9"/>
        </w:pBdr>
        <w:spacing w:before="240" w:after="140"/>
      </w:pPr>
      <w:r>
        <w:t>2. Ingeniería inversa del producto y operación</w:t>
      </w:r>
    </w:p>
    <w:p>
      <w:pPr>
        <w:pStyle w:val="Heading2"/>
        <w:keepNext/>
        <w:spacing w:before="160" w:after="80"/>
      </w:pPr>
      <w:r>
        <w:t>2.1 Objetivo inferido</w:t>
      </w:r>
    </w:p>
    <w:p>
      <w:pPr>
        <w:spacing w:after="80" w:line="252" w:lineRule="auto"/>
      </w:pPr>
      <w:r>
        <w:rPr>
          <w:color w:val="1F2933"/>
          <w:sz w:val="20"/>
        </w:rPr>
        <w:t>Digitalizar el ciclo operativo y financiero de una empresa de courier, desde la prealerta o recepción de un paquete hasta su traslado entre instalaciones, disponibilidad, facturación, pago, retiro y auditoría. La misma plataforma debe servir a varias empresas sin mezclar sus datos.</w:t>
      </w:r>
    </w:p>
    <w:p>
      <w:pPr>
        <w:pStyle w:val="Heading2"/>
        <w:keepNext/>
        <w:spacing w:before="160" w:after="80"/>
      </w:pPr>
      <w:r>
        <w:t>2.2 Problemas que resuelve</w:t>
      </w:r>
    </w:p>
    <w:p>
      <w:pPr>
        <w:pStyle w:val="ListBullet"/>
        <w:spacing w:after="40"/>
      </w:pPr>
      <w:r>
        <w:rPr>
          <w:color w:val="1F2933"/>
          <w:sz w:val="19"/>
        </w:rPr>
        <w:t>Información dispersa entre hojas de cálculo, chats y registros manuales.</w:t>
      </w:r>
    </w:p>
    <w:p>
      <w:pPr>
        <w:pStyle w:val="ListBullet"/>
        <w:spacing w:after="40"/>
      </w:pPr>
      <w:r>
        <w:rPr>
          <w:color w:val="1F2933"/>
          <w:sz w:val="19"/>
        </w:rPr>
        <w:t>Poca trazabilidad sobre quién recibió, movió, ubicó o entregó un paquete.</w:t>
      </w:r>
    </w:p>
    <w:p>
      <w:pPr>
        <w:pStyle w:val="ListBullet"/>
        <w:spacing w:after="40"/>
      </w:pPr>
      <w:r>
        <w:rPr>
          <w:color w:val="1F2933"/>
          <w:sz w:val="19"/>
        </w:rPr>
        <w:t>Dificultad para conocer el inventario real por almacén, hub, sucursal o agencia.</w:t>
      </w:r>
    </w:p>
    <w:p>
      <w:pPr>
        <w:pStyle w:val="ListBullet"/>
        <w:spacing w:after="40"/>
      </w:pPr>
      <w:r>
        <w:rPr>
          <w:color w:val="1F2933"/>
          <w:sz w:val="19"/>
        </w:rPr>
        <w:t>Cálculos de peso y tarifas difíciles de reproducir ante reclamaciones.</w:t>
      </w:r>
    </w:p>
    <w:p>
      <w:pPr>
        <w:pStyle w:val="ListBullet"/>
        <w:spacing w:after="40"/>
      </w:pPr>
      <w:r>
        <w:rPr>
          <w:color w:val="1F2933"/>
          <w:sz w:val="19"/>
        </w:rPr>
        <w:t>Facturación y pagos sin relación confiable con los paquetes cobrados.</w:t>
      </w:r>
    </w:p>
    <w:p>
      <w:pPr>
        <w:pStyle w:val="ListBullet"/>
        <w:spacing w:after="40"/>
      </w:pPr>
      <w:r>
        <w:rPr>
          <w:color w:val="1F2933"/>
          <w:sz w:val="19"/>
        </w:rPr>
        <w:t>Ausencia de un portal donde el cliente consulte tracking, saldo y facturas.</w:t>
      </w:r>
    </w:p>
    <w:p>
      <w:pPr>
        <w:pStyle w:val="ListBullet"/>
        <w:spacing w:after="40"/>
      </w:pPr>
      <w:r>
        <w:rPr>
          <w:color w:val="1F2933"/>
          <w:sz w:val="19"/>
        </w:rPr>
        <w:t>Dificultad para vender el mismo software a varios couriers de forma segura.</w:t>
      </w:r>
    </w:p>
    <w:p>
      <w:pPr>
        <w:pStyle w:val="Heading2"/>
        <w:keepNext/>
        <w:spacing w:before="160" w:after="80"/>
      </w:pPr>
      <w:r>
        <w:t>2.3 Actores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173F6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  <w:t>Actor</w:t>
            </w:r>
          </w:p>
        </w:tc>
        <w:tc>
          <w:tcPr>
            <w:tcW w:type="dxa" w:w="7200"/>
            <w:shd w:fill="173F6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  <w:t>Responsabilidad principal</w:t>
            </w:r>
          </w:p>
        </w:tc>
      </w:tr>
      <w:tr>
        <w:tc>
          <w:tcPr>
            <w:tcW w:type="dxa" w:w="288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Administrador de plataforma</w:t>
            </w:r>
          </w:p>
        </w:tc>
        <w:tc>
          <w:tcPr>
            <w:tcW w:type="dxa" w:w="720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Crea organizations, asigna planes, suspende tenants y observa la salud global.</w:t>
            </w:r>
          </w:p>
        </w:tc>
      </w:tr>
      <w:tr>
        <w:tc>
          <w:tcPr>
            <w:tcW w:type="dxa" w:w="2880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Dueño del courier</w:t>
            </w:r>
          </w:p>
        </w:tc>
        <w:tc>
          <w:tcPr>
            <w:tcW w:type="dxa" w:w="7200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Administra configuración, facilities, servicios, tarifas y responsables.</w:t>
            </w:r>
          </w:p>
        </w:tc>
      </w:tr>
      <w:tr>
        <w:tc>
          <w:tcPr>
            <w:tcW w:type="dxa" w:w="288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Administrador del courier</w:t>
            </w:r>
          </w:p>
        </w:tc>
        <w:tc>
          <w:tcPr>
            <w:tcW w:type="dxa" w:w="720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Gestiona empleados, clientes, facturación, pagos y configuración.</w:t>
            </w:r>
          </w:p>
        </w:tc>
      </w:tr>
      <w:tr>
        <w:tc>
          <w:tcPr>
            <w:tcW w:type="dxa" w:w="2880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Gerente de operaciones</w:t>
            </w:r>
          </w:p>
        </w:tc>
        <w:tc>
          <w:tcPr>
            <w:tcW w:type="dxa" w:w="7200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Supervisa recepción, inventario, manifiestos y discrepancias.</w:t>
            </w:r>
          </w:p>
        </w:tc>
      </w:tr>
      <w:tr>
        <w:tc>
          <w:tcPr>
            <w:tcW w:type="dxa" w:w="288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Gerente de facility</w:t>
            </w:r>
          </w:p>
        </w:tc>
        <w:tc>
          <w:tcPr>
            <w:tcW w:type="dxa" w:w="720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Controla una o varias instalaciones autorizadas.</w:t>
            </w:r>
          </w:p>
        </w:tc>
      </w:tr>
      <w:tr>
        <w:tc>
          <w:tcPr>
            <w:tcW w:type="dxa" w:w="2880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Recepción / almacén</w:t>
            </w:r>
          </w:p>
        </w:tc>
        <w:tc>
          <w:tcPr>
            <w:tcW w:type="dxa" w:w="7200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Recibe, pesa, mide, etiqueta, ubica y escanea paquetes.</w:t>
            </w:r>
          </w:p>
        </w:tc>
      </w:tr>
      <w:tr>
        <w:tc>
          <w:tcPr>
            <w:tcW w:type="dxa" w:w="288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Cajero</w:t>
            </w:r>
          </w:p>
        </w:tc>
        <w:tc>
          <w:tcPr>
            <w:tcW w:type="dxa" w:w="720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Emite facturas, registra pagos y autoriza retiros.</w:t>
            </w:r>
          </w:p>
        </w:tc>
      </w:tr>
      <w:tr>
        <w:tc>
          <w:tcPr>
            <w:tcW w:type="dxa" w:w="2880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Servicio al cliente</w:t>
            </w:r>
          </w:p>
        </w:tc>
        <w:tc>
          <w:tcPr>
            <w:tcW w:type="dxa" w:w="7200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Consulta trazabilidad e incidencias sin permisos financieros sensibles.</w:t>
            </w:r>
          </w:p>
        </w:tc>
      </w:tr>
      <w:tr>
        <w:tc>
          <w:tcPr>
            <w:tcW w:type="dxa" w:w="288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Cliente</w:t>
            </w:r>
          </w:p>
        </w:tc>
        <w:tc>
          <w:tcPr>
            <w:tcW w:type="dxa" w:w="720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Prealerta paquetes y consulta tracking, facturas, pagos y perfil.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t>2.4 Módulos reconstruidos</w:t>
      </w:r>
    </w:p>
    <w:p>
      <w:pPr>
        <w:spacing w:after="40"/>
        <w:ind w:left="360" w:hanging="288"/>
      </w:pPr>
      <w:r>
        <w:rPr>
          <w:b/>
          <w:color w:val="1F2933"/>
          <w:sz w:val="19"/>
        </w:rPr>
        <w:t xml:space="preserve">1. </w:t>
      </w:r>
      <w:r>
        <w:rPr>
          <w:color w:val="1F2933"/>
          <w:sz w:val="19"/>
        </w:rPr>
        <w:t>Control de plataforma y organizations.</w:t>
      </w:r>
    </w:p>
    <w:p>
      <w:pPr>
        <w:spacing w:after="40"/>
        <w:ind w:left="360" w:hanging="288"/>
      </w:pPr>
      <w:r>
        <w:rPr>
          <w:b/>
          <w:color w:val="1F2933"/>
          <w:sz w:val="19"/>
        </w:rPr>
        <w:t xml:space="preserve">2. </w:t>
      </w:r>
      <w:r>
        <w:rPr>
          <w:color w:val="1F2933"/>
          <w:sz w:val="19"/>
        </w:rPr>
        <w:t>Autenticación, sesiones y contexto de tenant.</w:t>
      </w:r>
    </w:p>
    <w:p>
      <w:pPr>
        <w:spacing w:after="40"/>
        <w:ind w:left="360" w:hanging="288"/>
      </w:pPr>
      <w:r>
        <w:rPr>
          <w:b/>
          <w:color w:val="1F2933"/>
          <w:sz w:val="19"/>
        </w:rPr>
        <w:t xml:space="preserve">3. </w:t>
      </w:r>
      <w:r>
        <w:rPr>
          <w:color w:val="1F2933"/>
          <w:sz w:val="19"/>
        </w:rPr>
        <w:t>Facilities y ubicaciones físicas.</w:t>
      </w:r>
    </w:p>
    <w:p>
      <w:pPr>
        <w:spacing w:after="40"/>
        <w:ind w:left="360" w:hanging="288"/>
      </w:pPr>
      <w:r>
        <w:rPr>
          <w:b/>
          <w:color w:val="1F2933"/>
          <w:sz w:val="19"/>
        </w:rPr>
        <w:t xml:space="preserve">4. </w:t>
      </w:r>
      <w:r>
        <w:rPr>
          <w:color w:val="1F2933"/>
          <w:sz w:val="19"/>
        </w:rPr>
        <w:t>Empleados, roles básicos y asignaciones.</w:t>
      </w:r>
    </w:p>
    <w:p>
      <w:pPr>
        <w:spacing w:after="40"/>
        <w:ind w:left="360" w:hanging="288"/>
      </w:pPr>
      <w:r>
        <w:rPr>
          <w:b/>
          <w:color w:val="1F2933"/>
          <w:sz w:val="19"/>
        </w:rPr>
        <w:t xml:space="preserve">5. </w:t>
      </w:r>
      <w:r>
        <w:rPr>
          <w:color w:val="1F2933"/>
          <w:sz w:val="19"/>
        </w:rPr>
        <w:t>Clientes y casilleros.</w:t>
      </w:r>
    </w:p>
    <w:p>
      <w:pPr>
        <w:spacing w:after="40"/>
        <w:ind w:left="360" w:hanging="288"/>
      </w:pPr>
      <w:r>
        <w:rPr>
          <w:b/>
          <w:color w:val="1F2933"/>
          <w:sz w:val="19"/>
        </w:rPr>
        <w:t xml:space="preserve">6. </w:t>
      </w:r>
      <w:r>
        <w:rPr>
          <w:color w:val="1F2933"/>
          <w:sz w:val="19"/>
        </w:rPr>
        <w:t>Carriers y servicios configurables.</w:t>
      </w:r>
    </w:p>
    <w:p>
      <w:pPr>
        <w:spacing w:after="40"/>
        <w:ind w:left="360" w:hanging="288"/>
      </w:pPr>
      <w:r>
        <w:rPr>
          <w:b/>
          <w:color w:val="1F2933"/>
          <w:sz w:val="19"/>
        </w:rPr>
        <w:t xml:space="preserve">7. </w:t>
      </w:r>
      <w:r>
        <w:rPr>
          <w:color w:val="1F2933"/>
          <w:sz w:val="19"/>
        </w:rPr>
        <w:t>Prealerta, recepción, inventario y tracking.</w:t>
      </w:r>
    </w:p>
    <w:p>
      <w:pPr>
        <w:spacing w:after="40"/>
        <w:ind w:left="360" w:hanging="288"/>
      </w:pPr>
      <w:r>
        <w:rPr>
          <w:b/>
          <w:color w:val="1F2933"/>
          <w:sz w:val="19"/>
        </w:rPr>
        <w:t xml:space="preserve">8. </w:t>
      </w:r>
      <w:r>
        <w:rPr>
          <w:color w:val="1F2933"/>
          <w:sz w:val="19"/>
        </w:rPr>
        <w:t>Transferencias y manifiestos entre facilities.</w:t>
      </w:r>
    </w:p>
    <w:p>
      <w:pPr>
        <w:spacing w:after="40"/>
        <w:ind w:left="360" w:hanging="288"/>
      </w:pPr>
      <w:r>
        <w:rPr>
          <w:b/>
          <w:color w:val="1F2933"/>
          <w:sz w:val="19"/>
        </w:rPr>
        <w:t xml:space="preserve">9. </w:t>
      </w:r>
      <w:r>
        <w:rPr>
          <w:color w:val="1F2933"/>
          <w:sz w:val="19"/>
        </w:rPr>
        <w:t>Tarifas, peso cobrable y facturación.</w:t>
      </w:r>
    </w:p>
    <w:p>
      <w:pPr>
        <w:spacing w:after="40"/>
        <w:ind w:left="360" w:hanging="288"/>
      </w:pPr>
      <w:r>
        <w:rPr>
          <w:b/>
          <w:color w:val="1F2933"/>
          <w:sz w:val="19"/>
        </w:rPr>
        <w:t xml:space="preserve">10. </w:t>
      </w:r>
      <w:r>
        <w:rPr>
          <w:color w:val="1F2933"/>
          <w:sz w:val="19"/>
        </w:rPr>
        <w:t>Pagos parciales, saldos y retiro.</w:t>
      </w:r>
    </w:p>
    <w:p>
      <w:pPr>
        <w:spacing w:after="40"/>
        <w:ind w:left="360" w:hanging="288"/>
      </w:pPr>
      <w:r>
        <w:rPr>
          <w:b/>
          <w:color w:val="1F2933"/>
          <w:sz w:val="19"/>
        </w:rPr>
        <w:t xml:space="preserve">11. </w:t>
      </w:r>
      <w:r>
        <w:rPr>
          <w:color w:val="1F2933"/>
          <w:sz w:val="19"/>
        </w:rPr>
        <w:t>Auditoría, logs, métricas y despliegue.</w:t>
      </w:r>
    </w:p>
    <w:p>
      <w:pPr>
        <w:pStyle w:val="Heading1"/>
        <w:keepNext/>
        <w:pBdr>
          <w:bottom w:val="single" w:sz="8" w:space="1" w:color="A9BBC9"/>
        </w:pBdr>
        <w:spacing w:before="240" w:after="140"/>
      </w:pPr>
      <w:r>
        <w:t>3. Modelo A+ y límites del dominio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20196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anc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019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color w:val="66727F"/>
          <w:sz w:val="16"/>
        </w:rPr>
        <w:t>Modelo de tenencia A+</w:t>
      </w:r>
    </w:p>
    <w:p>
      <w:pPr>
        <w:pStyle w:val="Heading2"/>
        <w:keepNext/>
        <w:spacing w:before="160" w:after="80"/>
      </w:pPr>
      <w:r>
        <w:t>3.1 Jerarquía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2933"/>
                <w:sz w:val="16"/>
              </w:rPr>
              <w:t>PLATFORM</w:t>
            </w:r>
            <w:r>
              <w:br/>
            </w:r>
            <w:r>
              <w:rPr>
                <w:rFonts w:ascii="Consolas" w:hAnsi="Consolas"/>
                <w:color w:val="1F2933"/>
                <w:sz w:val="16"/>
              </w:rPr>
              <w:t>└── ORGANIZATIONS</w:t>
            </w:r>
            <w:r>
              <w:br/>
            </w:r>
            <w:r>
              <w:rPr>
                <w:rFonts w:ascii="Consolas" w:hAnsi="Consolas"/>
                <w:color w:val="1F2933"/>
                <w:sz w:val="16"/>
              </w:rPr>
              <w:t xml:space="preserve">    ├── FACILITIES</w:t>
            </w:r>
            <w:r>
              <w:br/>
            </w:r>
            <w:r>
              <w:rPr>
                <w:rFonts w:ascii="Consolas" w:hAnsi="Consolas"/>
                <w:color w:val="1F2933"/>
                <w:sz w:val="16"/>
              </w:rPr>
              <w:t xml:space="preserve">    │   ├── INTERNATIONAL_WAREHOUSE</w:t>
            </w:r>
            <w:r>
              <w:br/>
            </w:r>
            <w:r>
              <w:rPr>
                <w:rFonts w:ascii="Consolas" w:hAnsi="Consolas"/>
                <w:color w:val="1F2933"/>
                <w:sz w:val="16"/>
              </w:rPr>
              <w:t xml:space="preserve">    │   ├── DISTRIBUTION_CENTER</w:t>
            </w:r>
            <w:r>
              <w:br/>
            </w:r>
            <w:r>
              <w:rPr>
                <w:rFonts w:ascii="Consolas" w:hAnsi="Consolas"/>
                <w:color w:val="1F2933"/>
                <w:sz w:val="16"/>
              </w:rPr>
              <w:t xml:space="preserve">    │   ├── BRANCH</w:t>
            </w:r>
            <w:r>
              <w:br/>
            </w:r>
            <w:r>
              <w:rPr>
                <w:rFonts w:ascii="Consolas" w:hAnsi="Consolas"/>
                <w:color w:val="1F2933"/>
                <w:sz w:val="16"/>
              </w:rPr>
              <w:t xml:space="preserve">    │   ├── AGENCY</w:t>
            </w:r>
            <w:r>
              <w:br/>
            </w:r>
            <w:r>
              <w:rPr>
                <w:rFonts w:ascii="Consolas" w:hAnsi="Consolas"/>
                <w:color w:val="1F2933"/>
                <w:sz w:val="16"/>
              </w:rPr>
              <w:t xml:space="preserve">    │   └── PICKUP_POINT</w:t>
            </w:r>
            <w:r>
              <w:br/>
            </w:r>
            <w:r>
              <w:rPr>
                <w:rFonts w:ascii="Consolas" w:hAnsi="Consolas"/>
                <w:color w:val="1F2933"/>
                <w:sz w:val="16"/>
              </w:rPr>
              <w:t xml:space="preserve">    ├── EMPLOYEES</w:t>
            </w:r>
            <w:r>
              <w:br/>
            </w:r>
            <w:r>
              <w:rPr>
                <w:rFonts w:ascii="Consolas" w:hAnsi="Consolas"/>
                <w:color w:val="1F2933"/>
                <w:sz w:val="16"/>
              </w:rPr>
              <w:t xml:space="preserve">    ├── CUSTOMERS</w:t>
            </w:r>
            <w:r>
              <w:br/>
            </w:r>
            <w:r>
              <w:rPr>
                <w:rFonts w:ascii="Consolas" w:hAnsi="Consolas"/>
                <w:color w:val="1F2933"/>
                <w:sz w:val="16"/>
              </w:rPr>
              <w:t xml:space="preserve">    ├── CARRIERS</w:t>
            </w:r>
            <w:r>
              <w:br/>
            </w:r>
            <w:r>
              <w:rPr>
                <w:rFonts w:ascii="Consolas" w:hAnsi="Consolas"/>
                <w:color w:val="1F2933"/>
                <w:sz w:val="16"/>
              </w:rPr>
              <w:t xml:space="preserve">    ├── SERVICES</w:t>
            </w:r>
            <w:r>
              <w:br/>
            </w:r>
            <w:r>
              <w:rPr>
                <w:rFonts w:ascii="Consolas" w:hAnsi="Consolas"/>
                <w:color w:val="1F2933"/>
                <w:sz w:val="16"/>
              </w:rPr>
              <w:t xml:space="preserve">    ├── PACKAGES</w:t>
            </w:r>
            <w:r>
              <w:br/>
            </w:r>
            <w:r>
              <w:rPr>
                <w:rFonts w:ascii="Consolas" w:hAnsi="Consolas"/>
                <w:color w:val="1F2933"/>
                <w:sz w:val="16"/>
              </w:rPr>
              <w:t xml:space="preserve">    ├── TRANSFERS</w:t>
            </w:r>
            <w:r>
              <w:br/>
            </w:r>
            <w:r>
              <w:rPr>
                <w:rFonts w:ascii="Consolas" w:hAnsi="Consolas"/>
                <w:color w:val="1F2933"/>
                <w:sz w:val="16"/>
              </w:rPr>
              <w:t xml:space="preserve">    ├── RATE_RULES</w:t>
            </w:r>
            <w:r>
              <w:br/>
            </w:r>
            <w:r>
              <w:rPr>
                <w:rFonts w:ascii="Consolas" w:hAnsi="Consolas"/>
                <w:color w:val="1F2933"/>
                <w:sz w:val="16"/>
              </w:rPr>
              <w:t xml:space="preserve">    ├── INVOICES</w:t>
            </w:r>
            <w:r>
              <w:br/>
            </w:r>
            <w:r>
              <w:rPr>
                <w:rFonts w:ascii="Consolas" w:hAnsi="Consolas"/>
                <w:color w:val="1F2933"/>
                <w:sz w:val="16"/>
              </w:rPr>
              <w:t xml:space="preserve">    └── PAYMENTS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t>3.2 Límites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448"/>
            <w:shd w:fill="173F6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1584"/>
            <w:shd w:fill="173F6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  <w:t>Entre facilities del mismo courier</w:t>
            </w:r>
          </w:p>
        </w:tc>
        <w:tc>
          <w:tcPr>
            <w:tcW w:type="dxa" w:w="6048"/>
            <w:shd w:fill="173F6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  <w:t>Entre couriers distintos</w:t>
            </w:r>
          </w:p>
        </w:tc>
      </w:tr>
      <w:tr>
        <w:tc>
          <w:tcPr>
            <w:tcW w:type="dxa" w:w="244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Paquetes</w:t>
            </w:r>
          </w:p>
        </w:tc>
        <w:tc>
          <w:tcPr>
            <w:tcW w:type="dxa" w:w="15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Pueden transferirse por manifiesto.</w:t>
            </w:r>
          </w:p>
        </w:tc>
        <w:tc>
          <w:tcPr>
            <w:tcW w:type="dxa" w:w="604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Nunca se transfieren en el MVP.</w:t>
            </w:r>
          </w:p>
        </w:tc>
      </w:tr>
      <w:tr>
        <w:tc>
          <w:tcPr>
            <w:tcW w:type="dxa" w:w="2448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Clientes</w:t>
            </w:r>
          </w:p>
        </w:tc>
        <w:tc>
          <w:tcPr>
            <w:tcW w:type="dxa" w:w="1584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Pertenecen a la organization y tienen facility preferida.</w:t>
            </w:r>
          </w:p>
        </w:tc>
        <w:tc>
          <w:tcPr>
            <w:tcW w:type="dxa" w:w="6048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No se comparten.</w:t>
            </w:r>
          </w:p>
        </w:tc>
      </w:tr>
      <w:tr>
        <w:tc>
          <w:tcPr>
            <w:tcW w:type="dxa" w:w="244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Empleados</w:t>
            </w:r>
          </w:p>
        </w:tc>
        <w:tc>
          <w:tcPr>
            <w:tcW w:type="dxa" w:w="15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Pueden asignarse a varias facilities.</w:t>
            </w:r>
          </w:p>
        </w:tc>
        <w:tc>
          <w:tcPr>
            <w:tcW w:type="dxa" w:w="604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No se comparten.</w:t>
            </w:r>
          </w:p>
        </w:tc>
      </w:tr>
      <w:tr>
        <w:tc>
          <w:tcPr>
            <w:tcW w:type="dxa" w:w="2448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Servicios y tarifas</w:t>
            </w:r>
          </w:p>
        </w:tc>
        <w:tc>
          <w:tcPr>
            <w:tcW w:type="dxa" w:w="1584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Pueden ser generales o específicas de facility.</w:t>
            </w:r>
          </w:p>
        </w:tc>
        <w:tc>
          <w:tcPr>
            <w:tcW w:type="dxa" w:w="6048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No se comparten.</w:t>
            </w:r>
          </w:p>
        </w:tc>
      </w:tr>
      <w:tr>
        <w:tc>
          <w:tcPr>
            <w:tcW w:type="dxa" w:w="244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Facturas y pagos</w:t>
            </w:r>
          </w:p>
        </w:tc>
        <w:tc>
          <w:tcPr>
            <w:tcW w:type="dxa" w:w="15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Se consolidan dentro del courier.</w:t>
            </w:r>
          </w:p>
        </w:tc>
        <w:tc>
          <w:tcPr>
            <w:tcW w:type="dxa" w:w="604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Aislamiento total.</w:t>
            </w:r>
          </w:p>
        </w:tc>
      </w:tr>
      <w:tr>
        <w:tc>
          <w:tcPr>
            <w:tcW w:type="dxa" w:w="2448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Configuración</w:t>
            </w:r>
          </w:p>
        </w:tc>
        <w:tc>
          <w:tcPr>
            <w:tcW w:type="dxa" w:w="1584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Marca, moneda, medición y prefijos comunes.</w:t>
            </w:r>
          </w:p>
        </w:tc>
        <w:tc>
          <w:tcPr>
            <w:tcW w:type="dxa" w:w="6048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Configuración independiente.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t>3.3 Fuera del MVP</w:t>
      </w:r>
    </w:p>
    <w:p>
      <w:pPr>
        <w:pStyle w:val="ListBullet"/>
        <w:spacing w:after="40"/>
      </w:pPr>
      <w:r>
        <w:rPr>
          <w:color w:val="1F2933"/>
          <w:sz w:val="19"/>
        </w:rPr>
        <w:t>Liquidaciones y comisiones entre el courier y agencias o franquiciados.</w:t>
      </w:r>
    </w:p>
    <w:p>
      <w:pPr>
        <w:pStyle w:val="ListBullet"/>
        <w:spacing w:after="40"/>
      </w:pPr>
      <w:r>
        <w:rPr>
          <w:color w:val="1F2933"/>
          <w:sz w:val="19"/>
        </w:rPr>
        <w:t>Transferencias comerciales entre dos organizations.</w:t>
      </w:r>
    </w:p>
    <w:p>
      <w:pPr>
        <w:pStyle w:val="ListBullet"/>
        <w:spacing w:after="40"/>
      </w:pPr>
      <w:r>
        <w:rPr>
          <w:color w:val="1F2933"/>
          <w:sz w:val="19"/>
        </w:rPr>
        <w:t>Permisos completamente configurables.</w:t>
      </w:r>
    </w:p>
    <w:p>
      <w:pPr>
        <w:pStyle w:val="ListBullet"/>
        <w:spacing w:after="40"/>
      </w:pPr>
      <w:r>
        <w:rPr>
          <w:color w:val="1F2933"/>
          <w:sz w:val="19"/>
        </w:rPr>
        <w:t>Facturación automática de la suscripción SaaS.</w:t>
      </w:r>
    </w:p>
    <w:p>
      <w:pPr>
        <w:pStyle w:val="ListBullet"/>
        <w:spacing w:after="40"/>
      </w:pPr>
      <w:r>
        <w:rPr>
          <w:color w:val="1F2933"/>
          <w:sz w:val="19"/>
        </w:rPr>
        <w:t>Última milla con conductores, rutas, foto y firma.</w:t>
      </w:r>
    </w:p>
    <w:p>
      <w:pPr>
        <w:pStyle w:val="ListBullet"/>
        <w:spacing w:after="40"/>
      </w:pPr>
      <w:r>
        <w:rPr>
          <w:color w:val="1F2933"/>
          <w:sz w:val="19"/>
        </w:rPr>
        <w:t>Reembolsos parciales y contabilidad general.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4F8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left w:val="single" w:sz="22" w:color="2C5F8A"/>
            </w:tcBorders>
          </w:tcPr>
          <w:p>
            <w:r>
              <w:rPr>
                <w:b/>
                <w:color w:val="2C5F8A"/>
                <w:sz w:val="20"/>
              </w:rPr>
              <w:t>Nota</w:t>
            </w:r>
          </w:p>
          <w:p>
            <w:pPr>
              <w:spacing w:after="0"/>
            </w:pPr>
            <w:r>
              <w:rPr>
                <w:color w:val="1F2933"/>
                <w:sz w:val="18"/>
              </w:rPr>
              <w:t>organization_id se deriva del dominio o subdominio y de la identidad autenticada. Nunca se acepta como autoridad un identificador enviado libremente por el navegador.</w:t>
            </w:r>
          </w:p>
        </w:tc>
      </w:tr>
    </w:tbl>
    <w:p>
      <w:pPr>
        <w:spacing w:after="0"/>
      </w:pPr>
    </w:p>
    <w:p>
      <w:pPr>
        <w:pStyle w:val="Heading1"/>
        <w:keepNext/>
        <w:pBdr>
          <w:bottom w:val="single" w:sz="8" w:space="1" w:color="A9BBC9"/>
        </w:pBdr>
        <w:spacing w:before="240" w:after="140"/>
      </w:pPr>
      <w:r>
        <w:t>4. Arquitectura recomendada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14330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433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color w:val="66727F"/>
          <w:sz w:val="16"/>
        </w:rPr>
        <w:t>Arquitectura de aplicaciones y datos</w:t>
      </w:r>
    </w:p>
    <w:p>
      <w:pPr>
        <w:pStyle w:val="Heading2"/>
        <w:keepNext/>
        <w:spacing w:before="160" w:after="80"/>
      </w:pPr>
      <w:r>
        <w:t>4.1 Decisión arquitectónica</w:t>
      </w:r>
    </w:p>
    <w:p>
      <w:pPr>
        <w:spacing w:after="80" w:line="252" w:lineRule="auto"/>
      </w:pPr>
      <w:r>
        <w:rPr>
          <w:color w:val="1F2933"/>
          <w:sz w:val="20"/>
        </w:rPr>
        <w:t>Se recomienda un monorepo con dos aplicaciones desplegables: Next.js para la experiencia pública y privada, y NestJS como única API propietaria de las reglas de negocio. PostgreSQL conserva integridad y Prisma se utiliza exclusivamente desde la API.</w:t>
      </w:r>
    </w:p>
    <w:p>
      <w:pPr>
        <w:spacing w:after="80" w:line="252" w:lineRule="auto"/>
      </w:pPr>
      <w:r>
        <w:rPr>
          <w:color w:val="1F2933"/>
          <w:sz w:val="20"/>
        </w:rPr>
        <w:t>No se recomiendan microservicios durante el MVP. El backend será un monolito modular: una aplicación desplegable, separada internamente por dominios.</w:t>
      </w:r>
    </w:p>
    <w:p>
      <w:pPr>
        <w:pStyle w:val="Heading2"/>
        <w:keepNext/>
        <w:spacing w:before="160" w:after="80"/>
      </w:pPr>
      <w:r>
        <w:t>4.2 Responsabilidades de Next.js</w:t>
      </w:r>
    </w:p>
    <w:p>
      <w:pPr>
        <w:pStyle w:val="ListBullet"/>
        <w:spacing w:after="40"/>
      </w:pPr>
      <w:r>
        <w:rPr>
          <w:color w:val="1F2933"/>
          <w:sz w:val="19"/>
        </w:rPr>
        <w:t>Página pública del SaaS y sitio white-label de cada courier.</w:t>
      </w:r>
    </w:p>
    <w:p>
      <w:pPr>
        <w:pStyle w:val="ListBullet"/>
        <w:spacing w:after="40"/>
      </w:pPr>
      <w:r>
        <w:rPr>
          <w:color w:val="1F2933"/>
          <w:sz w:val="19"/>
        </w:rPr>
        <w:t>Tracking público limitado por organization y código.</w:t>
      </w:r>
    </w:p>
    <w:p>
      <w:pPr>
        <w:pStyle w:val="ListBullet"/>
        <w:spacing w:after="40"/>
      </w:pPr>
      <w:r>
        <w:rPr>
          <w:color w:val="1F2933"/>
          <w:sz w:val="19"/>
        </w:rPr>
        <w:t>Registro, inicio de sesión y recuperación de acceso.</w:t>
      </w:r>
    </w:p>
    <w:p>
      <w:pPr>
        <w:pStyle w:val="ListBullet"/>
        <w:spacing w:after="40"/>
      </w:pPr>
      <w:r>
        <w:rPr>
          <w:color w:val="1F2933"/>
          <w:sz w:val="19"/>
        </w:rPr>
        <w:t>Portal del cliente y backoffice.</w:t>
      </w:r>
    </w:p>
    <w:p>
      <w:pPr>
        <w:pStyle w:val="ListBullet"/>
        <w:spacing w:after="40"/>
      </w:pPr>
      <w:r>
        <w:rPr>
          <w:color w:val="1F2933"/>
          <w:sz w:val="19"/>
        </w:rPr>
        <w:t>Formularios, tablas, escaneo y estados de interfaz.</w:t>
      </w:r>
    </w:p>
    <w:p>
      <w:pPr>
        <w:pStyle w:val="ListBullet"/>
        <w:spacing w:after="40"/>
      </w:pPr>
      <w:r>
        <w:rPr>
          <w:color w:val="1F2933"/>
          <w:sz w:val="19"/>
        </w:rPr>
        <w:t>Renderizado inicial, metadata y manejo de errores.</w:t>
      </w:r>
    </w:p>
    <w:p>
      <w:pPr>
        <w:pStyle w:val="Heading2"/>
        <w:keepNext/>
        <w:spacing w:before="160" w:after="80"/>
      </w:pPr>
      <w:r>
        <w:t>4.3 Responsabilidades de NestJS</w:t>
      </w:r>
    </w:p>
    <w:p>
      <w:pPr>
        <w:pStyle w:val="ListBullet"/>
        <w:spacing w:after="40"/>
      </w:pPr>
      <w:r>
        <w:rPr>
          <w:color w:val="1F2933"/>
          <w:sz w:val="19"/>
        </w:rPr>
        <w:t>Autenticación, rotación de sesiones y autorización real.</w:t>
      </w:r>
    </w:p>
    <w:p>
      <w:pPr>
        <w:pStyle w:val="ListBullet"/>
        <w:spacing w:after="40"/>
      </w:pPr>
      <w:r>
        <w:rPr>
          <w:color w:val="1F2933"/>
          <w:sz w:val="19"/>
        </w:rPr>
        <w:t xml:space="preserve">Resolución obligatoria de </w:t>
      </w:r>
      <w:r>
        <w:rPr>
          <w:rFonts w:ascii="Consolas" w:hAnsi="Consolas"/>
          <w:color w:val="1F2933"/>
          <w:sz w:val="19"/>
        </w:rPr>
        <w:t>organization_id</w:t>
      </w:r>
      <w:r>
        <w:rPr>
          <w:color w:val="1F2933"/>
          <w:sz w:val="19"/>
        </w:rPr>
        <w:t xml:space="preserve"> y facilities permitidas.</w:t>
      </w:r>
    </w:p>
    <w:p>
      <w:pPr>
        <w:pStyle w:val="ListBullet"/>
        <w:spacing w:after="40"/>
      </w:pPr>
      <w:r>
        <w:rPr>
          <w:color w:val="1F2933"/>
          <w:sz w:val="19"/>
        </w:rPr>
        <w:t>Transiciones de paquetes, transferencias y auditoría.</w:t>
      </w:r>
    </w:p>
    <w:p>
      <w:pPr>
        <w:pStyle w:val="ListBullet"/>
        <w:spacing w:after="40"/>
      </w:pPr>
      <w:r>
        <w:rPr>
          <w:color w:val="1F2933"/>
          <w:sz w:val="19"/>
        </w:rPr>
        <w:t>Cálculo de peso volumétrico, peso cobrable y tarifas.</w:t>
      </w:r>
    </w:p>
    <w:p>
      <w:pPr>
        <w:pStyle w:val="ListBullet"/>
        <w:spacing w:after="40"/>
      </w:pPr>
      <w:r>
        <w:rPr>
          <w:color w:val="1F2933"/>
          <w:sz w:val="19"/>
        </w:rPr>
        <w:t>Emisión de facturas, pagos, asignaciones y transacciones.</w:t>
      </w:r>
    </w:p>
    <w:p>
      <w:pPr>
        <w:pStyle w:val="ListBullet"/>
        <w:spacing w:after="40"/>
      </w:pPr>
      <w:r>
        <w:rPr>
          <w:color w:val="1F2933"/>
          <w:sz w:val="19"/>
        </w:rPr>
        <w:t>Integridad entre tenant, facility, cliente, carrier, servicio y paquete.</w:t>
      </w:r>
    </w:p>
    <w:p>
      <w:pPr>
        <w:pStyle w:val="Heading2"/>
        <w:keepNext/>
        <w:spacing w:before="160" w:after="80"/>
      </w:pPr>
      <w:r>
        <w:t>4.4 Monorepo definitivo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2933"/>
                <w:sz w:val="16"/>
              </w:rPr>
              <w:t>courier-saas/</w:t>
            </w:r>
            <w:r>
              <w:br/>
            </w:r>
            <w:r>
              <w:rPr>
                <w:rFonts w:ascii="Consolas" w:hAnsi="Consolas"/>
                <w:color w:val="1F2933"/>
                <w:sz w:val="16"/>
              </w:rPr>
              <w:t>├── apps/</w:t>
            </w:r>
            <w:r>
              <w:br/>
            </w:r>
            <w:r>
              <w:rPr>
                <w:rFonts w:ascii="Consolas" w:hAnsi="Consolas"/>
                <w:color w:val="1F2933"/>
                <w:sz w:val="16"/>
              </w:rPr>
              <w:t>│   ├── web/                         # Next.js</w:t>
            </w:r>
            <w:r>
              <w:br/>
            </w:r>
            <w:r>
              <w:rPr>
                <w:rFonts w:ascii="Consolas" w:hAnsi="Consolas"/>
                <w:color w:val="1F2933"/>
                <w:sz w:val="16"/>
              </w:rPr>
              <w:t>│   └── api/                         # NestJS + Prisma</w:t>
            </w:r>
            <w:r>
              <w:br/>
            </w:r>
            <w:r>
              <w:rPr>
                <w:rFonts w:ascii="Consolas" w:hAnsi="Consolas"/>
                <w:color w:val="1F2933"/>
                <w:sz w:val="16"/>
              </w:rPr>
              <w:t>│       └── prisma/</w:t>
            </w:r>
            <w:r>
              <w:br/>
            </w:r>
            <w:r>
              <w:rPr>
                <w:rFonts w:ascii="Consolas" w:hAnsi="Consolas"/>
                <w:color w:val="1F2933"/>
                <w:sz w:val="16"/>
              </w:rPr>
              <w:t>│           ├── schema.prisma</w:t>
            </w:r>
            <w:r>
              <w:br/>
            </w:r>
            <w:r>
              <w:rPr>
                <w:rFonts w:ascii="Consolas" w:hAnsi="Consolas"/>
                <w:color w:val="1F2933"/>
                <w:sz w:val="16"/>
              </w:rPr>
              <w:t>│           ├── migrations/</w:t>
            </w:r>
            <w:r>
              <w:br/>
            </w:r>
            <w:r>
              <w:rPr>
                <w:rFonts w:ascii="Consolas" w:hAnsi="Consolas"/>
                <w:color w:val="1F2933"/>
                <w:sz w:val="16"/>
              </w:rPr>
              <w:t>│           └── seed.ts</w:t>
            </w:r>
            <w:r>
              <w:br/>
            </w:r>
            <w:r>
              <w:rPr>
                <w:rFonts w:ascii="Consolas" w:hAnsi="Consolas"/>
                <w:color w:val="1F2933"/>
                <w:sz w:val="16"/>
              </w:rPr>
              <w:t>├── packages/</w:t>
            </w:r>
            <w:r>
              <w:br/>
            </w:r>
            <w:r>
              <w:rPr>
                <w:rFonts w:ascii="Consolas" w:hAnsi="Consolas"/>
                <w:color w:val="1F2933"/>
                <w:sz w:val="16"/>
              </w:rPr>
              <w:t>│   ├── contracts/                   # Tipos y contratos compartidos</w:t>
            </w:r>
            <w:r>
              <w:br/>
            </w:r>
            <w:r>
              <w:rPr>
                <w:rFonts w:ascii="Consolas" w:hAnsi="Consolas"/>
                <w:color w:val="1F2933"/>
                <w:sz w:val="16"/>
              </w:rPr>
              <w:t>│   ├── ui/</w:t>
            </w:r>
            <w:r>
              <w:br/>
            </w:r>
            <w:r>
              <w:rPr>
                <w:rFonts w:ascii="Consolas" w:hAnsi="Consolas"/>
                <w:color w:val="1F2933"/>
                <w:sz w:val="16"/>
              </w:rPr>
              <w:t>│   ├── eslint-config/</w:t>
            </w:r>
            <w:r>
              <w:br/>
            </w:r>
            <w:r>
              <w:rPr>
                <w:rFonts w:ascii="Consolas" w:hAnsi="Consolas"/>
                <w:color w:val="1F2933"/>
                <w:sz w:val="16"/>
              </w:rPr>
              <w:t>│   └── typescript-config/</w:t>
            </w:r>
            <w:r>
              <w:br/>
            </w:r>
            <w:r>
              <w:rPr>
                <w:rFonts w:ascii="Consolas" w:hAnsi="Consolas"/>
                <w:color w:val="1F2933"/>
                <w:sz w:val="16"/>
              </w:rPr>
              <w:t>├── docs/</w:t>
            </w:r>
            <w:r>
              <w:br/>
            </w:r>
            <w:r>
              <w:rPr>
                <w:rFonts w:ascii="Consolas" w:hAnsi="Consolas"/>
                <w:color w:val="1F2933"/>
                <w:sz w:val="16"/>
              </w:rPr>
              <w:t>│   ├── implementation-plan.md</w:t>
            </w:r>
            <w:r>
              <w:br/>
            </w:r>
            <w:r>
              <w:rPr>
                <w:rFonts w:ascii="Consolas" w:hAnsi="Consolas"/>
                <w:color w:val="1F2933"/>
                <w:sz w:val="16"/>
              </w:rPr>
              <w:t>│   ├── development.md</w:t>
            </w:r>
            <w:r>
              <w:br/>
            </w:r>
            <w:r>
              <w:rPr>
                <w:rFonts w:ascii="Consolas" w:hAnsi="Consolas"/>
                <w:color w:val="1F2933"/>
                <w:sz w:val="16"/>
              </w:rPr>
              <w:t>│   ├── docker.md</w:t>
            </w:r>
            <w:r>
              <w:br/>
            </w:r>
            <w:r>
              <w:rPr>
                <w:rFonts w:ascii="Consolas" w:hAnsi="Consolas"/>
                <w:color w:val="1F2933"/>
                <w:sz w:val="16"/>
              </w:rPr>
              <w:t>│   ├── deployment.md</w:t>
            </w:r>
            <w:r>
              <w:br/>
            </w:r>
            <w:r>
              <w:rPr>
                <w:rFonts w:ascii="Consolas" w:hAnsi="Consolas"/>
                <w:color w:val="1F2933"/>
                <w:sz w:val="16"/>
              </w:rPr>
              <w:t>│   ├── database.md</w:t>
            </w:r>
            <w:r>
              <w:br/>
            </w:r>
            <w:r>
              <w:rPr>
                <w:rFonts w:ascii="Consolas" w:hAnsi="Consolas"/>
                <w:color w:val="1F2933"/>
                <w:sz w:val="16"/>
              </w:rPr>
              <w:t>│   └── adr/</w:t>
            </w:r>
            <w:r>
              <w:br/>
            </w:r>
            <w:r>
              <w:rPr>
                <w:rFonts w:ascii="Consolas" w:hAnsi="Consolas"/>
                <w:color w:val="1F2933"/>
                <w:sz w:val="16"/>
              </w:rPr>
              <w:t>├── docker/</w:t>
            </w:r>
            <w:r>
              <w:br/>
            </w:r>
            <w:r>
              <w:rPr>
                <w:rFonts w:ascii="Consolas" w:hAnsi="Consolas"/>
                <w:color w:val="1F2933"/>
                <w:sz w:val="16"/>
              </w:rPr>
              <w:t>│   ├── api.Dockerfile</w:t>
            </w:r>
            <w:r>
              <w:br/>
            </w:r>
            <w:r>
              <w:rPr>
                <w:rFonts w:ascii="Consolas" w:hAnsi="Consolas"/>
                <w:color w:val="1F2933"/>
                <w:sz w:val="16"/>
              </w:rPr>
              <w:t>│   └── web.Dockerfile</w:t>
            </w:r>
            <w:r>
              <w:br/>
            </w:r>
            <w:r>
              <w:rPr>
                <w:rFonts w:ascii="Consolas" w:hAnsi="Consolas"/>
                <w:color w:val="1F2933"/>
                <w:sz w:val="16"/>
              </w:rPr>
              <w:t>├── compose.dev.yml</w:t>
            </w:r>
            <w:r>
              <w:br/>
            </w:r>
            <w:r>
              <w:rPr>
                <w:rFonts w:ascii="Consolas" w:hAnsi="Consolas"/>
                <w:color w:val="1F2933"/>
                <w:sz w:val="16"/>
              </w:rPr>
              <w:t>├── compose.prod.yml</w:t>
            </w:r>
            <w:r>
              <w:br/>
            </w:r>
            <w:r>
              <w:rPr>
                <w:rFonts w:ascii="Consolas" w:hAnsi="Consolas"/>
                <w:color w:val="1F2933"/>
                <w:sz w:val="16"/>
              </w:rPr>
              <w:t>├── AGENTS.md</w:t>
            </w:r>
            <w:r>
              <w:br/>
            </w:r>
            <w:r>
              <w:rPr>
                <w:rFonts w:ascii="Consolas" w:hAnsi="Consolas"/>
                <w:color w:val="1F2933"/>
                <w:sz w:val="16"/>
              </w:rPr>
              <w:t>├── .env.example</w:t>
            </w:r>
            <w:r>
              <w:br/>
            </w:r>
            <w:r>
              <w:rPr>
                <w:rFonts w:ascii="Consolas" w:hAnsi="Consolas"/>
                <w:color w:val="1F2933"/>
                <w:sz w:val="16"/>
              </w:rPr>
              <w:t>├── pnpm-workspace.yaml</w:t>
            </w:r>
            <w:r>
              <w:br/>
            </w:r>
            <w:r>
              <w:rPr>
                <w:rFonts w:ascii="Consolas" w:hAnsi="Consolas"/>
                <w:color w:val="1F2933"/>
                <w:sz w:val="16"/>
              </w:rPr>
              <w:t>├── turbo.json</w:t>
            </w:r>
            <w:r>
              <w:br/>
            </w:r>
            <w:r>
              <w:rPr>
                <w:rFonts w:ascii="Consolas" w:hAnsi="Consolas"/>
                <w:color w:val="1F2933"/>
                <w:sz w:val="16"/>
              </w:rPr>
              <w:t>└── package.json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4F8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left w:val="single" w:sz="22" w:color="2C5F8A"/>
            </w:tcBorders>
          </w:tcPr>
          <w:p>
            <w:r>
              <w:rPr>
                <w:b/>
                <w:color w:val="2C5F8A"/>
                <w:sz w:val="20"/>
              </w:rPr>
              <w:t>Nota</w:t>
            </w:r>
          </w:p>
          <w:p>
            <w:pPr>
              <w:spacing w:after="0"/>
            </w:pPr>
            <w:r>
              <w:rPr>
                <w:color w:val="1F2933"/>
                <w:sz w:val="18"/>
              </w:rPr>
              <w:t>Next.js no importa Prisma Client ni servicios de NestJS. Toda mutación operativa o financiera pasa por la API.</w:t>
            </w:r>
          </w:p>
        </w:tc>
      </w:tr>
    </w:tbl>
    <w:p>
      <w:pPr>
        <w:spacing w:after="0"/>
      </w:pPr>
    </w:p>
    <w:p>
      <w:pPr>
        <w:pStyle w:val="Heading1"/>
        <w:keepNext/>
        <w:pBdr>
          <w:bottom w:val="single" w:sz="8" w:space="1" w:color="A9BBC9"/>
        </w:pBdr>
        <w:spacing w:before="240" w:after="140"/>
      </w:pPr>
      <w:r>
        <w:t>5. Docker, entornos y despliegue</w:t>
      </w:r>
    </w:p>
    <w:p>
      <w:pPr>
        <w:pStyle w:val="Heading2"/>
        <w:keepNext/>
        <w:spacing w:before="160" w:after="80"/>
      </w:pPr>
      <w:r>
        <w:t>5.1 Estrategia de desarrollo</w:t>
      </w:r>
    </w:p>
    <w:p>
      <w:pPr>
        <w:spacing w:after="80" w:line="252" w:lineRule="auto"/>
      </w:pPr>
      <w:r>
        <w:rPr>
          <w:color w:val="1F2933"/>
          <w:sz w:val="20"/>
        </w:rPr>
        <w:t>La modalidad principal será híbrida: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2933"/>
                <w:sz w:val="16"/>
              </w:rPr>
              <w:t>Next.js local + NestJS local + PostgreSQL en Docker</w:t>
            </w:r>
          </w:p>
        </w:tc>
      </w:tr>
    </w:tbl>
    <w:p>
      <w:pPr>
        <w:spacing w:after="0"/>
      </w:pPr>
    </w:p>
    <w:p>
      <w:pPr>
        <w:spacing w:after="80" w:line="252" w:lineRule="auto"/>
      </w:pPr>
      <w:r>
        <w:rPr>
          <w:color w:val="1F2933"/>
          <w:sz w:val="20"/>
        </w:rPr>
        <w:t>Esto conserva hot reload y depuración rápida, mientras la base de datos permanece reproducible. Una modalidad completamente dockerizada se utilizará para integración, CI y verificación de paridad.</w:t>
      </w:r>
    </w:p>
    <w:p>
      <w:pPr>
        <w:spacing w:after="80" w:line="252" w:lineRule="auto"/>
      </w:pPr>
      <w:r>
        <w:rPr>
          <w:color w:val="1F2933"/>
          <w:sz w:val="20"/>
        </w:rPr>
        <w:t>Comando esperado: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2933"/>
                <w:sz w:val="16"/>
              </w:rPr>
              <w:t>docker compose -f compose.dev.yml up -d postgres</w:t>
            </w:r>
            <w:r>
              <w:br/>
            </w:r>
            <w:r>
              <w:rPr>
                <w:rFonts w:ascii="Consolas" w:hAnsi="Consolas"/>
                <w:color w:val="1F2933"/>
                <w:sz w:val="16"/>
              </w:rPr>
              <w:t>pnpm install</w:t>
            </w:r>
            <w:r>
              <w:br/>
            </w:r>
            <w:r>
              <w:rPr>
                <w:rFonts w:ascii="Consolas" w:hAnsi="Consolas"/>
                <w:color w:val="1F2933"/>
                <w:sz w:val="16"/>
              </w:rPr>
              <w:t>pnpm dev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t>5.2 Imágenes de producción</w:t>
      </w:r>
    </w:p>
    <w:p>
      <w:pPr>
        <w:spacing w:after="80" w:line="252" w:lineRule="auto"/>
      </w:pPr>
      <w:r>
        <w:rPr>
          <w:color w:val="1F2933"/>
          <w:sz w:val="20"/>
        </w:rPr>
        <w:t>Se construirán imágenes independientes:</w:t>
      </w:r>
    </w:p>
    <w:p>
      <w:pPr>
        <w:pStyle w:val="ListBullet"/>
        <w:spacing w:after="40"/>
      </w:pPr>
      <w:r>
        <w:rPr>
          <w:rFonts w:ascii="Consolas" w:hAnsi="Consolas"/>
          <w:color w:val="1F2933"/>
          <w:sz w:val="19"/>
        </w:rPr>
        <w:t>courier-web</w:t>
      </w:r>
      <w:r>
        <w:rPr>
          <w:color w:val="1F2933"/>
          <w:sz w:val="19"/>
        </w:rPr>
        <w:t xml:space="preserve">: Next.js con salida </w:t>
      </w:r>
      <w:r>
        <w:rPr>
          <w:rFonts w:ascii="Consolas" w:hAnsi="Consolas"/>
          <w:color w:val="1F2933"/>
          <w:sz w:val="19"/>
        </w:rPr>
        <w:t>standalone</w:t>
      </w:r>
      <w:r>
        <w:rPr>
          <w:color w:val="1F2933"/>
          <w:sz w:val="19"/>
        </w:rPr>
        <w:t>.</w:t>
      </w:r>
    </w:p>
    <w:p>
      <w:pPr>
        <w:pStyle w:val="ListBullet"/>
        <w:spacing w:after="40"/>
      </w:pPr>
      <w:r>
        <w:rPr>
          <w:rFonts w:ascii="Consolas" w:hAnsi="Consolas"/>
          <w:color w:val="1F2933"/>
          <w:sz w:val="19"/>
        </w:rPr>
        <w:t>courier-api</w:t>
      </w:r>
      <w:r>
        <w:rPr>
          <w:color w:val="1F2933"/>
          <w:sz w:val="19"/>
        </w:rPr>
        <w:t>: NestJS compilado, Prisma Client generado y usuario no root.</w:t>
      </w:r>
    </w:p>
    <w:p>
      <w:pPr>
        <w:spacing w:after="80" w:line="252" w:lineRule="auto"/>
      </w:pPr>
      <w:r>
        <w:rPr>
          <w:color w:val="1F2933"/>
          <w:sz w:val="20"/>
        </w:rPr>
        <w:t xml:space="preserve">Ambas imágenes serán multi-stage, no copiarán archivos </w:t>
      </w:r>
      <w:r>
        <w:rPr>
          <w:rFonts w:ascii="Consolas" w:hAnsi="Consolas"/>
          <w:color w:val="1F2933"/>
          <w:sz w:val="20"/>
        </w:rPr>
        <w:t>.env</w:t>
      </w:r>
      <w:r>
        <w:rPr>
          <w:color w:val="1F2933"/>
          <w:sz w:val="20"/>
        </w:rPr>
        <w:t xml:space="preserve"> y tendrán healthchecks. PostgreSQL de producción será administrado; no se alojará en el mismo contenedor de la aplicación.</w:t>
      </w:r>
    </w:p>
    <w:p>
      <w:pPr>
        <w:pStyle w:val="Heading2"/>
        <w:keepNext/>
        <w:spacing w:before="160" w:after="80"/>
      </w:pPr>
      <w:r>
        <w:t>5.3 Migraciones</w:t>
      </w:r>
    </w:p>
    <w:p>
      <w:pPr>
        <w:pStyle w:val="ListBullet"/>
        <w:spacing w:after="40"/>
      </w:pPr>
      <w:r>
        <w:rPr>
          <w:color w:val="1F2933"/>
          <w:sz w:val="19"/>
        </w:rPr>
        <w:t xml:space="preserve">Desarrollo: </w:t>
      </w:r>
      <w:r>
        <w:rPr>
          <w:rFonts w:ascii="Consolas" w:hAnsi="Consolas"/>
          <w:color w:val="1F2933"/>
          <w:sz w:val="19"/>
        </w:rPr>
        <w:t>prisma migrate dev</w:t>
      </w:r>
      <w:r>
        <w:rPr>
          <w:color w:val="1F2933"/>
          <w:sz w:val="19"/>
        </w:rPr>
        <w:t>.</w:t>
      </w:r>
    </w:p>
    <w:p>
      <w:pPr>
        <w:pStyle w:val="ListBullet"/>
        <w:spacing w:after="40"/>
      </w:pPr>
      <w:r>
        <w:rPr>
          <w:color w:val="1F2933"/>
          <w:sz w:val="19"/>
        </w:rPr>
        <w:t xml:space="preserve">Producción: </w:t>
      </w:r>
      <w:r>
        <w:rPr>
          <w:rFonts w:ascii="Consolas" w:hAnsi="Consolas"/>
          <w:color w:val="1F2933"/>
          <w:sz w:val="19"/>
        </w:rPr>
        <w:t>prisma migrate deploy</w:t>
      </w:r>
      <w:r>
        <w:rPr>
          <w:color w:val="1F2933"/>
          <w:sz w:val="19"/>
        </w:rPr>
        <w:t>.</w:t>
      </w:r>
    </w:p>
    <w:p>
      <w:pPr>
        <w:pStyle w:val="ListBullet"/>
        <w:spacing w:after="40"/>
      </w:pPr>
      <w:r>
        <w:rPr>
          <w:color w:val="1F2933"/>
          <w:sz w:val="19"/>
        </w:rPr>
        <w:t xml:space="preserve">No utilizar </w:t>
      </w:r>
      <w:r>
        <w:rPr>
          <w:rFonts w:ascii="Consolas" w:hAnsi="Consolas"/>
          <w:color w:val="1F2933"/>
          <w:sz w:val="19"/>
        </w:rPr>
        <w:t>prisma db push</w:t>
      </w:r>
      <w:r>
        <w:rPr>
          <w:color w:val="1F2933"/>
          <w:sz w:val="19"/>
        </w:rPr>
        <w:t xml:space="preserve"> para producción.</w:t>
      </w:r>
    </w:p>
    <w:p>
      <w:pPr>
        <w:pStyle w:val="ListBullet"/>
        <w:spacing w:after="40"/>
      </w:pPr>
      <w:r>
        <w:rPr>
          <w:color w:val="1F2933"/>
          <w:sz w:val="19"/>
        </w:rPr>
        <w:t>Las migraciones se ejecutan como trabajo único antes de desplegar nuevas réplicas.</w:t>
      </w:r>
    </w:p>
    <w:p>
      <w:pPr>
        <w:pStyle w:val="ListBullet"/>
        <w:spacing w:after="40"/>
      </w:pPr>
      <w:r>
        <w:rPr>
          <w:color w:val="1F2933"/>
          <w:sz w:val="19"/>
        </w:rPr>
        <w:t>Funciones, vistas, triggers y restricciones específicas de PostgreSQL se conservan como SQL dentro de migraciones versionadas.</w:t>
      </w:r>
    </w:p>
    <w:p>
      <w:pPr>
        <w:pStyle w:val="Heading2"/>
        <w:keepNext/>
        <w:spacing w:before="160" w:after="80"/>
      </w:pPr>
      <w:r>
        <w:t>5.4 Variables y red</w:t>
      </w:r>
    </w:p>
    <w:p>
      <w:pPr>
        <w:spacing w:after="80" w:line="252" w:lineRule="auto"/>
      </w:pPr>
      <w:r>
        <w:rPr>
          <w:color w:val="1F2933"/>
          <w:sz w:val="20"/>
        </w:rPr>
        <w:t>El navegador utiliza una URL pública, mientras Next.js dentro de Docker puede utilizar el nombre interno del servicio: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2933"/>
                <w:sz w:val="16"/>
              </w:rPr>
              <w:t>NEXT_PUBLIC_API_URL=http://localhost:4000</w:t>
            </w:r>
            <w:r>
              <w:br/>
            </w:r>
            <w:r>
              <w:rPr>
                <w:rFonts w:ascii="Consolas" w:hAnsi="Consolas"/>
                <w:color w:val="1F2933"/>
                <w:sz w:val="16"/>
              </w:rPr>
              <w:t>API_INTERNAL_URL=http://api:4000</w:t>
            </w:r>
          </w:p>
        </w:tc>
      </w:tr>
    </w:tbl>
    <w:p>
      <w:pPr>
        <w:spacing w:after="0"/>
      </w:pPr>
    </w:p>
    <w:p>
      <w:pPr>
        <w:spacing w:after="80" w:line="252" w:lineRule="auto"/>
      </w:pPr>
      <w:r>
        <w:rPr>
          <w:color w:val="1F2933"/>
          <w:sz w:val="20"/>
        </w:rPr>
        <w:t>Los secretos se inyectan en tiempo de ejecución y nunca se incorporan a las imágenes.</w:t>
      </w:r>
    </w:p>
    <w:p>
      <w:pPr>
        <w:pStyle w:val="Heading1"/>
        <w:keepNext/>
        <w:pBdr>
          <w:bottom w:val="single" w:sz="8" w:space="1" w:color="A9BBC9"/>
        </w:pBdr>
        <w:spacing w:before="240" w:after="140"/>
      </w:pPr>
      <w:r>
        <w:t>6. Flujo operativo principal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16557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ckage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655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color w:val="66727F"/>
          <w:sz w:val="16"/>
        </w:rPr>
        <w:t>Flujo principal de estados</w:t>
      </w:r>
    </w:p>
    <w:p>
      <w:pPr>
        <w:pStyle w:val="Heading2"/>
        <w:keepNext/>
        <w:spacing w:before="160" w:after="80"/>
      </w:pPr>
      <w:r>
        <w:t>6.1 Corte vertical inicial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2933"/>
                <w:sz w:val="16"/>
              </w:rPr>
              <w:t>Crear organization</w:t>
            </w:r>
            <w:r>
              <w:br/>
            </w:r>
            <w:r>
              <w:rPr>
                <w:rFonts w:ascii="Consolas" w:hAnsi="Consolas"/>
                <w:color w:val="1F2933"/>
                <w:sz w:val="16"/>
              </w:rPr>
              <w:t xml:space="preserve">  → Crear facility</w:t>
            </w:r>
            <w:r>
              <w:br/>
            </w:r>
            <w:r>
              <w:rPr>
                <w:rFonts w:ascii="Consolas" w:hAnsi="Consolas"/>
                <w:color w:val="1F2933"/>
                <w:sz w:val="16"/>
              </w:rPr>
              <w:t xml:space="preserve">  → Crear carrier UNKNOWN y servicios iniciales</w:t>
            </w:r>
            <w:r>
              <w:br/>
            </w:r>
            <w:r>
              <w:rPr>
                <w:rFonts w:ascii="Consolas" w:hAnsi="Consolas"/>
                <w:color w:val="1F2933"/>
                <w:sz w:val="16"/>
              </w:rPr>
              <w:t xml:space="preserve">  → Registrar cliente</w:t>
            </w:r>
            <w:r>
              <w:br/>
            </w:r>
            <w:r>
              <w:rPr>
                <w:rFonts w:ascii="Consolas" w:hAnsi="Consolas"/>
                <w:color w:val="1F2933"/>
                <w:sz w:val="16"/>
              </w:rPr>
              <w:t xml:space="preserve">  → Crear o recibir paquete</w:t>
            </w:r>
            <w:r>
              <w:br/>
            </w:r>
            <w:r>
              <w:rPr>
                <w:rFonts w:ascii="Consolas" w:hAnsi="Consolas"/>
                <w:color w:val="1F2933"/>
                <w:sz w:val="16"/>
              </w:rPr>
              <w:t xml:space="preserve">  → Pesar y medir</w:t>
            </w:r>
            <w:r>
              <w:br/>
            </w:r>
            <w:r>
              <w:rPr>
                <w:rFonts w:ascii="Consolas" w:hAnsi="Consolas"/>
                <w:color w:val="1F2933"/>
                <w:sz w:val="16"/>
              </w:rPr>
              <w:t xml:space="preserve">  → Asignar ubicación</w:t>
            </w:r>
            <w:r>
              <w:br/>
            </w:r>
            <w:r>
              <w:rPr>
                <w:rFonts w:ascii="Consolas" w:hAnsi="Consolas"/>
                <w:color w:val="1F2933"/>
                <w:sz w:val="16"/>
              </w:rPr>
              <w:t xml:space="preserve">  → Cambiar estado con historial</w:t>
            </w:r>
            <w:r>
              <w:br/>
            </w:r>
            <w:r>
              <w:rPr>
                <w:rFonts w:ascii="Consolas" w:hAnsi="Consolas"/>
                <w:color w:val="1F2933"/>
                <w:sz w:val="16"/>
              </w:rPr>
              <w:t xml:space="preserve">  → Consultar tracking público</w:t>
            </w:r>
          </w:p>
        </w:tc>
      </w:tr>
    </w:tbl>
    <w:p>
      <w:pPr>
        <w:spacing w:after="0"/>
      </w:pPr>
    </w:p>
    <w:p>
      <w:pPr>
        <w:spacing w:after="80" w:line="252" w:lineRule="auto"/>
      </w:pPr>
      <w:r>
        <w:rPr>
          <w:color w:val="1F2933"/>
          <w:sz w:val="20"/>
        </w:rPr>
        <w:t>Este flujo debe funcionar de principio a fin antes de añadir facturación avanzada, integraciones o reportes.</w:t>
      </w:r>
    </w:p>
    <w:p>
      <w:pPr>
        <w:pStyle w:val="Heading2"/>
        <w:keepNext/>
        <w:spacing w:before="160" w:after="80"/>
      </w:pPr>
      <w:r>
        <w:t>6.2 Flujo ampliado</w:t>
      </w:r>
    </w:p>
    <w:p>
      <w:pPr>
        <w:spacing w:after="40"/>
        <w:ind w:left="360" w:hanging="288"/>
      </w:pPr>
      <w:r>
        <w:rPr>
          <w:b/>
          <w:color w:val="1F2933"/>
          <w:sz w:val="19"/>
        </w:rPr>
        <w:t xml:space="preserve">1. </w:t>
      </w:r>
      <w:r>
        <w:rPr>
          <w:color w:val="1F2933"/>
          <w:sz w:val="19"/>
        </w:rPr>
        <w:t>El cliente recibe un casillero único dentro del courier.</w:t>
      </w:r>
    </w:p>
    <w:p>
      <w:pPr>
        <w:spacing w:after="40"/>
        <w:ind w:left="360" w:hanging="288"/>
      </w:pPr>
      <w:r>
        <w:rPr>
          <w:b/>
          <w:color w:val="1F2933"/>
          <w:sz w:val="19"/>
        </w:rPr>
        <w:t xml:space="preserve">2. </w:t>
      </w:r>
      <w:r>
        <w:rPr>
          <w:color w:val="1F2933"/>
          <w:sz w:val="19"/>
        </w:rPr>
        <w:t>Crea una prealerta opcional.</w:t>
      </w:r>
    </w:p>
    <w:p>
      <w:pPr>
        <w:spacing w:after="40"/>
        <w:ind w:left="360" w:hanging="288"/>
      </w:pPr>
      <w:r>
        <w:rPr>
          <w:b/>
          <w:color w:val="1F2933"/>
          <w:sz w:val="19"/>
        </w:rPr>
        <w:t xml:space="preserve">3. </w:t>
      </w:r>
      <w:r>
        <w:rPr>
          <w:color w:val="1F2933"/>
          <w:sz w:val="19"/>
        </w:rPr>
        <w:t>El personal confirma carrier, servicio y tracking.</w:t>
      </w:r>
    </w:p>
    <w:p>
      <w:pPr>
        <w:spacing w:after="40"/>
        <w:ind w:left="360" w:hanging="288"/>
      </w:pPr>
      <w:r>
        <w:rPr>
          <w:b/>
          <w:color w:val="1F2933"/>
          <w:sz w:val="19"/>
        </w:rPr>
        <w:t xml:space="preserve">4. </w:t>
      </w:r>
      <w:r>
        <w:rPr>
          <w:color w:val="1F2933"/>
          <w:sz w:val="19"/>
        </w:rPr>
        <w:t>El sistema normaliza el tracking y evita duplicados dentro del mismo carrier.</w:t>
      </w:r>
    </w:p>
    <w:p>
      <w:pPr>
        <w:spacing w:after="40"/>
        <w:ind w:left="360" w:hanging="288"/>
      </w:pPr>
      <w:r>
        <w:rPr>
          <w:b/>
          <w:color w:val="1F2933"/>
          <w:sz w:val="19"/>
        </w:rPr>
        <w:t xml:space="preserve">5. </w:t>
      </w:r>
      <w:r>
        <w:rPr>
          <w:color w:val="1F2933"/>
          <w:sz w:val="19"/>
        </w:rPr>
        <w:t>Se registran peso, dimensiones, sistema de medición y divisor.</w:t>
      </w:r>
    </w:p>
    <w:p>
      <w:pPr>
        <w:spacing w:after="40"/>
        <w:ind w:left="360" w:hanging="288"/>
      </w:pPr>
      <w:r>
        <w:rPr>
          <w:b/>
          <w:color w:val="1F2933"/>
          <w:sz w:val="19"/>
        </w:rPr>
        <w:t xml:space="preserve">6. </w:t>
      </w:r>
      <w:r>
        <w:rPr>
          <w:color w:val="1F2933"/>
          <w:sz w:val="19"/>
        </w:rPr>
        <w:t>El paquete se ubica o se agrega a un manifiesto.</w:t>
      </w:r>
    </w:p>
    <w:p>
      <w:pPr>
        <w:spacing w:after="40"/>
        <w:ind w:left="360" w:hanging="288"/>
      </w:pPr>
      <w:r>
        <w:rPr>
          <w:b/>
          <w:color w:val="1F2933"/>
          <w:sz w:val="19"/>
        </w:rPr>
        <w:t xml:space="preserve">7. </w:t>
      </w:r>
      <w:r>
        <w:rPr>
          <w:color w:val="1F2933"/>
          <w:sz w:val="19"/>
        </w:rPr>
        <w:t>La facility destino lo recibe y registra discrepancias.</w:t>
      </w:r>
    </w:p>
    <w:p>
      <w:pPr>
        <w:spacing w:after="40"/>
        <w:ind w:left="360" w:hanging="288"/>
      </w:pPr>
      <w:r>
        <w:rPr>
          <w:b/>
          <w:color w:val="1F2933"/>
          <w:sz w:val="19"/>
        </w:rPr>
        <w:t xml:space="preserve">8. </w:t>
      </w:r>
      <w:r>
        <w:rPr>
          <w:color w:val="1F2933"/>
          <w:sz w:val="19"/>
        </w:rPr>
        <w:t xml:space="preserve">El paquete pasa a </w:t>
      </w:r>
      <w:r>
        <w:rPr>
          <w:rFonts w:ascii="Consolas" w:hAnsi="Consolas"/>
          <w:color w:val="1F2933"/>
          <w:sz w:val="19"/>
        </w:rPr>
        <w:t>AVAILABLE</w:t>
      </w:r>
      <w:r>
        <w:rPr>
          <w:color w:val="1F2933"/>
          <w:sz w:val="19"/>
        </w:rPr>
        <w:t xml:space="preserve"> con ubicación física.</w:t>
      </w:r>
    </w:p>
    <w:p>
      <w:pPr>
        <w:spacing w:after="40"/>
        <w:ind w:left="360" w:hanging="288"/>
      </w:pPr>
      <w:r>
        <w:rPr>
          <w:b/>
          <w:color w:val="1F2933"/>
          <w:sz w:val="19"/>
        </w:rPr>
        <w:t xml:space="preserve">9. </w:t>
      </w:r>
      <w:r>
        <w:rPr>
          <w:color w:val="1F2933"/>
          <w:sz w:val="19"/>
        </w:rPr>
        <w:t>Se genera factura, se registra pago y se retira.</w:t>
      </w:r>
    </w:p>
    <w:p>
      <w:pPr>
        <w:spacing w:after="40"/>
        <w:ind w:left="360" w:hanging="288"/>
      </w:pPr>
      <w:r>
        <w:rPr>
          <w:b/>
          <w:color w:val="1F2933"/>
          <w:sz w:val="19"/>
        </w:rPr>
        <w:t xml:space="preserve">10. </w:t>
      </w:r>
      <w:r>
        <w:rPr>
          <w:color w:val="1F2933"/>
          <w:sz w:val="19"/>
        </w:rPr>
        <w:t>Cada acción sensible queda auditada.</w:t>
      </w:r>
    </w:p>
    <w:p>
      <w:pPr>
        <w:pStyle w:val="Heading1"/>
        <w:keepNext/>
        <w:pBdr>
          <w:bottom w:val="single" w:sz="8" w:space="1" w:color="A9BBC9"/>
        </w:pBdr>
        <w:spacing w:before="240" w:after="140"/>
      </w:pPr>
      <w:r>
        <w:t>7. Fortalezas del diseño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173F6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  <w:t>Fortaleza</w:t>
            </w:r>
          </w:p>
        </w:tc>
        <w:tc>
          <w:tcPr>
            <w:tcW w:type="dxa" w:w="7200"/>
            <w:shd w:fill="173F6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  <w:t>Valor</w:t>
            </w:r>
          </w:p>
        </w:tc>
      </w:tr>
      <w:tr>
        <w:tc>
          <w:tcPr>
            <w:tcW w:type="dxa" w:w="288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Modelo comercial coherente</w:t>
            </w:r>
          </w:p>
        </w:tc>
        <w:tc>
          <w:tcPr>
            <w:tcW w:type="dxa" w:w="720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Cada courier es un tenant vendible de forma independiente.</w:t>
            </w:r>
          </w:p>
        </w:tc>
      </w:tr>
      <w:tr>
        <w:tc>
          <w:tcPr>
            <w:tcW w:type="dxa" w:w="2880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Facilities flexibles</w:t>
            </w:r>
          </w:p>
        </w:tc>
        <w:tc>
          <w:tcPr>
            <w:tcW w:type="dxa" w:w="7200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Representan almacenes, hubs, sucursales, agencias y puntos.</w:t>
            </w:r>
          </w:p>
        </w:tc>
      </w:tr>
      <w:tr>
        <w:tc>
          <w:tcPr>
            <w:tcW w:type="dxa" w:w="288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Servicios configurables</w:t>
            </w:r>
          </w:p>
        </w:tc>
        <w:tc>
          <w:tcPr>
            <w:tcW w:type="dxa" w:w="720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Cada courier define su catálogo sin migraciones de código.</w:t>
            </w:r>
          </w:p>
        </w:tc>
      </w:tr>
      <w:tr>
        <w:tc>
          <w:tcPr>
            <w:tcW w:type="dxa" w:w="2880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Trazabilidad</w:t>
            </w:r>
          </w:p>
        </w:tc>
        <w:tc>
          <w:tcPr>
            <w:tcW w:type="dxa" w:w="7200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Estado actual, eventos inmutables y auditoría.</w:t>
            </w:r>
          </w:p>
        </w:tc>
      </w:tr>
      <w:tr>
        <w:tc>
          <w:tcPr>
            <w:tcW w:type="dxa" w:w="288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Integridad multi-tenant</w:t>
            </w:r>
          </w:p>
        </w:tc>
        <w:tc>
          <w:tcPr>
            <w:tcW w:type="dxa" w:w="720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Claves compuestas y filtros obligatorios.</w:t>
            </w:r>
          </w:p>
        </w:tc>
      </w:tr>
      <w:tr>
        <w:tc>
          <w:tcPr>
            <w:tcW w:type="dxa" w:w="2880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Facturación histórica</w:t>
            </w:r>
          </w:p>
        </w:tc>
        <w:tc>
          <w:tcPr>
            <w:tcW w:type="dxa" w:w="7200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Snapshot del cliente, líneas inmutables y numeración transaccional.</w:t>
            </w:r>
          </w:p>
        </w:tc>
      </w:tr>
      <w:tr>
        <w:tc>
          <w:tcPr>
            <w:tcW w:type="dxa" w:w="288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Pagos parciales</w:t>
            </w:r>
          </w:p>
        </w:tc>
        <w:tc>
          <w:tcPr>
            <w:tcW w:type="dxa" w:w="720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Pagos y asignaciones separados.</w:t>
            </w:r>
          </w:p>
        </w:tc>
      </w:tr>
      <w:tr>
        <w:tc>
          <w:tcPr>
            <w:tcW w:type="dxa" w:w="2880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Docker desde el inicio</w:t>
            </w:r>
          </w:p>
        </w:tc>
        <w:tc>
          <w:tcPr>
            <w:tcW w:type="dxa" w:w="7200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Entornos repetibles y camino claro a staging/producción.</w:t>
            </w:r>
          </w:p>
        </w:tc>
      </w:tr>
      <w:tr>
        <w:tc>
          <w:tcPr>
            <w:tcW w:type="dxa" w:w="288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Stack TypeScript</w:t>
            </w:r>
          </w:p>
        </w:tc>
        <w:tc>
          <w:tcPr>
            <w:tcW w:type="dxa" w:w="720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Contratos compartidos y menor fricción entre web y API.</w:t>
            </w:r>
          </w:p>
        </w:tc>
      </w:tr>
    </w:tbl>
    <w:p>
      <w:pPr>
        <w:spacing w:after="0"/>
      </w:pPr>
    </w:p>
    <w:p>
      <w:pPr>
        <w:pStyle w:val="Heading1"/>
        <w:keepNext/>
        <w:pBdr>
          <w:bottom w:val="single" w:sz="8" w:space="1" w:color="A9BBC9"/>
        </w:pBdr>
        <w:spacing w:before="240" w:after="140"/>
      </w:pPr>
      <w:r>
        <w:t>8. Debilidades, riesgos y correcciones</w:t>
      </w:r>
    </w:p>
    <w:p>
      <w:pPr>
        <w:pStyle w:val="Heading2"/>
        <w:keepNext/>
        <w:spacing w:before="160" w:after="80"/>
      </w:pPr>
      <w:r>
        <w:t>8.1 Fuga entre tenants</w:t>
      </w:r>
    </w:p>
    <w:p>
      <w:pPr>
        <w:spacing w:after="80" w:line="252" w:lineRule="auto"/>
      </w:pPr>
      <w:r>
        <w:rPr>
          <w:b/>
          <w:color w:val="1F2933"/>
          <w:sz w:val="20"/>
        </w:rPr>
        <w:t>Riesgo:</w:t>
      </w:r>
      <w:r>
        <w:rPr>
          <w:color w:val="1F2933"/>
          <w:sz w:val="20"/>
        </w:rPr>
        <w:t xml:space="preserve"> una consulta sin </w:t>
      </w:r>
      <w:r>
        <w:rPr>
          <w:rFonts w:ascii="Consolas" w:hAnsi="Consolas"/>
          <w:color w:val="1F2933"/>
          <w:sz w:val="20"/>
        </w:rPr>
        <w:t>organization_id</w:t>
      </w:r>
      <w:r>
        <w:rPr>
          <w:color w:val="1F2933"/>
          <w:sz w:val="20"/>
        </w:rPr>
        <w:t xml:space="preserve"> puede revelar información de otro courier. </w:t>
      </w:r>
      <w:r>
        <w:rPr>
          <w:b/>
          <w:color w:val="1F2933"/>
          <w:sz w:val="20"/>
        </w:rPr>
        <w:t>Corrección:</w:t>
      </w:r>
      <w:r>
        <w:rPr>
          <w:color w:val="1F2933"/>
          <w:sz w:val="20"/>
        </w:rPr>
        <w:t xml:space="preserve"> contexto de tenant centralizado, repositorios obligatorios, claves compuestas, pruebas de aislamiento y RLS posterior.</w:t>
      </w:r>
    </w:p>
    <w:p>
      <w:pPr>
        <w:pStyle w:val="Heading2"/>
        <w:keepNext/>
        <w:spacing w:before="160" w:after="80"/>
      </w:pPr>
      <w:r>
        <w:t>8.2 Alcance amplio</w:t>
      </w:r>
    </w:p>
    <w:p>
      <w:pPr>
        <w:spacing w:after="80" w:line="252" w:lineRule="auto"/>
      </w:pPr>
      <w:r>
        <w:rPr>
          <w:b/>
          <w:color w:val="1F2933"/>
          <w:sz w:val="20"/>
        </w:rPr>
        <w:t>Riesgo:</w:t>
      </w:r>
      <w:r>
        <w:rPr>
          <w:color w:val="1F2933"/>
          <w:sz w:val="20"/>
        </w:rPr>
        <w:t xml:space="preserve"> desarrollar muchos módulos incompletos. </w:t>
      </w:r>
      <w:r>
        <w:rPr>
          <w:b/>
          <w:color w:val="1F2933"/>
          <w:sz w:val="20"/>
        </w:rPr>
        <w:t>Corrección:</w:t>
      </w:r>
      <w:r>
        <w:rPr>
          <w:color w:val="1F2933"/>
          <w:sz w:val="20"/>
        </w:rPr>
        <w:t xml:space="preserve"> cortes verticales con criterios de aceptación y commits pequeños.</w:t>
      </w:r>
    </w:p>
    <w:p>
      <w:pPr>
        <w:pStyle w:val="Heading2"/>
        <w:keepNext/>
        <w:spacing w:before="160" w:after="80"/>
      </w:pPr>
      <w:r>
        <w:t>8.3 Tarifas complejas</w:t>
      </w:r>
    </w:p>
    <w:p>
      <w:pPr>
        <w:spacing w:after="80" w:line="252" w:lineRule="auto"/>
      </w:pPr>
      <w:r>
        <w:rPr>
          <w:b/>
          <w:color w:val="1F2933"/>
          <w:sz w:val="20"/>
        </w:rPr>
        <w:t>Riesgo:</w:t>
      </w:r>
      <w:r>
        <w:rPr>
          <w:color w:val="1F2933"/>
          <w:sz w:val="20"/>
        </w:rPr>
        <w:t xml:space="preserve"> solapamientos y resultados ambiguos. </w:t>
      </w:r>
      <w:r>
        <w:rPr>
          <w:b/>
          <w:color w:val="1F2933"/>
          <w:sz w:val="20"/>
        </w:rPr>
        <w:t>Corrección:</w:t>
      </w:r>
      <w:r>
        <w:rPr>
          <w:color w:val="1F2933"/>
          <w:sz w:val="20"/>
        </w:rPr>
        <w:t xml:space="preserve"> </w:t>
      </w:r>
      <w:r>
        <w:rPr>
          <w:rFonts w:ascii="Consolas" w:hAnsi="Consolas"/>
          <w:color w:val="1F2933"/>
          <w:sz w:val="20"/>
        </w:rPr>
        <w:t>services</w:t>
      </w:r>
      <w:r>
        <w:rPr>
          <w:color w:val="1F2933"/>
          <w:sz w:val="20"/>
        </w:rPr>
        <w:t>, prioridad de facility, rangos no solapados, vigencia y pruebas de borde.</w:t>
      </w:r>
    </w:p>
    <w:p>
      <w:pPr>
        <w:pStyle w:val="Heading2"/>
        <w:keepNext/>
        <w:spacing w:before="160" w:after="80"/>
      </w:pPr>
      <w:r>
        <w:t>8.4 Concurrencia financiera</w:t>
      </w:r>
    </w:p>
    <w:p>
      <w:pPr>
        <w:spacing w:after="80" w:line="252" w:lineRule="auto"/>
      </w:pPr>
      <w:r>
        <w:rPr>
          <w:b/>
          <w:color w:val="1F2933"/>
          <w:sz w:val="20"/>
        </w:rPr>
        <w:t>Riesgo:</w:t>
      </w:r>
      <w:r>
        <w:rPr>
          <w:color w:val="1F2933"/>
          <w:sz w:val="20"/>
        </w:rPr>
        <w:t xml:space="preserve"> sobrepago o numeración duplicada. </w:t>
      </w:r>
      <w:r>
        <w:rPr>
          <w:b/>
          <w:color w:val="1F2933"/>
          <w:sz w:val="20"/>
        </w:rPr>
        <w:t>Corrección:</w:t>
      </w:r>
      <w:r>
        <w:rPr>
          <w:color w:val="1F2933"/>
          <w:sz w:val="20"/>
        </w:rPr>
        <w:t xml:space="preserve"> transacciones, </w:t>
      </w:r>
      <w:r>
        <w:rPr>
          <w:rFonts w:ascii="Consolas" w:hAnsi="Consolas"/>
          <w:color w:val="1F2933"/>
          <w:sz w:val="20"/>
        </w:rPr>
        <w:t>SELECT FOR UPDATE</w:t>
      </w:r>
      <w:r>
        <w:rPr>
          <w:color w:val="1F2933"/>
          <w:sz w:val="20"/>
        </w:rPr>
        <w:t>, idempotencia y pruebas concurrentes.</w:t>
      </w:r>
    </w:p>
    <w:p>
      <w:pPr>
        <w:pStyle w:val="Heading2"/>
        <w:keepNext/>
        <w:spacing w:before="160" w:after="80"/>
      </w:pPr>
      <w:r>
        <w:t>8.5 Operación con Internet inestable</w:t>
      </w:r>
    </w:p>
    <w:p>
      <w:pPr>
        <w:spacing w:after="80" w:line="252" w:lineRule="auto"/>
      </w:pPr>
      <w:r>
        <w:rPr>
          <w:b/>
          <w:color w:val="1F2933"/>
          <w:sz w:val="20"/>
        </w:rPr>
        <w:t>Riesgo:</w:t>
      </w:r>
      <w:r>
        <w:rPr>
          <w:color w:val="1F2933"/>
          <w:sz w:val="20"/>
        </w:rPr>
        <w:t xml:space="preserve"> escaneo lento o interrupciones en almacén. </w:t>
      </w:r>
      <w:r>
        <w:rPr>
          <w:b/>
          <w:color w:val="1F2933"/>
          <w:sz w:val="20"/>
        </w:rPr>
        <w:t>Corrección:</w:t>
      </w:r>
      <w:r>
        <w:rPr>
          <w:color w:val="1F2933"/>
          <w:sz w:val="20"/>
        </w:rPr>
        <w:t xml:space="preserve"> interfaz ligera, reintentos idempotentes y PWA offline limitada en una fase posterior.</w:t>
      </w:r>
    </w:p>
    <w:p>
      <w:pPr>
        <w:pStyle w:val="Heading2"/>
        <w:keepNext/>
        <w:spacing w:before="160" w:after="80"/>
      </w:pPr>
      <w:r>
        <w:t>8.6 Cumplimiento fiscal pendiente</w:t>
      </w:r>
    </w:p>
    <w:p>
      <w:pPr>
        <w:spacing w:after="80" w:line="252" w:lineRule="auto"/>
      </w:pPr>
      <w:r>
        <w:rPr>
          <w:b/>
          <w:color w:val="1F2933"/>
          <w:sz w:val="20"/>
        </w:rPr>
        <w:t>Riesgo:</w:t>
      </w:r>
      <w:r>
        <w:rPr>
          <w:color w:val="1F2933"/>
          <w:sz w:val="20"/>
        </w:rPr>
        <w:t xml:space="preserve"> la factura técnica puede no satisfacer requisitos tributarios locales. </w:t>
      </w:r>
      <w:r>
        <w:rPr>
          <w:b/>
          <w:color w:val="1F2933"/>
          <w:sz w:val="20"/>
        </w:rPr>
        <w:t>Corrección:</w:t>
      </w:r>
      <w:r>
        <w:rPr>
          <w:color w:val="1F2933"/>
          <w:sz w:val="20"/>
        </w:rPr>
        <w:t xml:space="preserve"> validar numeración y comprobantes fiscales antes del piloto comercial con cobros reales.</w:t>
      </w:r>
    </w:p>
    <w:p>
      <w:pPr>
        <w:pStyle w:val="Heading2"/>
        <w:keepNext/>
        <w:spacing w:before="160" w:after="80"/>
      </w:pPr>
      <w:r>
        <w:t>8.7 Complejidad Docker prematura</w:t>
      </w:r>
    </w:p>
    <w:p>
      <w:pPr>
        <w:spacing w:after="80" w:line="252" w:lineRule="auto"/>
      </w:pPr>
      <w:r>
        <w:rPr>
          <w:b/>
          <w:color w:val="1F2933"/>
          <w:sz w:val="20"/>
        </w:rPr>
        <w:t>Riesgo:</w:t>
      </w:r>
      <w:r>
        <w:rPr>
          <w:color w:val="1F2933"/>
          <w:sz w:val="20"/>
        </w:rPr>
        <w:t xml:space="preserve"> fricción de hot reload en Windows. </w:t>
      </w:r>
      <w:r>
        <w:rPr>
          <w:b/>
          <w:color w:val="1F2933"/>
          <w:sz w:val="20"/>
        </w:rPr>
        <w:t>Corrección:</w:t>
      </w:r>
      <w:r>
        <w:rPr>
          <w:color w:val="1F2933"/>
          <w:sz w:val="20"/>
        </w:rPr>
        <w:t xml:space="preserve"> desarrollo híbrido; Docker completo para integración y despliegue.</w:t>
      </w:r>
    </w:p>
    <w:p>
      <w:pPr>
        <w:pStyle w:val="Heading1"/>
        <w:keepNext/>
        <w:pBdr>
          <w:bottom w:val="single" w:sz="8" w:space="1" w:color="A9BBC9"/>
        </w:pBdr>
        <w:spacing w:before="240" w:after="140"/>
      </w:pPr>
      <w:r>
        <w:t>9. Análisis FODA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240"/>
            <w:shd w:fill="173F6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  <w:t>Fortalezas</w:t>
            </w:r>
          </w:p>
        </w:tc>
        <w:tc>
          <w:tcPr>
            <w:tcW w:type="dxa" w:w="6840"/>
            <w:shd w:fill="173F6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  <w:t>Oportunidades</w:t>
            </w:r>
          </w:p>
        </w:tc>
      </w:tr>
      <w:tr>
        <w:tc>
          <w:tcPr>
            <w:tcW w:type="dxa" w:w="324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Arquitectura modular y mantenible.</w:t>
            </w:r>
          </w:p>
        </w:tc>
        <w:tc>
          <w:tcPr>
            <w:tcW w:type="dxa" w:w="684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SaaS white-label para couriers pequeños y medianos.</w:t>
            </w:r>
          </w:p>
        </w:tc>
      </w:tr>
      <w:tr>
        <w:tc>
          <w:tcPr>
            <w:tcW w:type="dxa" w:w="3240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Aislamiento por organization.</w:t>
            </w:r>
          </w:p>
        </w:tc>
        <w:tc>
          <w:tcPr>
            <w:tcW w:type="dxa" w:w="6840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Planes por usuarios, facilities o volumen.</w:t>
            </w:r>
          </w:p>
        </w:tc>
      </w:tr>
      <w:tr>
        <w:tc>
          <w:tcPr>
            <w:tcW w:type="dxa" w:w="324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Servicios y facilities configurables.</w:t>
            </w:r>
          </w:p>
        </w:tc>
        <w:tc>
          <w:tcPr>
            <w:tcW w:type="dxa" w:w="684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PWA de recepción y almacén.</w:t>
            </w:r>
          </w:p>
        </w:tc>
      </w:tr>
      <w:tr>
        <w:tc>
          <w:tcPr>
            <w:tcW w:type="dxa" w:w="3240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Facturación, pagos y auditoría.</w:t>
            </w:r>
          </w:p>
        </w:tc>
        <w:tc>
          <w:tcPr>
            <w:tcW w:type="dxa" w:w="6840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Integraciones con carriers y comercio electrónico.</w:t>
            </w:r>
          </w:p>
        </w:tc>
      </w:tr>
      <w:tr>
        <w:tc>
          <w:tcPr>
            <w:tcW w:type="dxa" w:w="324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Contenedores separados y despliegue reproducible.</w:t>
            </w:r>
          </w:p>
        </w:tc>
        <w:tc>
          <w:tcPr>
            <w:tcW w:type="dxa" w:w="684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Expansión posterior a última milla.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173F6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  <w:t>Debilidades</w:t>
            </w:r>
          </w:p>
        </w:tc>
        <w:tc>
          <w:tcPr>
            <w:tcW w:type="dxa" w:w="7200"/>
            <w:shd w:fill="173F6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  <w:t>Amenazas</w:t>
            </w:r>
          </w:p>
        </w:tc>
      </w:tr>
      <w:tr>
        <w:tc>
          <w:tcPr>
            <w:tcW w:type="dxa" w:w="288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MVP todavía considerable.</w:t>
            </w:r>
          </w:p>
        </w:tc>
        <w:tc>
          <w:tcPr>
            <w:tcW w:type="dxa" w:w="720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Una fuga multi-tenant dañaría la confianza.</w:t>
            </w:r>
          </w:p>
        </w:tc>
      </w:tr>
      <w:tr>
        <w:tc>
          <w:tcPr>
            <w:tcW w:type="dxa" w:w="2880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Reglas financieras requieren disciplina transaccional.</w:t>
            </w:r>
          </w:p>
        </w:tc>
        <w:tc>
          <w:tcPr>
            <w:tcW w:type="dxa" w:w="7200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Mala experiencia de escaneo puede impedir adopción.</w:t>
            </w:r>
          </w:p>
        </w:tc>
      </w:tr>
      <w:tr>
        <w:tc>
          <w:tcPr>
            <w:tcW w:type="dxa" w:w="288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Facturación del SaaS no incluida.</w:t>
            </w:r>
          </w:p>
        </w:tc>
        <w:tc>
          <w:tcPr>
            <w:tcW w:type="dxa" w:w="720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Requisitos fiscales no validados.</w:t>
            </w:r>
          </w:p>
        </w:tc>
      </w:tr>
      <w:tr>
        <w:tc>
          <w:tcPr>
            <w:tcW w:type="dxa" w:w="2880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Identidad global debe proteger privacidad entre couriers.</w:t>
            </w:r>
          </w:p>
        </w:tc>
        <w:tc>
          <w:tcPr>
            <w:tcW w:type="dxa" w:w="7200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Personalizaciones excesivas por cliente.</w:t>
            </w:r>
          </w:p>
        </w:tc>
      </w:tr>
      <w:tr>
        <w:tc>
          <w:tcPr>
            <w:tcW w:type="dxa" w:w="288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RLS queda para fase posterior.</w:t>
            </w:r>
          </w:p>
        </w:tc>
        <w:tc>
          <w:tcPr>
            <w:tcW w:type="dxa" w:w="720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Crecimiento del alcance antes del piloto.</w:t>
            </w:r>
          </w:p>
        </w:tc>
      </w:tr>
    </w:tbl>
    <w:p>
      <w:pPr>
        <w:spacing w:after="0"/>
      </w:pPr>
    </w:p>
    <w:p>
      <w:pPr>
        <w:pStyle w:val="Heading1"/>
        <w:keepNext/>
        <w:pBdr>
          <w:bottom w:val="single" w:sz="8" w:space="1" w:color="A9BBC9"/>
        </w:pBdr>
        <w:spacing w:before="240" w:after="140"/>
      </w:pPr>
      <w:r>
        <w:t>10. Alcance del MVP inicial</w:t>
      </w:r>
    </w:p>
    <w:p>
      <w:pPr>
        <w:pStyle w:val="Heading2"/>
        <w:keepNext/>
        <w:spacing w:before="160" w:after="80"/>
      </w:pPr>
      <w:r>
        <w:t>10.1 Debe incluir</w:t>
      </w:r>
    </w:p>
    <w:p>
      <w:pPr>
        <w:pStyle w:val="ListBullet"/>
        <w:spacing w:after="40"/>
      </w:pPr>
      <w:r>
        <w:rPr>
          <w:color w:val="1F2933"/>
          <w:sz w:val="19"/>
        </w:rPr>
        <w:t>Provisionamiento manual de organizations.</w:t>
      </w:r>
    </w:p>
    <w:p>
      <w:pPr>
        <w:pStyle w:val="ListBullet"/>
        <w:spacing w:after="40"/>
      </w:pPr>
      <w:r>
        <w:rPr>
          <w:color w:val="1F2933"/>
          <w:sz w:val="19"/>
        </w:rPr>
        <w:t>Facilities, empleados y asignaciones.</w:t>
      </w:r>
    </w:p>
    <w:p>
      <w:pPr>
        <w:pStyle w:val="ListBullet"/>
        <w:spacing w:after="40"/>
      </w:pPr>
      <w:r>
        <w:rPr>
          <w:color w:val="1F2933"/>
          <w:sz w:val="19"/>
        </w:rPr>
        <w:t>Usuarios, sesiones revocables y contexto de tenant.</w:t>
      </w:r>
    </w:p>
    <w:p>
      <w:pPr>
        <w:pStyle w:val="ListBullet"/>
        <w:spacing w:after="40"/>
      </w:pPr>
      <w:r>
        <w:rPr>
          <w:color w:val="1F2933"/>
          <w:sz w:val="19"/>
        </w:rPr>
        <w:t>Clientes y casilleros.</w:t>
      </w:r>
    </w:p>
    <w:p>
      <w:pPr>
        <w:pStyle w:val="ListBullet"/>
        <w:spacing w:after="40"/>
      </w:pPr>
      <w:r>
        <w:rPr>
          <w:color w:val="1F2933"/>
          <w:sz w:val="19"/>
        </w:rPr>
        <w:t>Carriers normalizados y servicios configurables.</w:t>
      </w:r>
    </w:p>
    <w:p>
      <w:pPr>
        <w:pStyle w:val="ListBullet"/>
        <w:spacing w:after="40"/>
      </w:pPr>
      <w:r>
        <w:rPr>
          <w:color w:val="1F2933"/>
          <w:sz w:val="19"/>
        </w:rPr>
        <w:t>Prealerta, recepción, peso, dimensiones y etiqueta.</w:t>
      </w:r>
    </w:p>
    <w:p>
      <w:pPr>
        <w:pStyle w:val="ListBullet"/>
        <w:spacing w:after="40"/>
      </w:pPr>
      <w:r>
        <w:rPr>
          <w:color w:val="1F2933"/>
          <w:sz w:val="19"/>
        </w:rPr>
        <w:t>Tracking público e historial.</w:t>
      </w:r>
    </w:p>
    <w:p>
      <w:pPr>
        <w:pStyle w:val="ListBullet"/>
        <w:spacing w:after="40"/>
      </w:pPr>
      <w:r>
        <w:rPr>
          <w:color w:val="1F2933"/>
          <w:sz w:val="19"/>
        </w:rPr>
        <w:t>Ubicación física e inventario.</w:t>
      </w:r>
    </w:p>
    <w:p>
      <w:pPr>
        <w:pStyle w:val="ListBullet"/>
        <w:spacing w:after="40"/>
      </w:pPr>
      <w:r>
        <w:rPr>
          <w:color w:val="1F2933"/>
          <w:sz w:val="19"/>
        </w:rPr>
        <w:t>Transferencias y discrepancias.</w:t>
      </w:r>
    </w:p>
    <w:p>
      <w:pPr>
        <w:pStyle w:val="ListBullet"/>
        <w:spacing w:after="40"/>
      </w:pPr>
      <w:r>
        <w:rPr>
          <w:color w:val="1F2933"/>
          <w:sz w:val="19"/>
        </w:rPr>
        <w:t>Tarifas, facturas, pagos parciales y retiro.</w:t>
      </w:r>
    </w:p>
    <w:p>
      <w:pPr>
        <w:pStyle w:val="ListBullet"/>
        <w:spacing w:after="40"/>
      </w:pPr>
      <w:r>
        <w:rPr>
          <w:color w:val="1F2933"/>
          <w:sz w:val="19"/>
        </w:rPr>
        <w:t>Auditoría, healthchecks, logs y backups.</w:t>
      </w:r>
    </w:p>
    <w:p>
      <w:pPr>
        <w:pStyle w:val="ListBullet"/>
        <w:spacing w:after="40"/>
      </w:pPr>
      <w:r>
        <w:rPr>
          <w:color w:val="1F2933"/>
          <w:sz w:val="19"/>
        </w:rPr>
        <w:t>Dockerfiles y Compose para desarrollo e integración.</w:t>
      </w:r>
    </w:p>
    <w:p>
      <w:pPr>
        <w:pStyle w:val="Heading2"/>
        <w:keepNext/>
        <w:spacing w:before="160" w:after="80"/>
      </w:pPr>
      <w:r>
        <w:t>10.2 Fuera inicialmente</w:t>
      </w:r>
    </w:p>
    <w:p>
      <w:pPr>
        <w:pStyle w:val="ListBullet"/>
        <w:spacing w:after="40"/>
      </w:pPr>
      <w:r>
        <w:rPr>
          <w:color w:val="1F2933"/>
          <w:sz w:val="19"/>
        </w:rPr>
        <w:t>Autoservicio de suscripción y cobro del SaaS.</w:t>
      </w:r>
    </w:p>
    <w:p>
      <w:pPr>
        <w:pStyle w:val="ListBullet"/>
        <w:spacing w:after="40"/>
      </w:pPr>
      <w:r>
        <w:rPr>
          <w:color w:val="1F2933"/>
          <w:sz w:val="19"/>
        </w:rPr>
        <w:t>Aplicación móvil nativa.</w:t>
      </w:r>
    </w:p>
    <w:p>
      <w:pPr>
        <w:pStyle w:val="ListBullet"/>
        <w:spacing w:after="40"/>
      </w:pPr>
      <w:r>
        <w:rPr>
          <w:color w:val="1F2933"/>
          <w:sz w:val="19"/>
        </w:rPr>
        <w:t>WhatsApp y SMS automáticos.</w:t>
      </w:r>
    </w:p>
    <w:p>
      <w:pPr>
        <w:pStyle w:val="ListBullet"/>
        <w:spacing w:after="40"/>
      </w:pPr>
      <w:r>
        <w:rPr>
          <w:color w:val="1F2933"/>
          <w:sz w:val="19"/>
        </w:rPr>
        <w:t>Optimización de rutas.</w:t>
      </w:r>
    </w:p>
    <w:p>
      <w:pPr>
        <w:pStyle w:val="ListBullet"/>
        <w:spacing w:after="40"/>
      </w:pPr>
      <w:r>
        <w:rPr>
          <w:color w:val="1F2933"/>
          <w:sz w:val="19"/>
        </w:rPr>
        <w:t>Firma, fotografía y geolocalización.</w:t>
      </w:r>
    </w:p>
    <w:p>
      <w:pPr>
        <w:pStyle w:val="ListBullet"/>
        <w:spacing w:after="40"/>
      </w:pPr>
      <w:r>
        <w:rPr>
          <w:color w:val="1F2933"/>
          <w:sz w:val="19"/>
        </w:rPr>
        <w:t>Integraciones con todos los carriers.</w:t>
      </w:r>
    </w:p>
    <w:p>
      <w:pPr>
        <w:pStyle w:val="ListBullet"/>
        <w:spacing w:after="40"/>
      </w:pPr>
      <w:r>
        <w:rPr>
          <w:color w:val="1F2933"/>
          <w:sz w:val="19"/>
        </w:rPr>
        <w:t>Contabilidad general y reembolsos parciales.</w:t>
      </w:r>
    </w:p>
    <w:p>
      <w:pPr>
        <w:pStyle w:val="ListBullet"/>
        <w:spacing w:after="40"/>
      </w:pPr>
      <w:r>
        <w:rPr>
          <w:color w:val="1F2933"/>
          <w:sz w:val="19"/>
        </w:rPr>
        <w:t>Permisos completamente configurables.</w:t>
      </w:r>
    </w:p>
    <w:p>
      <w:pPr>
        <w:pStyle w:val="ListBullet"/>
        <w:spacing w:after="40"/>
      </w:pPr>
      <w:r>
        <w:rPr>
          <w:color w:val="1F2933"/>
          <w:sz w:val="19"/>
        </w:rPr>
        <w:t>Analítica predictiva.</w:t>
      </w:r>
    </w:p>
    <w:p>
      <w:pPr>
        <w:pStyle w:val="Heading1"/>
        <w:keepNext/>
        <w:pBdr>
          <w:bottom w:val="single" w:sz="8" w:space="1" w:color="A9BBC9"/>
        </w:pBdr>
        <w:spacing w:before="240" w:after="140"/>
      </w:pPr>
      <w:r>
        <w:t>11. Base de datos propuesta</w:t>
      </w:r>
    </w:p>
    <w:p>
      <w:pPr>
        <w:spacing w:after="80" w:line="252" w:lineRule="auto"/>
      </w:pPr>
      <w:r>
        <w:rPr>
          <w:color w:val="1F2933"/>
          <w:sz w:val="20"/>
        </w:rPr>
        <w:t xml:space="preserve">El esquema v0.2 contiene </w:t>
      </w:r>
      <w:r>
        <w:rPr>
          <w:b/>
          <w:color w:val="1F2933"/>
          <w:sz w:val="20"/>
        </w:rPr>
        <w:t>21 tablas</w:t>
      </w:r>
      <w:r>
        <w:rPr>
          <w:color w:val="1F2933"/>
          <w:sz w:val="20"/>
        </w:rPr>
        <w:t xml:space="preserve">. El aislamiento se realiza con </w:t>
      </w:r>
      <w:r>
        <w:rPr>
          <w:rFonts w:ascii="Consolas" w:hAnsi="Consolas"/>
          <w:color w:val="1F2933"/>
          <w:sz w:val="20"/>
        </w:rPr>
        <w:t>organization_id</w:t>
      </w:r>
      <w:r>
        <w:rPr>
          <w:color w:val="1F2933"/>
          <w:sz w:val="20"/>
        </w:rPr>
        <w:t>, claves compuestas, autorización en NestJS y pruebas automatizadas. PostgreSQL administra integridad, rangos de tarifas, secuencias, vistas y triggers.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26452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hig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45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color w:val="66727F"/>
          <w:sz w:val="16"/>
        </w:rPr>
        <w:t>Relaciones principales</w:t>
      </w:r>
    </w:p>
    <w:p>
      <w:pPr>
        <w:pStyle w:val="Heading2"/>
        <w:keepNext/>
        <w:spacing w:before="160" w:after="80"/>
      </w:pPr>
      <w:r>
        <w:t>11.1 Catálogo de tablas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648"/>
            <w:shd w:fill="173F6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520"/>
            <w:shd w:fill="173F6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  <w:t>Tabla</w:t>
            </w:r>
          </w:p>
        </w:tc>
        <w:tc>
          <w:tcPr>
            <w:tcW w:type="dxa" w:w="6912"/>
            <w:shd w:fill="173F6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  <w:t>Propósito</w:t>
            </w:r>
          </w:p>
        </w:tc>
      </w:tr>
      <w:tr>
        <w:tc>
          <w:tcPr>
            <w:tcW w:type="dxa" w:w="64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1</w:t>
            </w:r>
          </w:p>
        </w:tc>
        <w:tc>
          <w:tcPr>
            <w:tcW w:type="dxa" w:w="252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organizations</w:t>
            </w:r>
          </w:p>
        </w:tc>
        <w:tc>
          <w:tcPr>
            <w:tcW w:type="dxa" w:w="69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Tenant, marca, moneda, medición, plan y estado.</w:t>
            </w:r>
          </w:p>
        </w:tc>
      </w:tr>
      <w:tr>
        <w:tc>
          <w:tcPr>
            <w:tcW w:type="dxa" w:w="648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2</w:t>
            </w:r>
          </w:p>
        </w:tc>
        <w:tc>
          <w:tcPr>
            <w:tcW w:type="dxa" w:w="2520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facilities</w:t>
            </w:r>
          </w:p>
        </w:tc>
        <w:tc>
          <w:tcPr>
            <w:tcW w:type="dxa" w:w="6912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Almacenes, hubs, sucursales, agencias y puntos.</w:t>
            </w:r>
          </w:p>
        </w:tc>
      </w:tr>
      <w:tr>
        <w:tc>
          <w:tcPr>
            <w:tcW w:type="dxa" w:w="64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3</w:t>
            </w:r>
          </w:p>
        </w:tc>
        <w:tc>
          <w:tcPr>
            <w:tcW w:type="dxa" w:w="252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users</w:t>
            </w:r>
          </w:p>
        </w:tc>
        <w:tc>
          <w:tcPr>
            <w:tcW w:type="dxa" w:w="69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Identidad global y credenciales.</w:t>
            </w:r>
          </w:p>
        </w:tc>
      </w:tr>
      <w:tr>
        <w:tc>
          <w:tcPr>
            <w:tcW w:type="dxa" w:w="648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4</w:t>
            </w:r>
          </w:p>
        </w:tc>
        <w:tc>
          <w:tcPr>
            <w:tcW w:type="dxa" w:w="2520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user_sessions</w:t>
            </w:r>
          </w:p>
        </w:tc>
        <w:tc>
          <w:tcPr>
            <w:tcW w:type="dxa" w:w="6912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Sesiones revocables y tenant activo.</w:t>
            </w:r>
          </w:p>
        </w:tc>
      </w:tr>
      <w:tr>
        <w:tc>
          <w:tcPr>
            <w:tcW w:type="dxa" w:w="64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5</w:t>
            </w:r>
          </w:p>
        </w:tc>
        <w:tc>
          <w:tcPr>
            <w:tcW w:type="dxa" w:w="252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employees</w:t>
            </w:r>
          </w:p>
        </w:tc>
        <w:tc>
          <w:tcPr>
            <w:tcW w:type="dxa" w:w="69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Empleado y rol dentro de la organization.</w:t>
            </w:r>
          </w:p>
        </w:tc>
      </w:tr>
      <w:tr>
        <w:tc>
          <w:tcPr>
            <w:tcW w:type="dxa" w:w="648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6</w:t>
            </w:r>
          </w:p>
        </w:tc>
        <w:tc>
          <w:tcPr>
            <w:tcW w:type="dxa" w:w="2520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employee_facilities</w:t>
            </w:r>
          </w:p>
        </w:tc>
        <w:tc>
          <w:tcPr>
            <w:tcW w:type="dxa" w:w="6912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Asignaciones a una o varias facilities.</w:t>
            </w:r>
          </w:p>
        </w:tc>
      </w:tr>
      <w:tr>
        <w:tc>
          <w:tcPr>
            <w:tcW w:type="dxa" w:w="64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7</w:t>
            </w:r>
          </w:p>
        </w:tc>
        <w:tc>
          <w:tcPr>
            <w:tcW w:type="dxa" w:w="252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customers</w:t>
            </w:r>
          </w:p>
        </w:tc>
        <w:tc>
          <w:tcPr>
            <w:tcW w:type="dxa" w:w="69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Cliente, casillero y facility preferida.</w:t>
            </w:r>
          </w:p>
        </w:tc>
      </w:tr>
      <w:tr>
        <w:tc>
          <w:tcPr>
            <w:tcW w:type="dxa" w:w="648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8</w:t>
            </w:r>
          </w:p>
        </w:tc>
        <w:tc>
          <w:tcPr>
            <w:tcW w:type="dxa" w:w="2520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storage_locations</w:t>
            </w:r>
          </w:p>
        </w:tc>
        <w:tc>
          <w:tcPr>
            <w:tcW w:type="dxa" w:w="6912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Zona, rack o estante.</w:t>
            </w:r>
          </w:p>
        </w:tc>
      </w:tr>
      <w:tr>
        <w:tc>
          <w:tcPr>
            <w:tcW w:type="dxa" w:w="64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9</w:t>
            </w:r>
          </w:p>
        </w:tc>
        <w:tc>
          <w:tcPr>
            <w:tcW w:type="dxa" w:w="252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carriers</w:t>
            </w:r>
          </w:p>
        </w:tc>
        <w:tc>
          <w:tcPr>
            <w:tcW w:type="dxa" w:w="69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Transportistas normalizados y carrier UNKNOWN.</w:t>
            </w:r>
          </w:p>
        </w:tc>
      </w:tr>
      <w:tr>
        <w:tc>
          <w:tcPr>
            <w:tcW w:type="dxa" w:w="648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10</w:t>
            </w:r>
          </w:p>
        </w:tc>
        <w:tc>
          <w:tcPr>
            <w:tcW w:type="dxa" w:w="2520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services</w:t>
            </w:r>
          </w:p>
        </w:tc>
        <w:tc>
          <w:tcPr>
            <w:tcW w:type="dxa" w:w="6912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Servicios configurables por courier.</w:t>
            </w:r>
          </w:p>
        </w:tc>
      </w:tr>
      <w:tr>
        <w:tc>
          <w:tcPr>
            <w:tcW w:type="dxa" w:w="64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11</w:t>
            </w:r>
          </w:p>
        </w:tc>
        <w:tc>
          <w:tcPr>
            <w:tcW w:type="dxa" w:w="252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packages</w:t>
            </w:r>
          </w:p>
        </w:tc>
        <w:tc>
          <w:tcPr>
            <w:tcW w:type="dxa" w:w="69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Tracking, medidas, servicio, estado y ubicación.</w:t>
            </w:r>
          </w:p>
        </w:tc>
      </w:tr>
      <w:tr>
        <w:tc>
          <w:tcPr>
            <w:tcW w:type="dxa" w:w="648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12</w:t>
            </w:r>
          </w:p>
        </w:tc>
        <w:tc>
          <w:tcPr>
            <w:tcW w:type="dxa" w:w="2520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package_events</w:t>
            </w:r>
          </w:p>
        </w:tc>
        <w:tc>
          <w:tcPr>
            <w:tcW w:type="dxa" w:w="6912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Historial inmutable público/privado.</w:t>
            </w:r>
          </w:p>
        </w:tc>
      </w:tr>
      <w:tr>
        <w:tc>
          <w:tcPr>
            <w:tcW w:type="dxa" w:w="64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13</w:t>
            </w:r>
          </w:p>
        </w:tc>
        <w:tc>
          <w:tcPr>
            <w:tcW w:type="dxa" w:w="252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transfers</w:t>
            </w:r>
          </w:p>
        </w:tc>
        <w:tc>
          <w:tcPr>
            <w:tcW w:type="dxa" w:w="69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Cabecera de manifiesto.</w:t>
            </w:r>
          </w:p>
        </w:tc>
      </w:tr>
      <w:tr>
        <w:tc>
          <w:tcPr>
            <w:tcW w:type="dxa" w:w="648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14</w:t>
            </w:r>
          </w:p>
        </w:tc>
        <w:tc>
          <w:tcPr>
            <w:tcW w:type="dxa" w:w="2520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transfer_items</w:t>
            </w:r>
          </w:p>
        </w:tc>
        <w:tc>
          <w:tcPr>
            <w:tcW w:type="dxa" w:w="6912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Paquetes y escaneos del manifiesto.</w:t>
            </w:r>
          </w:p>
        </w:tc>
      </w:tr>
      <w:tr>
        <w:tc>
          <w:tcPr>
            <w:tcW w:type="dxa" w:w="64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15</w:t>
            </w:r>
          </w:p>
        </w:tc>
        <w:tc>
          <w:tcPr>
            <w:tcW w:type="dxa" w:w="252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rate_rules</w:t>
            </w:r>
          </w:p>
        </w:tc>
        <w:tc>
          <w:tcPr>
            <w:tcW w:type="dxa" w:w="69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Tarifas por servicio, facility, peso y vigencia.</w:t>
            </w:r>
          </w:p>
        </w:tc>
      </w:tr>
      <w:tr>
        <w:tc>
          <w:tcPr>
            <w:tcW w:type="dxa" w:w="648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16</w:t>
            </w:r>
          </w:p>
        </w:tc>
        <w:tc>
          <w:tcPr>
            <w:tcW w:type="dxa" w:w="2520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document_sequences</w:t>
            </w:r>
          </w:p>
        </w:tc>
        <w:tc>
          <w:tcPr>
            <w:tcW w:type="dxa" w:w="6912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Numeración concurrente.</w:t>
            </w:r>
          </w:p>
        </w:tc>
      </w:tr>
      <w:tr>
        <w:tc>
          <w:tcPr>
            <w:tcW w:type="dxa" w:w="64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17</w:t>
            </w:r>
          </w:p>
        </w:tc>
        <w:tc>
          <w:tcPr>
            <w:tcW w:type="dxa" w:w="252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invoices</w:t>
            </w:r>
          </w:p>
        </w:tc>
        <w:tc>
          <w:tcPr>
            <w:tcW w:type="dxa" w:w="69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Snapshot del cliente, totales y estado.</w:t>
            </w:r>
          </w:p>
        </w:tc>
      </w:tr>
      <w:tr>
        <w:tc>
          <w:tcPr>
            <w:tcW w:type="dxa" w:w="648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18</w:t>
            </w:r>
          </w:p>
        </w:tc>
        <w:tc>
          <w:tcPr>
            <w:tcW w:type="dxa" w:w="2520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invoice_items</w:t>
            </w:r>
          </w:p>
        </w:tc>
        <w:tc>
          <w:tcPr>
            <w:tcW w:type="dxa" w:w="6912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Conceptos históricos facturados.</w:t>
            </w:r>
          </w:p>
        </w:tc>
      </w:tr>
      <w:tr>
        <w:tc>
          <w:tcPr>
            <w:tcW w:type="dxa" w:w="64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19</w:t>
            </w:r>
          </w:p>
        </w:tc>
        <w:tc>
          <w:tcPr>
            <w:tcW w:type="dxa" w:w="252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payments</w:t>
            </w:r>
          </w:p>
        </w:tc>
        <w:tc>
          <w:tcPr>
            <w:tcW w:type="dxa" w:w="69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Pagos pendientes, confirmados o anulados.</w:t>
            </w:r>
          </w:p>
        </w:tc>
      </w:tr>
      <w:tr>
        <w:tc>
          <w:tcPr>
            <w:tcW w:type="dxa" w:w="648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20</w:t>
            </w:r>
          </w:p>
        </w:tc>
        <w:tc>
          <w:tcPr>
            <w:tcW w:type="dxa" w:w="2520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payment_allocations</w:t>
            </w:r>
          </w:p>
        </w:tc>
        <w:tc>
          <w:tcPr>
            <w:tcW w:type="dxa" w:w="6912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Distribución entre facturas.</w:t>
            </w:r>
          </w:p>
        </w:tc>
      </w:tr>
      <w:tr>
        <w:tc>
          <w:tcPr>
            <w:tcW w:type="dxa" w:w="64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21</w:t>
            </w:r>
          </w:p>
        </w:tc>
        <w:tc>
          <w:tcPr>
            <w:tcW w:type="dxa" w:w="252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audit_logs</w:t>
            </w:r>
          </w:p>
        </w:tc>
        <w:tc>
          <w:tcPr>
            <w:tcW w:type="dxa" w:w="691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Acciones sensibles append-only.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t>11.2 Cambios de la versión v0.2</w:t>
      </w:r>
    </w:p>
    <w:p>
      <w:pPr>
        <w:pStyle w:val="ListBullet"/>
        <w:spacing w:after="40"/>
      </w:pPr>
      <w:r>
        <w:rPr>
          <w:color w:val="1F2933"/>
          <w:sz w:val="19"/>
        </w:rPr>
        <w:t xml:space="preserve">Se reemplaza el enum rígido de servicio por </w:t>
      </w:r>
      <w:r>
        <w:rPr>
          <w:rFonts w:ascii="Consolas" w:hAnsi="Consolas"/>
          <w:color w:val="1F2933"/>
          <w:sz w:val="19"/>
        </w:rPr>
        <w:t>services</w:t>
      </w:r>
      <w:r>
        <w:rPr>
          <w:color w:val="1F2933"/>
          <w:sz w:val="19"/>
        </w:rPr>
        <w:t>.</w:t>
      </w:r>
    </w:p>
    <w:p>
      <w:pPr>
        <w:pStyle w:val="ListBullet"/>
        <w:spacing w:after="40"/>
      </w:pPr>
      <w:r>
        <w:rPr>
          <w:rFonts w:ascii="Consolas" w:hAnsi="Consolas"/>
          <w:color w:val="1F2933"/>
          <w:sz w:val="19"/>
        </w:rPr>
        <w:t>carrier_id</w:t>
      </w:r>
      <w:r>
        <w:rPr>
          <w:color w:val="1F2933"/>
          <w:sz w:val="19"/>
        </w:rPr>
        <w:t xml:space="preserve"> es obligatorio; cuando se desconoce se utiliza </w:t>
      </w:r>
      <w:r>
        <w:rPr>
          <w:rFonts w:ascii="Consolas" w:hAnsi="Consolas"/>
          <w:color w:val="1F2933"/>
          <w:sz w:val="19"/>
        </w:rPr>
        <w:t>UNKNOWN</w:t>
      </w:r>
      <w:r>
        <w:rPr>
          <w:color w:val="1F2933"/>
          <w:sz w:val="19"/>
        </w:rPr>
        <w:t>.</w:t>
      </w:r>
    </w:p>
    <w:p>
      <w:pPr>
        <w:pStyle w:val="ListBullet"/>
        <w:spacing w:after="40"/>
      </w:pPr>
      <w:r>
        <w:rPr>
          <w:color w:val="1F2933"/>
          <w:sz w:val="19"/>
        </w:rPr>
        <w:t>El tracking se normaliza antes de validar unicidad.</w:t>
      </w:r>
    </w:p>
    <w:p>
      <w:pPr>
        <w:pStyle w:val="ListBullet"/>
        <w:spacing w:after="40"/>
      </w:pPr>
      <w:r>
        <w:rPr>
          <w:rFonts w:ascii="Consolas" w:hAnsi="Consolas"/>
          <w:color w:val="1F2933"/>
          <w:sz w:val="19"/>
        </w:rPr>
        <w:t>organization.status</w:t>
      </w:r>
      <w:r>
        <w:rPr>
          <w:color w:val="1F2933"/>
          <w:sz w:val="19"/>
        </w:rPr>
        <w:t xml:space="preserve"> es la única autoridad de habilitación del tenant.</w:t>
      </w:r>
    </w:p>
    <w:p>
      <w:pPr>
        <w:pStyle w:val="ListBullet"/>
        <w:spacing w:after="40"/>
      </w:pPr>
      <w:r>
        <w:rPr>
          <w:rFonts w:ascii="Consolas" w:hAnsi="Consolas"/>
          <w:color w:val="1F2933"/>
          <w:sz w:val="19"/>
        </w:rPr>
        <w:t>TAX</w:t>
      </w:r>
      <w:r>
        <w:rPr>
          <w:color w:val="1F2933"/>
          <w:sz w:val="19"/>
        </w:rPr>
        <w:t xml:space="preserve"> y </w:t>
      </w:r>
      <w:r>
        <w:rPr>
          <w:rFonts w:ascii="Consolas" w:hAnsi="Consolas"/>
          <w:color w:val="1F2933"/>
          <w:sz w:val="19"/>
        </w:rPr>
        <w:t>DISCOUNT</w:t>
      </w:r>
      <w:r>
        <w:rPr>
          <w:color w:val="1F2933"/>
          <w:sz w:val="19"/>
        </w:rPr>
        <w:t xml:space="preserve"> se eliminan de los tipos de línea.</w:t>
      </w:r>
    </w:p>
    <w:p>
      <w:pPr>
        <w:pStyle w:val="ListBullet"/>
        <w:spacing w:after="40"/>
      </w:pPr>
      <w:r>
        <w:rPr>
          <w:color w:val="1F2933"/>
          <w:sz w:val="19"/>
        </w:rPr>
        <w:t>Reembolsos quedan fuera del MVP.</w:t>
      </w:r>
    </w:p>
    <w:p>
      <w:pPr>
        <w:pStyle w:val="ListBullet"/>
        <w:spacing w:after="40"/>
      </w:pPr>
      <w:r>
        <w:rPr>
          <w:color w:val="1F2933"/>
          <w:sz w:val="19"/>
        </w:rPr>
        <w:t>Las líneas de factura se bloquean al emitir.</w:t>
      </w:r>
    </w:p>
    <w:p>
      <w:pPr>
        <w:pStyle w:val="ListBullet"/>
        <w:spacing w:after="40"/>
      </w:pPr>
      <w:r>
        <w:rPr>
          <w:color w:val="1F2933"/>
          <w:sz w:val="19"/>
        </w:rPr>
        <w:t>Las tarifas solapadas se rechazan mediante una exclusión GiST.</w:t>
      </w:r>
    </w:p>
    <w:p>
      <w:pPr>
        <w:pStyle w:val="ListBullet"/>
        <w:spacing w:after="40"/>
      </w:pPr>
      <w:r>
        <w:rPr>
          <w:color w:val="1F2933"/>
          <w:sz w:val="19"/>
        </w:rPr>
        <w:t>Las migraciones Prisma incorporan SQL específico de PostgreSQL.</w:t>
      </w:r>
    </w:p>
    <w:p>
      <w:pPr>
        <w:pStyle w:val="Heading2"/>
        <w:keepNext/>
        <w:spacing w:before="160" w:after="80"/>
      </w:pPr>
      <w:r>
        <w:t>11.3 Decisiones financieras</w:t>
      </w:r>
    </w:p>
    <w:p>
      <w:pPr>
        <w:pStyle w:val="ListBullet"/>
        <w:spacing w:after="40"/>
      </w:pPr>
      <w:r>
        <w:rPr>
          <w:color w:val="1F2933"/>
          <w:sz w:val="19"/>
        </w:rPr>
        <w:t xml:space="preserve">El dinero se almacena en unidades menores con </w:t>
      </w:r>
      <w:r>
        <w:rPr>
          <w:rFonts w:ascii="Consolas" w:hAnsi="Consolas"/>
          <w:color w:val="1F2933"/>
          <w:sz w:val="19"/>
        </w:rPr>
        <w:t>bigint</w:t>
      </w:r>
      <w:r>
        <w:rPr>
          <w:color w:val="1F2933"/>
          <w:sz w:val="19"/>
        </w:rPr>
        <w:t>.</w:t>
      </w:r>
    </w:p>
    <w:p>
      <w:pPr>
        <w:pStyle w:val="ListBullet"/>
        <w:spacing w:after="40"/>
      </w:pPr>
      <w:r>
        <w:rPr>
          <w:color w:val="1F2933"/>
          <w:sz w:val="19"/>
        </w:rPr>
        <w:t xml:space="preserve">Una factura </w:t>
      </w:r>
      <w:r>
        <w:rPr>
          <w:rFonts w:ascii="Consolas" w:hAnsi="Consolas"/>
          <w:color w:val="1F2933"/>
          <w:sz w:val="19"/>
        </w:rPr>
        <w:t>DRAFT</w:t>
      </w:r>
      <w:r>
        <w:rPr>
          <w:color w:val="1F2933"/>
          <w:sz w:val="19"/>
        </w:rPr>
        <w:t xml:space="preserve"> no consume número.</w:t>
      </w:r>
    </w:p>
    <w:p>
      <w:pPr>
        <w:pStyle w:val="ListBullet"/>
        <w:spacing w:after="40"/>
      </w:pPr>
      <w:r>
        <w:rPr>
          <w:color w:val="1F2933"/>
          <w:sz w:val="19"/>
        </w:rPr>
        <w:t xml:space="preserve">El total es </w:t>
      </w:r>
      <w:r>
        <w:rPr>
          <w:rFonts w:ascii="Consolas" w:hAnsi="Consolas"/>
          <w:color w:val="1F2933"/>
          <w:sz w:val="19"/>
        </w:rPr>
        <w:t>subtotal - descuento + impuesto</w:t>
      </w:r>
      <w:r>
        <w:rPr>
          <w:color w:val="1F2933"/>
          <w:sz w:val="19"/>
        </w:rPr>
        <w:t>.</w:t>
      </w:r>
    </w:p>
    <w:p>
      <w:pPr>
        <w:pStyle w:val="ListBullet"/>
        <w:spacing w:after="40"/>
      </w:pPr>
      <w:r>
        <w:rPr>
          <w:color w:val="1F2933"/>
          <w:sz w:val="19"/>
        </w:rPr>
        <w:t>Pago y factura deben compartir organization, cliente y moneda.</w:t>
      </w:r>
    </w:p>
    <w:p>
      <w:pPr>
        <w:pStyle w:val="ListBullet"/>
        <w:spacing w:after="40"/>
      </w:pPr>
      <w:r>
        <w:rPr>
          <w:color w:val="1F2933"/>
          <w:sz w:val="19"/>
        </w:rPr>
        <w:t>La asignación usa bloqueos y recalcula saldos dentro de la transacción.</w:t>
      </w:r>
    </w:p>
    <w:p>
      <w:pPr>
        <w:pStyle w:val="Heading1"/>
        <w:keepNext/>
        <w:pBdr>
          <w:bottom w:val="single" w:sz="8" w:space="1" w:color="A9BBC9"/>
        </w:pBdr>
        <w:spacing w:before="240" w:after="140"/>
      </w:pPr>
      <w:r>
        <w:t>12. Reglas de negocio obligatorias</w:t>
      </w:r>
    </w:p>
    <w:p>
      <w:pPr>
        <w:spacing w:after="40"/>
        <w:ind w:left="360" w:hanging="288"/>
      </w:pPr>
      <w:r>
        <w:rPr>
          <w:b/>
          <w:color w:val="1F2933"/>
          <w:sz w:val="19"/>
        </w:rPr>
        <w:t xml:space="preserve">1. </w:t>
      </w:r>
      <w:r>
        <w:rPr>
          <w:color w:val="1F2933"/>
          <w:sz w:val="19"/>
        </w:rPr>
        <w:t>Toda entidad operativa pertenece a una organization.</w:t>
      </w:r>
    </w:p>
    <w:p>
      <w:pPr>
        <w:spacing w:after="40"/>
        <w:ind w:left="360" w:hanging="288"/>
      </w:pPr>
      <w:r>
        <w:rPr>
          <w:b/>
          <w:color w:val="1F2933"/>
          <w:sz w:val="19"/>
        </w:rPr>
        <w:t xml:space="preserve">2. </w:t>
      </w:r>
      <w:r>
        <w:rPr>
          <w:color w:val="1F2933"/>
          <w:sz w:val="19"/>
        </w:rPr>
        <w:t>El tenant se deriva del host y de la sesión.</w:t>
      </w:r>
    </w:p>
    <w:p>
      <w:pPr>
        <w:spacing w:after="40"/>
        <w:ind w:left="360" w:hanging="288"/>
      </w:pPr>
      <w:r>
        <w:rPr>
          <w:b/>
          <w:color w:val="1F2933"/>
          <w:sz w:val="19"/>
        </w:rPr>
        <w:t xml:space="preserve">3. </w:t>
      </w:r>
      <w:r>
        <w:rPr>
          <w:rFonts w:ascii="Consolas" w:hAnsi="Consolas"/>
          <w:color w:val="1F2933"/>
          <w:sz w:val="19"/>
        </w:rPr>
        <w:t>SUSPENDED</w:t>
      </w:r>
      <w:r>
        <w:rPr>
          <w:color w:val="1F2933"/>
          <w:sz w:val="19"/>
        </w:rPr>
        <w:t xml:space="preserve"> y </w:t>
      </w:r>
      <w:r>
        <w:rPr>
          <w:rFonts w:ascii="Consolas" w:hAnsi="Consolas"/>
          <w:color w:val="1F2933"/>
          <w:sz w:val="19"/>
        </w:rPr>
        <w:t>CANCELLED</w:t>
      </w:r>
      <w:r>
        <w:rPr>
          <w:color w:val="1F2933"/>
          <w:sz w:val="19"/>
        </w:rPr>
        <w:t xml:space="preserve"> bloquean operaciones.</w:t>
      </w:r>
    </w:p>
    <w:p>
      <w:pPr>
        <w:spacing w:after="40"/>
        <w:ind w:left="360" w:hanging="288"/>
      </w:pPr>
      <w:r>
        <w:rPr>
          <w:b/>
          <w:color w:val="1F2933"/>
          <w:sz w:val="19"/>
        </w:rPr>
        <w:t xml:space="preserve">4. </w:t>
      </w:r>
      <w:r>
        <w:rPr>
          <w:color w:val="1F2933"/>
          <w:sz w:val="19"/>
        </w:rPr>
        <w:t>Un cliente tiene casillero único dentro de su organization.</w:t>
      </w:r>
    </w:p>
    <w:p>
      <w:pPr>
        <w:spacing w:after="40"/>
        <w:ind w:left="360" w:hanging="288"/>
      </w:pPr>
      <w:r>
        <w:rPr>
          <w:b/>
          <w:color w:val="1F2933"/>
          <w:sz w:val="19"/>
        </w:rPr>
        <w:t xml:space="preserve">5. </w:t>
      </w:r>
      <w:r>
        <w:rPr>
          <w:color w:val="1F2933"/>
          <w:sz w:val="19"/>
        </w:rPr>
        <w:t xml:space="preserve">Cada organization dispone de un carrier </w:t>
      </w:r>
      <w:r>
        <w:rPr>
          <w:rFonts w:ascii="Consolas" w:hAnsi="Consolas"/>
          <w:color w:val="1F2933"/>
          <w:sz w:val="19"/>
        </w:rPr>
        <w:t>UNKNOWN</w:t>
      </w:r>
      <w:r>
        <w:rPr>
          <w:color w:val="1F2933"/>
          <w:sz w:val="19"/>
        </w:rPr>
        <w:t>.</w:t>
      </w:r>
    </w:p>
    <w:p>
      <w:pPr>
        <w:spacing w:after="40"/>
        <w:ind w:left="360" w:hanging="288"/>
      </w:pPr>
      <w:r>
        <w:rPr>
          <w:b/>
          <w:color w:val="1F2933"/>
          <w:sz w:val="19"/>
        </w:rPr>
        <w:t xml:space="preserve">6. </w:t>
      </w:r>
      <w:r>
        <w:rPr>
          <w:color w:val="1F2933"/>
          <w:sz w:val="19"/>
        </w:rPr>
        <w:t>Los servicios son configurables y no se comparten entre couriers.</w:t>
      </w:r>
    </w:p>
    <w:p>
      <w:pPr>
        <w:spacing w:after="40"/>
        <w:ind w:left="360" w:hanging="288"/>
      </w:pPr>
      <w:r>
        <w:rPr>
          <w:b/>
          <w:color w:val="1F2933"/>
          <w:sz w:val="19"/>
        </w:rPr>
        <w:t xml:space="preserve">7. </w:t>
      </w:r>
      <w:r>
        <w:rPr>
          <w:color w:val="1F2933"/>
          <w:sz w:val="19"/>
        </w:rPr>
        <w:t>El tracking normalizado es único por organization y carrier.</w:t>
      </w:r>
    </w:p>
    <w:p>
      <w:pPr>
        <w:spacing w:after="40"/>
        <w:ind w:left="360" w:hanging="288"/>
      </w:pPr>
      <w:r>
        <w:rPr>
          <w:b/>
          <w:color w:val="1F2933"/>
          <w:sz w:val="19"/>
        </w:rPr>
        <w:t xml:space="preserve">8. </w:t>
      </w:r>
      <w:r>
        <w:rPr>
          <w:color w:val="1F2933"/>
          <w:sz w:val="19"/>
        </w:rPr>
        <w:t>El peso cobrable es el mayor entre real y volumétrico.</w:t>
      </w:r>
    </w:p>
    <w:p>
      <w:pPr>
        <w:spacing w:after="40"/>
        <w:ind w:left="360" w:hanging="288"/>
      </w:pPr>
      <w:r>
        <w:rPr>
          <w:b/>
          <w:color w:val="1F2933"/>
          <w:sz w:val="19"/>
        </w:rPr>
        <w:t xml:space="preserve">9. </w:t>
      </w:r>
      <w:r>
        <w:rPr>
          <w:color w:val="1F2933"/>
          <w:sz w:val="19"/>
        </w:rPr>
        <w:t>Las dimensiones están todas presentes o todas ausentes.</w:t>
      </w:r>
    </w:p>
    <w:p>
      <w:pPr>
        <w:spacing w:after="40"/>
        <w:ind w:left="360" w:hanging="288"/>
      </w:pPr>
      <w:r>
        <w:rPr>
          <w:b/>
          <w:color w:val="1F2933"/>
          <w:sz w:val="19"/>
        </w:rPr>
        <w:t xml:space="preserve">10. </w:t>
      </w:r>
      <w:r>
        <w:rPr>
          <w:color w:val="1F2933"/>
          <w:sz w:val="19"/>
        </w:rPr>
        <w:t>Cambio de estado y evento se guardan en la misma transacción.</w:t>
      </w:r>
    </w:p>
    <w:p>
      <w:pPr>
        <w:spacing w:after="40"/>
        <w:ind w:left="360" w:hanging="288"/>
      </w:pPr>
      <w:r>
        <w:rPr>
          <w:b/>
          <w:color w:val="1F2933"/>
          <w:sz w:val="19"/>
        </w:rPr>
        <w:t xml:space="preserve">11. </w:t>
      </w:r>
      <w:r>
        <w:rPr>
          <w:rFonts w:ascii="Consolas" w:hAnsi="Consolas"/>
          <w:color w:val="1F2933"/>
          <w:sz w:val="19"/>
        </w:rPr>
        <w:t>AVAILABLE</w:t>
      </w:r>
      <w:r>
        <w:rPr>
          <w:color w:val="1F2933"/>
          <w:sz w:val="19"/>
        </w:rPr>
        <w:t xml:space="preserve"> exige facility y ubicación física.</w:t>
      </w:r>
    </w:p>
    <w:p>
      <w:pPr>
        <w:spacing w:after="40"/>
        <w:ind w:left="360" w:hanging="288"/>
      </w:pPr>
      <w:r>
        <w:rPr>
          <w:b/>
          <w:color w:val="1F2933"/>
          <w:sz w:val="19"/>
        </w:rPr>
        <w:t xml:space="preserve">12. </w:t>
      </w:r>
      <w:r>
        <w:rPr>
          <w:color w:val="1F2933"/>
          <w:sz w:val="19"/>
        </w:rPr>
        <w:t>Una transferencia no tiene el mismo origen y destino.</w:t>
      </w:r>
    </w:p>
    <w:p>
      <w:pPr>
        <w:spacing w:after="40"/>
        <w:ind w:left="360" w:hanging="288"/>
      </w:pPr>
      <w:r>
        <w:rPr>
          <w:b/>
          <w:color w:val="1F2933"/>
          <w:sz w:val="19"/>
        </w:rPr>
        <w:t xml:space="preserve">13. </w:t>
      </w:r>
      <w:r>
        <w:rPr>
          <w:color w:val="1F2933"/>
          <w:sz w:val="19"/>
        </w:rPr>
        <w:t>Un paquete no aparece dos veces en un manifiesto.</w:t>
      </w:r>
    </w:p>
    <w:p>
      <w:pPr>
        <w:spacing w:after="40"/>
        <w:ind w:left="360" w:hanging="288"/>
      </w:pPr>
      <w:r>
        <w:rPr>
          <w:b/>
          <w:color w:val="1F2933"/>
          <w:sz w:val="19"/>
        </w:rPr>
        <w:t xml:space="preserve">14. </w:t>
      </w:r>
      <w:r>
        <w:rPr>
          <w:color w:val="1F2933"/>
          <w:sz w:val="19"/>
        </w:rPr>
        <w:t>Las tarifas no se solapan dentro del mismo alcance.</w:t>
      </w:r>
    </w:p>
    <w:p>
      <w:pPr>
        <w:spacing w:after="40"/>
        <w:ind w:left="360" w:hanging="288"/>
      </w:pPr>
      <w:r>
        <w:rPr>
          <w:b/>
          <w:color w:val="1F2933"/>
          <w:sz w:val="19"/>
        </w:rPr>
        <w:t xml:space="preserve">15. </w:t>
      </w:r>
      <w:r>
        <w:rPr>
          <w:color w:val="1F2933"/>
          <w:sz w:val="19"/>
        </w:rPr>
        <w:t>Una factura emitida no permite modificar sus líneas.</w:t>
      </w:r>
    </w:p>
    <w:p>
      <w:pPr>
        <w:spacing w:after="40"/>
        <w:ind w:left="360" w:hanging="288"/>
      </w:pPr>
      <w:r>
        <w:rPr>
          <w:b/>
          <w:color w:val="1F2933"/>
          <w:sz w:val="19"/>
        </w:rPr>
        <w:t xml:space="preserve">16. </w:t>
      </w:r>
      <w:r>
        <w:rPr>
          <w:rFonts w:ascii="Consolas" w:hAnsi="Consolas"/>
          <w:color w:val="1F2933"/>
          <w:sz w:val="19"/>
        </w:rPr>
        <w:t>TAX</w:t>
      </w:r>
      <w:r>
        <w:rPr>
          <w:color w:val="1F2933"/>
          <w:sz w:val="19"/>
        </w:rPr>
        <w:t xml:space="preserve"> y </w:t>
      </w:r>
      <w:r>
        <w:rPr>
          <w:rFonts w:ascii="Consolas" w:hAnsi="Consolas"/>
          <w:color w:val="1F2933"/>
          <w:sz w:val="19"/>
        </w:rPr>
        <w:t>DISCOUNT</w:t>
      </w:r>
      <w:r>
        <w:rPr>
          <w:color w:val="1F2933"/>
          <w:sz w:val="19"/>
        </w:rPr>
        <w:t xml:space="preserve"> existen solo en la cabecera.</w:t>
      </w:r>
    </w:p>
    <w:p>
      <w:pPr>
        <w:spacing w:after="40"/>
        <w:ind w:left="360" w:hanging="288"/>
      </w:pPr>
      <w:r>
        <w:rPr>
          <w:b/>
          <w:color w:val="1F2933"/>
          <w:sz w:val="19"/>
        </w:rPr>
        <w:t xml:space="preserve">17. </w:t>
      </w:r>
      <w:r>
        <w:rPr>
          <w:color w:val="1F2933"/>
          <w:sz w:val="19"/>
        </w:rPr>
        <w:t>La numeración se asigna al emitir.</w:t>
      </w:r>
    </w:p>
    <w:p>
      <w:pPr>
        <w:spacing w:after="40"/>
        <w:ind w:left="360" w:hanging="288"/>
      </w:pPr>
      <w:r>
        <w:rPr>
          <w:b/>
          <w:color w:val="1F2933"/>
          <w:sz w:val="19"/>
        </w:rPr>
        <w:t xml:space="preserve">18. </w:t>
      </w:r>
      <w:r>
        <w:rPr>
          <w:color w:val="1F2933"/>
          <w:sz w:val="19"/>
        </w:rPr>
        <w:t xml:space="preserve">Un pago empieza en </w:t>
      </w:r>
      <w:r>
        <w:rPr>
          <w:rFonts w:ascii="Consolas" w:hAnsi="Consolas"/>
          <w:color w:val="1F2933"/>
          <w:sz w:val="19"/>
        </w:rPr>
        <w:t>PENDING</w:t>
      </w:r>
      <w:r>
        <w:rPr>
          <w:color w:val="1F2933"/>
          <w:sz w:val="19"/>
        </w:rPr>
        <w:t xml:space="preserve"> y requiere confirmación.</w:t>
      </w:r>
    </w:p>
    <w:p>
      <w:pPr>
        <w:spacing w:after="40"/>
        <w:ind w:left="360" w:hanging="288"/>
      </w:pPr>
      <w:r>
        <w:rPr>
          <w:b/>
          <w:color w:val="1F2933"/>
          <w:sz w:val="19"/>
        </w:rPr>
        <w:t xml:space="preserve">19. </w:t>
      </w:r>
      <w:r>
        <w:rPr>
          <w:color w:val="1F2933"/>
          <w:sz w:val="19"/>
        </w:rPr>
        <w:t>Una asignación no excede pago confirmado ni saldo.</w:t>
      </w:r>
    </w:p>
    <w:p>
      <w:pPr>
        <w:spacing w:after="40"/>
        <w:ind w:left="360" w:hanging="288"/>
      </w:pPr>
      <w:r>
        <w:rPr>
          <w:b/>
          <w:color w:val="1F2933"/>
          <w:sz w:val="19"/>
        </w:rPr>
        <w:t xml:space="preserve">20. </w:t>
      </w:r>
      <w:r>
        <w:rPr>
          <w:rFonts w:ascii="Consolas" w:hAnsi="Consolas"/>
          <w:color w:val="1F2933"/>
          <w:sz w:val="19"/>
        </w:rPr>
        <w:t>package_events</w:t>
      </w:r>
      <w:r>
        <w:rPr>
          <w:color w:val="1F2933"/>
          <w:sz w:val="19"/>
        </w:rPr>
        <w:t xml:space="preserve"> y </w:t>
      </w:r>
      <w:r>
        <w:rPr>
          <w:rFonts w:ascii="Consolas" w:hAnsi="Consolas"/>
          <w:color w:val="1F2933"/>
          <w:sz w:val="19"/>
        </w:rPr>
        <w:t>audit_logs</w:t>
      </w:r>
      <w:r>
        <w:rPr>
          <w:color w:val="1F2933"/>
          <w:sz w:val="19"/>
        </w:rPr>
        <w:t xml:space="preserve"> son append-only.</w:t>
      </w:r>
    </w:p>
    <w:p>
      <w:pPr>
        <w:spacing w:after="40"/>
        <w:ind w:left="360" w:hanging="288"/>
      </w:pPr>
      <w:r>
        <w:rPr>
          <w:b/>
          <w:color w:val="1F2933"/>
          <w:sz w:val="19"/>
        </w:rPr>
        <w:t xml:space="preserve">21. </w:t>
      </w:r>
      <w:r>
        <w:rPr>
          <w:color w:val="1F2933"/>
          <w:sz w:val="19"/>
        </w:rPr>
        <w:t>Toda consulta administrativa filtra por organization.</w:t>
      </w:r>
    </w:p>
    <w:p>
      <w:pPr>
        <w:spacing w:after="40"/>
        <w:ind w:left="360" w:hanging="288"/>
      </w:pPr>
      <w:r>
        <w:rPr>
          <w:b/>
          <w:color w:val="1F2933"/>
          <w:sz w:val="19"/>
        </w:rPr>
        <w:t xml:space="preserve">22. </w:t>
      </w:r>
      <w:r>
        <w:rPr>
          <w:color w:val="1F2933"/>
          <w:sz w:val="19"/>
        </w:rPr>
        <w:t>Las migraciones se ejecutan una sola vez por despliegue.</w:t>
      </w:r>
    </w:p>
    <w:p>
      <w:pPr>
        <w:pStyle w:val="Heading1"/>
        <w:keepNext/>
        <w:pBdr>
          <w:bottom w:val="single" w:sz="8" w:space="1" w:color="A9BBC9"/>
        </w:pBdr>
        <w:spacing w:before="240" w:after="140"/>
      </w:pPr>
      <w:r>
        <w:t>13. API mínima de NestJS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152"/>
            <w:shd w:fill="173F6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  <w:t>Método</w:t>
            </w:r>
          </w:p>
        </w:tc>
        <w:tc>
          <w:tcPr>
            <w:tcW w:type="dxa" w:w="3311"/>
            <w:shd w:fill="173F6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5616"/>
            <w:shd w:fill="173F6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  <w:t>Función</w:t>
            </w:r>
          </w:p>
        </w:tc>
      </w:tr>
      <w:tr>
        <w:tc>
          <w:tcPr>
            <w:tcW w:type="dxa" w:w="115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GET</w:t>
            </w:r>
          </w:p>
        </w:tc>
        <w:tc>
          <w:tcPr>
            <w:tcW w:type="dxa" w:w="331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/health</w:t>
            </w:r>
          </w:p>
        </w:tc>
        <w:tc>
          <w:tcPr>
            <w:tcW w:type="dxa" w:w="561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Salud de la API y dependencias básicas.</w:t>
            </w:r>
          </w:p>
        </w:tc>
      </w:tr>
      <w:tr>
        <w:tc>
          <w:tcPr>
            <w:tcW w:type="dxa" w:w="1152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POST</w:t>
            </w:r>
          </w:p>
        </w:tc>
        <w:tc>
          <w:tcPr>
            <w:tcW w:type="dxa" w:w="3311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/auth/login</w:t>
            </w:r>
          </w:p>
        </w:tc>
        <w:tc>
          <w:tcPr>
            <w:tcW w:type="dxa" w:w="5616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Crear sesión dentro del tenant.</w:t>
            </w:r>
          </w:p>
        </w:tc>
      </w:tr>
      <w:tr>
        <w:tc>
          <w:tcPr>
            <w:tcW w:type="dxa" w:w="115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POST</w:t>
            </w:r>
          </w:p>
        </w:tc>
        <w:tc>
          <w:tcPr>
            <w:tcW w:type="dxa" w:w="331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/auth/refresh</w:t>
            </w:r>
          </w:p>
        </w:tc>
        <w:tc>
          <w:tcPr>
            <w:tcW w:type="dxa" w:w="561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Rotar refresh token.</w:t>
            </w:r>
          </w:p>
        </w:tc>
      </w:tr>
      <w:tr>
        <w:tc>
          <w:tcPr>
            <w:tcW w:type="dxa" w:w="1152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POST</w:t>
            </w:r>
          </w:p>
        </w:tc>
        <w:tc>
          <w:tcPr>
            <w:tcW w:type="dxa" w:w="3311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/auth/logout</w:t>
            </w:r>
          </w:p>
        </w:tc>
        <w:tc>
          <w:tcPr>
            <w:tcW w:type="dxa" w:w="5616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Revocar sesión.</w:t>
            </w:r>
          </w:p>
        </w:tc>
      </w:tr>
      <w:tr>
        <w:tc>
          <w:tcPr>
            <w:tcW w:type="dxa" w:w="115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GET</w:t>
            </w:r>
          </w:p>
        </w:tc>
        <w:tc>
          <w:tcPr>
            <w:tcW w:type="dxa" w:w="331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/me</w:t>
            </w:r>
          </w:p>
        </w:tc>
        <w:tc>
          <w:tcPr>
            <w:tcW w:type="dxa" w:w="561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Usuario, organization, rol y facilities.</w:t>
            </w:r>
          </w:p>
        </w:tc>
      </w:tr>
      <w:tr>
        <w:tc>
          <w:tcPr>
            <w:tcW w:type="dxa" w:w="1152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POST</w:t>
            </w:r>
          </w:p>
        </w:tc>
        <w:tc>
          <w:tcPr>
            <w:tcW w:type="dxa" w:w="3311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/platform/organizations</w:t>
            </w:r>
          </w:p>
        </w:tc>
        <w:tc>
          <w:tcPr>
            <w:tcW w:type="dxa" w:w="5616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Provisionar courier.</w:t>
            </w:r>
          </w:p>
        </w:tc>
      </w:tr>
      <w:tr>
        <w:tc>
          <w:tcPr>
            <w:tcW w:type="dxa" w:w="115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POST</w:t>
            </w:r>
          </w:p>
        </w:tc>
        <w:tc>
          <w:tcPr>
            <w:tcW w:type="dxa" w:w="331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/facilities</w:t>
            </w:r>
          </w:p>
        </w:tc>
        <w:tc>
          <w:tcPr>
            <w:tcW w:type="dxa" w:w="561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Crear instalación.</w:t>
            </w:r>
          </w:p>
        </w:tc>
      </w:tr>
      <w:tr>
        <w:tc>
          <w:tcPr>
            <w:tcW w:type="dxa" w:w="1152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POST</w:t>
            </w:r>
          </w:p>
        </w:tc>
        <w:tc>
          <w:tcPr>
            <w:tcW w:type="dxa" w:w="3311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/employees</w:t>
            </w:r>
          </w:p>
        </w:tc>
        <w:tc>
          <w:tcPr>
            <w:tcW w:type="dxa" w:w="5616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Crear empleado y asignaciones.</w:t>
            </w:r>
          </w:p>
        </w:tc>
      </w:tr>
      <w:tr>
        <w:tc>
          <w:tcPr>
            <w:tcW w:type="dxa" w:w="115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POST</w:t>
            </w:r>
          </w:p>
        </w:tc>
        <w:tc>
          <w:tcPr>
            <w:tcW w:type="dxa" w:w="331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/customers</w:t>
            </w:r>
          </w:p>
        </w:tc>
        <w:tc>
          <w:tcPr>
            <w:tcW w:type="dxa" w:w="561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Registrar cliente y casillero.</w:t>
            </w:r>
          </w:p>
        </w:tc>
      </w:tr>
      <w:tr>
        <w:tc>
          <w:tcPr>
            <w:tcW w:type="dxa" w:w="1152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POST</w:t>
            </w:r>
          </w:p>
        </w:tc>
        <w:tc>
          <w:tcPr>
            <w:tcW w:type="dxa" w:w="3311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/carriers</w:t>
            </w:r>
          </w:p>
        </w:tc>
        <w:tc>
          <w:tcPr>
            <w:tcW w:type="dxa" w:w="5616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Crear transportista.</w:t>
            </w:r>
          </w:p>
        </w:tc>
      </w:tr>
      <w:tr>
        <w:tc>
          <w:tcPr>
            <w:tcW w:type="dxa" w:w="115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POST</w:t>
            </w:r>
          </w:p>
        </w:tc>
        <w:tc>
          <w:tcPr>
            <w:tcW w:type="dxa" w:w="331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/services</w:t>
            </w:r>
          </w:p>
        </w:tc>
        <w:tc>
          <w:tcPr>
            <w:tcW w:type="dxa" w:w="561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Crear servicio configurable.</w:t>
            </w:r>
          </w:p>
        </w:tc>
      </w:tr>
      <w:tr>
        <w:tc>
          <w:tcPr>
            <w:tcW w:type="dxa" w:w="1152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POST</w:t>
            </w:r>
          </w:p>
        </w:tc>
        <w:tc>
          <w:tcPr>
            <w:tcW w:type="dxa" w:w="3311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/packages/pre-alerts</w:t>
            </w:r>
          </w:p>
        </w:tc>
        <w:tc>
          <w:tcPr>
            <w:tcW w:type="dxa" w:w="5616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Crear prealerta.</w:t>
            </w:r>
          </w:p>
        </w:tc>
      </w:tr>
      <w:tr>
        <w:tc>
          <w:tcPr>
            <w:tcW w:type="dxa" w:w="115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POST</w:t>
            </w:r>
          </w:p>
        </w:tc>
        <w:tc>
          <w:tcPr>
            <w:tcW w:type="dxa" w:w="331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/packages/receive</w:t>
            </w:r>
          </w:p>
        </w:tc>
        <w:tc>
          <w:tcPr>
            <w:tcW w:type="dxa" w:w="561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Recibir, pesar, medir y etiquetar.</w:t>
            </w:r>
          </w:p>
        </w:tc>
      </w:tr>
      <w:tr>
        <w:tc>
          <w:tcPr>
            <w:tcW w:type="dxa" w:w="1152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PATCH</w:t>
            </w:r>
          </w:p>
        </w:tc>
        <w:tc>
          <w:tcPr>
            <w:tcW w:type="dxa" w:w="3311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/packages/:id/status</w:t>
            </w:r>
          </w:p>
        </w:tc>
        <w:tc>
          <w:tcPr>
            <w:tcW w:type="dxa" w:w="5616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Cambiar estado con historial.</w:t>
            </w:r>
          </w:p>
        </w:tc>
      </w:tr>
      <w:tr>
        <w:tc>
          <w:tcPr>
            <w:tcW w:type="dxa" w:w="115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PATCH</w:t>
            </w:r>
          </w:p>
        </w:tc>
        <w:tc>
          <w:tcPr>
            <w:tcW w:type="dxa" w:w="331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/packages/:id/location</w:t>
            </w:r>
          </w:p>
        </w:tc>
        <w:tc>
          <w:tcPr>
            <w:tcW w:type="dxa" w:w="561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Asignar ubicación.</w:t>
            </w:r>
          </w:p>
        </w:tc>
      </w:tr>
      <w:tr>
        <w:tc>
          <w:tcPr>
            <w:tcW w:type="dxa" w:w="1152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GET</w:t>
            </w:r>
          </w:p>
        </w:tc>
        <w:tc>
          <w:tcPr>
            <w:tcW w:type="dxa" w:w="3311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/public/:org/tracking/:code</w:t>
            </w:r>
          </w:p>
        </w:tc>
        <w:tc>
          <w:tcPr>
            <w:tcW w:type="dxa" w:w="5616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Tracking público limitado.</w:t>
            </w:r>
          </w:p>
        </w:tc>
      </w:tr>
      <w:tr>
        <w:tc>
          <w:tcPr>
            <w:tcW w:type="dxa" w:w="115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POST</w:t>
            </w:r>
          </w:p>
        </w:tc>
        <w:tc>
          <w:tcPr>
            <w:tcW w:type="dxa" w:w="331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/transfers</w:t>
            </w:r>
          </w:p>
        </w:tc>
        <w:tc>
          <w:tcPr>
            <w:tcW w:type="dxa" w:w="561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Crear manifiesto.</w:t>
            </w:r>
          </w:p>
        </w:tc>
      </w:tr>
      <w:tr>
        <w:tc>
          <w:tcPr>
            <w:tcW w:type="dxa" w:w="1152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POST</w:t>
            </w:r>
          </w:p>
        </w:tc>
        <w:tc>
          <w:tcPr>
            <w:tcW w:type="dxa" w:w="3311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/transfers/:id/dispatch</w:t>
            </w:r>
          </w:p>
        </w:tc>
        <w:tc>
          <w:tcPr>
            <w:tcW w:type="dxa" w:w="5616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Despachar.</w:t>
            </w:r>
          </w:p>
        </w:tc>
      </w:tr>
      <w:tr>
        <w:tc>
          <w:tcPr>
            <w:tcW w:type="dxa" w:w="115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POST</w:t>
            </w:r>
          </w:p>
        </w:tc>
        <w:tc>
          <w:tcPr>
            <w:tcW w:type="dxa" w:w="331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/transfers/:id/receive</w:t>
            </w:r>
          </w:p>
        </w:tc>
        <w:tc>
          <w:tcPr>
            <w:tcW w:type="dxa" w:w="561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Recibir y detectar discrepancias.</w:t>
            </w:r>
          </w:p>
        </w:tc>
      </w:tr>
      <w:tr>
        <w:tc>
          <w:tcPr>
            <w:tcW w:type="dxa" w:w="1152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GET</w:t>
            </w:r>
          </w:p>
        </w:tc>
        <w:tc>
          <w:tcPr>
            <w:tcW w:type="dxa" w:w="3311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/rates/quote</w:t>
            </w:r>
          </w:p>
        </w:tc>
        <w:tc>
          <w:tcPr>
            <w:tcW w:type="dxa" w:w="5616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Cotizar tarifa aplicada.</w:t>
            </w:r>
          </w:p>
        </w:tc>
      </w:tr>
      <w:tr>
        <w:tc>
          <w:tcPr>
            <w:tcW w:type="dxa" w:w="115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POST</w:t>
            </w:r>
          </w:p>
        </w:tc>
        <w:tc>
          <w:tcPr>
            <w:tcW w:type="dxa" w:w="331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/invoices</w:t>
            </w:r>
          </w:p>
        </w:tc>
        <w:tc>
          <w:tcPr>
            <w:tcW w:type="dxa" w:w="561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Crear borrador.</w:t>
            </w:r>
          </w:p>
        </w:tc>
      </w:tr>
      <w:tr>
        <w:tc>
          <w:tcPr>
            <w:tcW w:type="dxa" w:w="1152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POST</w:t>
            </w:r>
          </w:p>
        </w:tc>
        <w:tc>
          <w:tcPr>
            <w:tcW w:type="dxa" w:w="3311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/invoices/:id/issue</w:t>
            </w:r>
          </w:p>
        </w:tc>
        <w:tc>
          <w:tcPr>
            <w:tcW w:type="dxa" w:w="5616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Emitir y numerar.</w:t>
            </w:r>
          </w:p>
        </w:tc>
      </w:tr>
      <w:tr>
        <w:tc>
          <w:tcPr>
            <w:tcW w:type="dxa" w:w="115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POST</w:t>
            </w:r>
          </w:p>
        </w:tc>
        <w:tc>
          <w:tcPr>
            <w:tcW w:type="dxa" w:w="331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/payments</w:t>
            </w:r>
          </w:p>
        </w:tc>
        <w:tc>
          <w:tcPr>
            <w:tcW w:type="dxa" w:w="561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Registrar pago pendiente.</w:t>
            </w:r>
          </w:p>
        </w:tc>
      </w:tr>
      <w:tr>
        <w:tc>
          <w:tcPr>
            <w:tcW w:type="dxa" w:w="1152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POST</w:t>
            </w:r>
          </w:p>
        </w:tc>
        <w:tc>
          <w:tcPr>
            <w:tcW w:type="dxa" w:w="3311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/payments/:id/confirm</w:t>
            </w:r>
          </w:p>
        </w:tc>
        <w:tc>
          <w:tcPr>
            <w:tcW w:type="dxa" w:w="5616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Confirmar pago.</w:t>
            </w:r>
          </w:p>
        </w:tc>
      </w:tr>
      <w:tr>
        <w:tc>
          <w:tcPr>
            <w:tcW w:type="dxa" w:w="115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POST</w:t>
            </w:r>
          </w:p>
        </w:tc>
        <w:tc>
          <w:tcPr>
            <w:tcW w:type="dxa" w:w="331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/payments/:id/allocate</w:t>
            </w:r>
          </w:p>
        </w:tc>
        <w:tc>
          <w:tcPr>
            <w:tcW w:type="dxa" w:w="561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Aplicar pago a facturas.</w:t>
            </w:r>
          </w:p>
        </w:tc>
      </w:tr>
      <w:tr>
        <w:tc>
          <w:tcPr>
            <w:tcW w:type="dxa" w:w="1152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GET</w:t>
            </w:r>
          </w:p>
        </w:tc>
        <w:tc>
          <w:tcPr>
            <w:tcW w:type="dxa" w:w="3311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/dashboard/summary</w:t>
            </w:r>
          </w:p>
        </w:tc>
        <w:tc>
          <w:tcPr>
            <w:tcW w:type="dxa" w:w="5616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Resumen del tenant.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t>13.1 Convenciones</w:t>
      </w:r>
    </w:p>
    <w:p>
      <w:pPr>
        <w:pStyle w:val="ListBullet"/>
        <w:spacing w:after="40"/>
      </w:pPr>
      <w:r>
        <w:rPr>
          <w:color w:val="1F2933"/>
          <w:sz w:val="19"/>
        </w:rPr>
        <w:t>DTOs validados y transformación explícita.</w:t>
      </w:r>
    </w:p>
    <w:p>
      <w:pPr>
        <w:pStyle w:val="ListBullet"/>
        <w:spacing w:after="40"/>
      </w:pPr>
      <w:r>
        <w:rPr>
          <w:rFonts w:ascii="Consolas" w:hAnsi="Consolas"/>
          <w:color w:val="1F2933"/>
          <w:sz w:val="19"/>
        </w:rPr>
        <w:t>request_id</w:t>
      </w:r>
      <w:r>
        <w:rPr>
          <w:color w:val="1F2933"/>
          <w:sz w:val="19"/>
        </w:rPr>
        <w:t xml:space="preserve"> en respuesta y logs.</w:t>
      </w:r>
    </w:p>
    <w:p>
      <w:pPr>
        <w:pStyle w:val="ListBullet"/>
        <w:spacing w:after="40"/>
      </w:pPr>
      <w:r>
        <w:rPr>
          <w:color w:val="1F2933"/>
          <w:sz w:val="19"/>
        </w:rPr>
        <w:t>Errores de dominio con códigos estables.</w:t>
      </w:r>
    </w:p>
    <w:p>
      <w:pPr>
        <w:pStyle w:val="ListBullet"/>
        <w:spacing w:after="40"/>
      </w:pPr>
      <w:r>
        <w:rPr>
          <w:color w:val="1F2933"/>
          <w:sz w:val="19"/>
        </w:rPr>
        <w:t>Paginación en listados.</w:t>
      </w:r>
    </w:p>
    <w:p>
      <w:pPr>
        <w:pStyle w:val="ListBullet"/>
        <w:spacing w:after="40"/>
      </w:pPr>
      <w:r>
        <w:rPr>
          <w:rFonts w:ascii="Consolas" w:hAnsi="Consolas"/>
          <w:color w:val="1F2933"/>
          <w:sz w:val="19"/>
        </w:rPr>
        <w:t>Idempotency-Key</w:t>
      </w:r>
      <w:r>
        <w:rPr>
          <w:color w:val="1F2933"/>
          <w:sz w:val="19"/>
        </w:rPr>
        <w:t xml:space="preserve"> en pagos, recepción y escaneos.</w:t>
      </w:r>
    </w:p>
    <w:p>
      <w:pPr>
        <w:pStyle w:val="ListBullet"/>
        <w:spacing w:after="40"/>
      </w:pPr>
      <w:r>
        <w:rPr>
          <w:color w:val="1F2933"/>
          <w:sz w:val="19"/>
        </w:rPr>
        <w:t>Tracking público sin notas privadas.</w:t>
      </w:r>
    </w:p>
    <w:p>
      <w:pPr>
        <w:pStyle w:val="Heading1"/>
        <w:keepNext/>
        <w:pBdr>
          <w:bottom w:val="single" w:sz="8" w:space="1" w:color="A9BBC9"/>
        </w:pBdr>
        <w:spacing w:before="240" w:after="140"/>
      </w:pPr>
      <w:r>
        <w:t>14. Pantallas mínimas de Next.js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173F6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  <w:t>Área</w:t>
            </w:r>
          </w:p>
        </w:tc>
        <w:tc>
          <w:tcPr>
            <w:tcW w:type="dxa" w:w="7200"/>
            <w:shd w:fill="173F6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  <w:t>Pantallas</w:t>
            </w:r>
          </w:p>
        </w:tc>
      </w:tr>
      <w:tr>
        <w:tc>
          <w:tcPr>
            <w:tcW w:type="dxa" w:w="288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Público del SaaS</w:t>
            </w:r>
          </w:p>
        </w:tc>
        <w:tc>
          <w:tcPr>
            <w:tcW w:type="dxa" w:w="720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Inicio, características, planes, contacto y login.</w:t>
            </w:r>
          </w:p>
        </w:tc>
      </w:tr>
      <w:tr>
        <w:tc>
          <w:tcPr>
            <w:tcW w:type="dxa" w:w="2880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Público del courier</w:t>
            </w:r>
          </w:p>
        </w:tc>
        <w:tc>
          <w:tcPr>
            <w:tcW w:type="dxa" w:w="7200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Marca, tracking, facilities y registro.</w:t>
            </w:r>
          </w:p>
        </w:tc>
      </w:tr>
      <w:tr>
        <w:tc>
          <w:tcPr>
            <w:tcW w:type="dxa" w:w="288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Portal del cliente</w:t>
            </w:r>
          </w:p>
        </w:tc>
        <w:tc>
          <w:tcPr>
            <w:tcW w:type="dxa" w:w="720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Resumen, paquetes, prealerta, facturas, saldo y perfil.</w:t>
            </w:r>
          </w:p>
        </w:tc>
      </w:tr>
      <w:tr>
        <w:tc>
          <w:tcPr>
            <w:tcW w:type="dxa" w:w="2880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Operación</w:t>
            </w:r>
          </w:p>
        </w:tc>
        <w:tc>
          <w:tcPr>
            <w:tcW w:type="dxa" w:w="7200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Dashboard, recepción, inventario, detalle, transferencias y ubicaciones.</w:t>
            </w:r>
          </w:p>
        </w:tc>
      </w:tr>
      <w:tr>
        <w:tc>
          <w:tcPr>
            <w:tcW w:type="dxa" w:w="288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Comercial</w:t>
            </w:r>
          </w:p>
        </w:tc>
        <w:tc>
          <w:tcPr>
            <w:tcW w:type="dxa" w:w="720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Clientes, servicios, tarifas, facturas, pagos y empleados.</w:t>
            </w:r>
          </w:p>
        </w:tc>
      </w:tr>
      <w:tr>
        <w:tc>
          <w:tcPr>
            <w:tcW w:type="dxa" w:w="2880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Configuración</w:t>
            </w:r>
          </w:p>
        </w:tc>
        <w:tc>
          <w:tcPr>
            <w:tcW w:type="dxa" w:w="7200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Organization, marca, medición, prefijos, facilities y carriers.</w:t>
            </w:r>
          </w:p>
        </w:tc>
      </w:tr>
      <w:tr>
        <w:tc>
          <w:tcPr>
            <w:tcW w:type="dxa" w:w="288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Plataforma</w:t>
            </w:r>
          </w:p>
        </w:tc>
        <w:tc>
          <w:tcPr>
            <w:tcW w:type="dxa" w:w="720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Organizations, plan, estado, límites y auditoría limitada.</w:t>
            </w:r>
          </w:p>
        </w:tc>
      </w:tr>
    </w:tbl>
    <w:p>
      <w:pPr>
        <w:spacing w:after="0"/>
      </w:pPr>
    </w:p>
    <w:p>
      <w:pPr>
        <w:spacing w:after="80" w:line="252" w:lineRule="auto"/>
      </w:pPr>
      <w:r>
        <w:rPr>
          <w:color w:val="1F2933"/>
          <w:sz w:val="20"/>
        </w:rPr>
        <w:t>Los Server Components se usan para carga inicial y vistas de lectura. Los Client Components se reservan para escáner, formularios, modales y APIs del navegador. Datos operativos, facturas y pagos no utilizan caché compartida.</w:t>
      </w:r>
    </w:p>
    <w:p>
      <w:pPr>
        <w:pStyle w:val="Heading1"/>
        <w:keepNext/>
        <w:pBdr>
          <w:bottom w:val="single" w:sz="8" w:space="1" w:color="A9BBC9"/>
        </w:pBdr>
        <w:spacing w:before="240" w:after="140"/>
      </w:pPr>
      <w:r>
        <w:t>15. Seguridad, confiabilidad, rendimiento y observabilidad</w:t>
      </w:r>
    </w:p>
    <w:p>
      <w:pPr>
        <w:pStyle w:val="Heading2"/>
        <w:keepNext/>
        <w:spacing w:before="160" w:after="80"/>
      </w:pPr>
      <w:r>
        <w:t>15.1 Seguridad</w:t>
      </w:r>
    </w:p>
    <w:p>
      <w:pPr>
        <w:pStyle w:val="ListBullet"/>
        <w:spacing w:after="40"/>
      </w:pPr>
      <w:r>
        <w:rPr>
          <w:color w:val="1F2933"/>
          <w:sz w:val="19"/>
        </w:rPr>
        <w:t>Argon2id o bcrypt para contraseñas.</w:t>
      </w:r>
    </w:p>
    <w:p>
      <w:pPr>
        <w:pStyle w:val="ListBullet"/>
        <w:spacing w:after="40"/>
      </w:pPr>
      <w:r>
        <w:rPr>
          <w:color w:val="1F2933"/>
          <w:sz w:val="19"/>
        </w:rPr>
        <w:t>Cookies HttpOnly, Secure y SameSite.</w:t>
      </w:r>
    </w:p>
    <w:p>
      <w:pPr>
        <w:pStyle w:val="ListBullet"/>
        <w:spacing w:after="40"/>
      </w:pPr>
      <w:r>
        <w:rPr>
          <w:color w:val="1F2933"/>
          <w:sz w:val="19"/>
        </w:rPr>
        <w:t>Rotación y revocación de refresh tokens.</w:t>
      </w:r>
    </w:p>
    <w:p>
      <w:pPr>
        <w:pStyle w:val="ListBullet"/>
        <w:spacing w:after="40"/>
      </w:pPr>
      <w:r>
        <w:rPr>
          <w:color w:val="1F2933"/>
          <w:sz w:val="19"/>
        </w:rPr>
        <w:t>Guards por organization, rol y facility.</w:t>
      </w:r>
    </w:p>
    <w:p>
      <w:pPr>
        <w:pStyle w:val="ListBullet"/>
        <w:spacing w:after="40"/>
      </w:pPr>
      <w:r>
        <w:rPr>
          <w:color w:val="1F2933"/>
          <w:sz w:val="19"/>
        </w:rPr>
        <w:t>Rate limiting en login y tracking.</w:t>
      </w:r>
    </w:p>
    <w:p>
      <w:pPr>
        <w:pStyle w:val="ListBullet"/>
        <w:spacing w:after="40"/>
      </w:pPr>
      <w:r>
        <w:rPr>
          <w:color w:val="1F2933"/>
          <w:sz w:val="19"/>
        </w:rPr>
        <w:t>CORS limitado y protección CSRF cuando aplique.</w:t>
      </w:r>
    </w:p>
    <w:p>
      <w:pPr>
        <w:pStyle w:val="ListBullet"/>
        <w:spacing w:after="40"/>
      </w:pPr>
      <w:r>
        <w:rPr>
          <w:color w:val="1F2933"/>
          <w:sz w:val="19"/>
        </w:rPr>
        <w:t>Secretos fuera del repositorio y de las imágenes.</w:t>
      </w:r>
    </w:p>
    <w:p>
      <w:pPr>
        <w:pStyle w:val="ListBullet"/>
        <w:spacing w:after="40"/>
      </w:pPr>
      <w:r>
        <w:rPr>
          <w:color w:val="1F2933"/>
          <w:sz w:val="19"/>
        </w:rPr>
        <w:t>Contenedores no root.</w:t>
      </w:r>
    </w:p>
    <w:p>
      <w:pPr>
        <w:pStyle w:val="Heading2"/>
        <w:keepNext/>
        <w:spacing w:before="160" w:after="80"/>
      </w:pPr>
      <w:r>
        <w:t>15.2 Confiabilidad</w:t>
      </w:r>
    </w:p>
    <w:p>
      <w:pPr>
        <w:pStyle w:val="ListBullet"/>
        <w:spacing w:after="40"/>
      </w:pPr>
      <w:r>
        <w:rPr>
          <w:color w:val="1F2933"/>
          <w:sz w:val="19"/>
        </w:rPr>
        <w:t>Transacciones en estados, facturación y pagos.</w:t>
      </w:r>
    </w:p>
    <w:p>
      <w:pPr>
        <w:pStyle w:val="ListBullet"/>
        <w:spacing w:after="40"/>
      </w:pPr>
      <w:r>
        <w:rPr>
          <w:color w:val="1F2933"/>
          <w:sz w:val="19"/>
        </w:rPr>
        <w:t>Idempotencia en pagos y escaneos.</w:t>
      </w:r>
    </w:p>
    <w:p>
      <w:pPr>
        <w:pStyle w:val="ListBullet"/>
        <w:spacing w:after="40"/>
      </w:pPr>
      <w:r>
        <w:rPr>
          <w:color w:val="1F2933"/>
          <w:sz w:val="19"/>
        </w:rPr>
        <w:t>Backups automáticos y pruebas de restauración.</w:t>
      </w:r>
    </w:p>
    <w:p>
      <w:pPr>
        <w:pStyle w:val="ListBullet"/>
        <w:spacing w:after="40"/>
      </w:pPr>
      <w:r>
        <w:rPr>
          <w:color w:val="1F2933"/>
          <w:sz w:val="19"/>
        </w:rPr>
        <w:t>Migraciones versionadas.</w:t>
      </w:r>
    </w:p>
    <w:p>
      <w:pPr>
        <w:pStyle w:val="ListBullet"/>
        <w:spacing w:after="40"/>
      </w:pPr>
      <w:r>
        <w:rPr>
          <w:color w:val="1F2933"/>
          <w:sz w:val="19"/>
        </w:rPr>
        <w:t>Healthchecks para web, API y dependencias.</w:t>
      </w:r>
    </w:p>
    <w:p>
      <w:pPr>
        <w:pStyle w:val="ListBullet"/>
        <w:spacing w:after="40"/>
      </w:pPr>
      <w:r>
        <w:rPr>
          <w:color w:val="1F2933"/>
          <w:sz w:val="19"/>
        </w:rPr>
        <w:t>Despliegues con rollback documentado.</w:t>
      </w:r>
    </w:p>
    <w:p>
      <w:pPr>
        <w:pStyle w:val="Heading2"/>
        <w:keepNext/>
        <w:spacing w:before="160" w:after="80"/>
      </w:pPr>
      <w:r>
        <w:t>15.3 Rendimiento</w:t>
      </w:r>
    </w:p>
    <w:p>
      <w:pPr>
        <w:pStyle w:val="ListBullet"/>
        <w:spacing w:after="40"/>
      </w:pPr>
      <w:r>
        <w:rPr>
          <w:color w:val="1F2933"/>
          <w:sz w:val="19"/>
        </w:rPr>
        <w:t>Índices por organization, tracking, facility, estado, cliente y fecha.</w:t>
      </w:r>
    </w:p>
    <w:p>
      <w:pPr>
        <w:pStyle w:val="ListBullet"/>
        <w:spacing w:after="40"/>
      </w:pPr>
      <w:r>
        <w:rPr>
          <w:color w:val="1F2933"/>
          <w:sz w:val="19"/>
        </w:rPr>
        <w:t>Paginación y carga diferida de historiales.</w:t>
      </w:r>
    </w:p>
    <w:p>
      <w:pPr>
        <w:pStyle w:val="ListBullet"/>
        <w:spacing w:after="40"/>
      </w:pPr>
      <w:r>
        <w:rPr>
          <w:color w:val="1F2933"/>
          <w:sz w:val="19"/>
        </w:rPr>
        <w:t>Pool de conexiones compatible con el proveedor.</w:t>
      </w:r>
    </w:p>
    <w:p>
      <w:pPr>
        <w:pStyle w:val="ListBullet"/>
        <w:spacing w:after="40"/>
      </w:pPr>
      <w:r>
        <w:rPr>
          <w:color w:val="1F2933"/>
          <w:sz w:val="19"/>
        </w:rPr>
        <w:t>Medición de consultas lentas antes de optimizar.</w:t>
      </w:r>
    </w:p>
    <w:p>
      <w:pPr>
        <w:pStyle w:val="ListBullet"/>
        <w:spacing w:after="40"/>
      </w:pPr>
      <w:r>
        <w:rPr>
          <w:color w:val="1F2933"/>
          <w:sz w:val="19"/>
        </w:rPr>
        <w:t xml:space="preserve">Next.js </w:t>
      </w:r>
      <w:r>
        <w:rPr>
          <w:rFonts w:ascii="Consolas" w:hAnsi="Consolas"/>
          <w:color w:val="1F2933"/>
          <w:sz w:val="19"/>
        </w:rPr>
        <w:t>standalone</w:t>
      </w:r>
      <w:r>
        <w:rPr>
          <w:color w:val="1F2933"/>
          <w:sz w:val="19"/>
        </w:rPr>
        <w:t xml:space="preserve"> y caché solo para contenido público seguro.</w:t>
      </w:r>
    </w:p>
    <w:p>
      <w:pPr>
        <w:pStyle w:val="Heading2"/>
        <w:keepNext/>
        <w:spacing w:before="160" w:after="80"/>
      </w:pPr>
      <w:r>
        <w:t>15.4 Observabilidad</w:t>
      </w:r>
    </w:p>
    <w:p>
      <w:pPr>
        <w:pStyle w:val="ListBullet"/>
        <w:spacing w:after="40"/>
      </w:pPr>
      <w:r>
        <w:rPr>
          <w:color w:val="1F2933"/>
          <w:sz w:val="19"/>
        </w:rPr>
        <w:t>Logs estructurados de web y API.</w:t>
      </w:r>
    </w:p>
    <w:p>
      <w:pPr>
        <w:pStyle w:val="ListBullet"/>
        <w:spacing w:after="40"/>
      </w:pPr>
      <w:r>
        <w:rPr>
          <w:rFonts w:ascii="Consolas" w:hAnsi="Consolas"/>
          <w:color w:val="1F2933"/>
          <w:sz w:val="19"/>
        </w:rPr>
        <w:t>request_id</w:t>
      </w:r>
      <w:r>
        <w:rPr>
          <w:color w:val="1F2933"/>
          <w:sz w:val="19"/>
        </w:rPr>
        <w:t xml:space="preserve"> correlacionado.</w:t>
      </w:r>
    </w:p>
    <w:p>
      <w:pPr>
        <w:pStyle w:val="ListBullet"/>
        <w:spacing w:after="40"/>
      </w:pPr>
      <w:r>
        <w:rPr>
          <w:color w:val="1F2933"/>
          <w:sz w:val="19"/>
        </w:rPr>
        <w:t>Métricas de latencia, errores, conexiones y colas futuras.</w:t>
      </w:r>
    </w:p>
    <w:p>
      <w:pPr>
        <w:pStyle w:val="ListBullet"/>
        <w:spacing w:after="40"/>
      </w:pPr>
      <w:r>
        <w:rPr>
          <w:color w:val="1F2933"/>
          <w:sz w:val="19"/>
        </w:rPr>
        <w:t>Alertas por fallos de recepción, pagos, migraciones y backups.</w:t>
      </w:r>
    </w:p>
    <w:p>
      <w:pPr>
        <w:pStyle w:val="ListBullet"/>
        <w:spacing w:after="40"/>
      </w:pPr>
      <w:r>
        <w:rPr>
          <w:color w:val="1F2933"/>
          <w:sz w:val="19"/>
        </w:rPr>
        <w:t>Auditoría de exportaciones y cambios sensibles.</w:t>
      </w:r>
    </w:p>
    <w:p>
      <w:pPr>
        <w:pStyle w:val="Heading1"/>
        <w:keepNext/>
        <w:pBdr>
          <w:bottom w:val="single" w:sz="8" w:space="1" w:color="A9BBC9"/>
        </w:pBdr>
        <w:spacing w:before="240" w:after="140"/>
      </w:pPr>
      <w:r>
        <w:t>16. Estrategia de pruebas</w:t>
      </w:r>
    </w:p>
    <w:p>
      <w:pPr>
        <w:pStyle w:val="Heading2"/>
        <w:keepNext/>
        <w:spacing w:before="160" w:after="80"/>
      </w:pPr>
      <w:r>
        <w:t>16.1 Unitarias</w:t>
      </w:r>
    </w:p>
    <w:p>
      <w:pPr>
        <w:pStyle w:val="ListBullet"/>
        <w:spacing w:after="40"/>
      </w:pPr>
      <w:r>
        <w:rPr>
          <w:color w:val="1F2933"/>
          <w:sz w:val="19"/>
        </w:rPr>
        <w:t>Peso volumétrico y cobrable.</w:t>
      </w:r>
    </w:p>
    <w:p>
      <w:pPr>
        <w:pStyle w:val="ListBullet"/>
        <w:spacing w:after="40"/>
      </w:pPr>
      <w:r>
        <w:rPr>
          <w:color w:val="1F2933"/>
          <w:sz w:val="19"/>
        </w:rPr>
        <w:t>Normalización de tracking.</w:t>
      </w:r>
    </w:p>
    <w:p>
      <w:pPr>
        <w:pStyle w:val="ListBullet"/>
        <w:spacing w:after="40"/>
      </w:pPr>
      <w:r>
        <w:rPr>
          <w:color w:val="1F2933"/>
          <w:sz w:val="19"/>
        </w:rPr>
        <w:t>Transiciones de paquetes.</w:t>
      </w:r>
    </w:p>
    <w:p>
      <w:pPr>
        <w:pStyle w:val="ListBullet"/>
        <w:spacing w:after="40"/>
      </w:pPr>
      <w:r>
        <w:rPr>
          <w:color w:val="1F2933"/>
          <w:sz w:val="19"/>
        </w:rPr>
        <w:t>Selección y redondeo de tarifas.</w:t>
      </w:r>
    </w:p>
    <w:p>
      <w:pPr>
        <w:pStyle w:val="ListBullet"/>
        <w:spacing w:after="40"/>
      </w:pPr>
      <w:r>
        <w:rPr>
          <w:color w:val="1F2933"/>
          <w:sz w:val="19"/>
        </w:rPr>
        <w:t>Totales de factura.</w:t>
      </w:r>
    </w:p>
    <w:p>
      <w:pPr>
        <w:pStyle w:val="ListBullet"/>
        <w:spacing w:after="40"/>
      </w:pPr>
      <w:r>
        <w:rPr>
          <w:color w:val="1F2933"/>
          <w:sz w:val="19"/>
        </w:rPr>
        <w:t>Reglas de estado de pago.</w:t>
      </w:r>
    </w:p>
    <w:p>
      <w:pPr>
        <w:pStyle w:val="Heading2"/>
        <w:keepNext/>
        <w:spacing w:before="160" w:after="80"/>
      </w:pPr>
      <w:r>
        <w:t>16.2 Integración</w:t>
      </w:r>
    </w:p>
    <w:p>
      <w:pPr>
        <w:pStyle w:val="ListBullet"/>
        <w:spacing w:after="40"/>
      </w:pPr>
      <w:r>
        <w:rPr>
          <w:color w:val="1F2933"/>
          <w:sz w:val="19"/>
        </w:rPr>
        <w:t>Cambio de estado más evento en una transacción.</w:t>
      </w:r>
    </w:p>
    <w:p>
      <w:pPr>
        <w:pStyle w:val="ListBullet"/>
        <w:spacing w:after="40"/>
      </w:pPr>
      <w:r>
        <w:rPr>
          <w:color w:val="1F2933"/>
          <w:sz w:val="19"/>
        </w:rPr>
        <w:t>Aislamiento entre organizations.</w:t>
      </w:r>
    </w:p>
    <w:p>
      <w:pPr>
        <w:pStyle w:val="ListBullet"/>
        <w:spacing w:after="40"/>
      </w:pPr>
      <w:r>
        <w:rPr>
          <w:color w:val="1F2933"/>
          <w:sz w:val="19"/>
        </w:rPr>
        <w:t>Tarifa general frente a tarifa específica.</w:t>
      </w:r>
    </w:p>
    <w:p>
      <w:pPr>
        <w:pStyle w:val="ListBullet"/>
        <w:spacing w:after="40"/>
      </w:pPr>
      <w:r>
        <w:rPr>
          <w:color w:val="1F2933"/>
          <w:sz w:val="19"/>
        </w:rPr>
        <w:t>Rechazo de rangos solapados.</w:t>
      </w:r>
    </w:p>
    <w:p>
      <w:pPr>
        <w:pStyle w:val="ListBullet"/>
        <w:spacing w:after="40"/>
      </w:pPr>
      <w:r>
        <w:rPr>
          <w:color w:val="1F2933"/>
          <w:sz w:val="19"/>
        </w:rPr>
        <w:t>Emisión concurrente de números.</w:t>
      </w:r>
    </w:p>
    <w:p>
      <w:pPr>
        <w:pStyle w:val="ListBullet"/>
        <w:spacing w:after="40"/>
      </w:pPr>
      <w:r>
        <w:rPr>
          <w:color w:val="1F2933"/>
          <w:sz w:val="19"/>
        </w:rPr>
        <w:t>Pago parcial, bloqueo y saldo.</w:t>
      </w:r>
    </w:p>
    <w:p>
      <w:pPr>
        <w:pStyle w:val="ListBullet"/>
        <w:spacing w:after="40"/>
      </w:pPr>
      <w:r>
        <w:rPr>
          <w:color w:val="1F2933"/>
          <w:sz w:val="19"/>
        </w:rPr>
        <w:t>Inmutabilidad de invoice_items emitidos.</w:t>
      </w:r>
    </w:p>
    <w:p>
      <w:pPr>
        <w:pStyle w:val="Heading2"/>
        <w:keepNext/>
        <w:spacing w:before="160" w:after="80"/>
      </w:pPr>
      <w:r>
        <w:t>16.3 End-to-end</w:t>
      </w:r>
    </w:p>
    <w:p>
      <w:pPr>
        <w:spacing w:after="40"/>
        <w:ind w:left="360" w:hanging="288"/>
      </w:pPr>
      <w:r>
        <w:rPr>
          <w:b/>
          <w:color w:val="1F2933"/>
          <w:sz w:val="19"/>
        </w:rPr>
        <w:t xml:space="preserve">1. </w:t>
      </w:r>
      <w:r>
        <w:rPr>
          <w:color w:val="1F2933"/>
          <w:sz w:val="19"/>
        </w:rPr>
        <w:t>Provisionar organization.</w:t>
      </w:r>
    </w:p>
    <w:p>
      <w:pPr>
        <w:spacing w:after="40"/>
        <w:ind w:left="360" w:hanging="288"/>
      </w:pPr>
      <w:r>
        <w:rPr>
          <w:b/>
          <w:color w:val="1F2933"/>
          <w:sz w:val="19"/>
        </w:rPr>
        <w:t xml:space="preserve">2. </w:t>
      </w:r>
      <w:r>
        <w:rPr>
          <w:color w:val="1F2933"/>
          <w:sz w:val="19"/>
        </w:rPr>
        <w:t>Crear facility, carrier y servicio.</w:t>
      </w:r>
    </w:p>
    <w:p>
      <w:pPr>
        <w:spacing w:after="40"/>
        <w:ind w:left="360" w:hanging="288"/>
      </w:pPr>
      <w:r>
        <w:rPr>
          <w:b/>
          <w:color w:val="1F2933"/>
          <w:sz w:val="19"/>
        </w:rPr>
        <w:t xml:space="preserve">3. </w:t>
      </w:r>
      <w:r>
        <w:rPr>
          <w:color w:val="1F2933"/>
          <w:sz w:val="19"/>
        </w:rPr>
        <w:t>Registrar cliente.</w:t>
      </w:r>
    </w:p>
    <w:p>
      <w:pPr>
        <w:spacing w:after="40"/>
        <w:ind w:left="360" w:hanging="288"/>
      </w:pPr>
      <w:r>
        <w:rPr>
          <w:b/>
          <w:color w:val="1F2933"/>
          <w:sz w:val="19"/>
        </w:rPr>
        <w:t xml:space="preserve">4. </w:t>
      </w:r>
      <w:r>
        <w:rPr>
          <w:color w:val="1F2933"/>
          <w:sz w:val="19"/>
        </w:rPr>
        <w:t>Crear prealerta.</w:t>
      </w:r>
    </w:p>
    <w:p>
      <w:pPr>
        <w:spacing w:after="40"/>
        <w:ind w:left="360" w:hanging="288"/>
      </w:pPr>
      <w:r>
        <w:rPr>
          <w:b/>
          <w:color w:val="1F2933"/>
          <w:sz w:val="19"/>
        </w:rPr>
        <w:t xml:space="preserve">5. </w:t>
      </w:r>
      <w:r>
        <w:rPr>
          <w:color w:val="1F2933"/>
          <w:sz w:val="19"/>
        </w:rPr>
        <w:t>Recibir y ubicar paquete.</w:t>
      </w:r>
    </w:p>
    <w:p>
      <w:pPr>
        <w:spacing w:after="40"/>
        <w:ind w:left="360" w:hanging="288"/>
      </w:pPr>
      <w:r>
        <w:rPr>
          <w:b/>
          <w:color w:val="1F2933"/>
          <w:sz w:val="19"/>
        </w:rPr>
        <w:t xml:space="preserve">6. </w:t>
      </w:r>
      <w:r>
        <w:rPr>
          <w:color w:val="1F2933"/>
          <w:sz w:val="19"/>
        </w:rPr>
        <w:t>Transferirlo a otra facility.</w:t>
      </w:r>
    </w:p>
    <w:p>
      <w:pPr>
        <w:spacing w:after="40"/>
        <w:ind w:left="360" w:hanging="288"/>
      </w:pPr>
      <w:r>
        <w:rPr>
          <w:b/>
          <w:color w:val="1F2933"/>
          <w:sz w:val="19"/>
        </w:rPr>
        <w:t xml:space="preserve">7. </w:t>
      </w:r>
      <w:r>
        <w:rPr>
          <w:color w:val="1F2933"/>
          <w:sz w:val="19"/>
        </w:rPr>
        <w:t>Marcarlo disponible.</w:t>
      </w:r>
    </w:p>
    <w:p>
      <w:pPr>
        <w:spacing w:after="40"/>
        <w:ind w:left="360" w:hanging="288"/>
      </w:pPr>
      <w:r>
        <w:rPr>
          <w:b/>
          <w:color w:val="1F2933"/>
          <w:sz w:val="19"/>
        </w:rPr>
        <w:t xml:space="preserve">8. </w:t>
      </w:r>
      <w:r>
        <w:rPr>
          <w:color w:val="1F2933"/>
          <w:sz w:val="19"/>
        </w:rPr>
        <w:t>Emitir factura.</w:t>
      </w:r>
    </w:p>
    <w:p>
      <w:pPr>
        <w:spacing w:after="40"/>
        <w:ind w:left="360" w:hanging="288"/>
      </w:pPr>
      <w:r>
        <w:rPr>
          <w:b/>
          <w:color w:val="1F2933"/>
          <w:sz w:val="19"/>
        </w:rPr>
        <w:t xml:space="preserve">9. </w:t>
      </w:r>
      <w:r>
        <w:rPr>
          <w:color w:val="1F2933"/>
          <w:sz w:val="19"/>
        </w:rPr>
        <w:t>Confirmar y asignar pago.</w:t>
      </w:r>
    </w:p>
    <w:p>
      <w:pPr>
        <w:spacing w:after="40"/>
        <w:ind w:left="360" w:hanging="288"/>
      </w:pPr>
      <w:r>
        <w:rPr>
          <w:b/>
          <w:color w:val="1F2933"/>
          <w:sz w:val="19"/>
        </w:rPr>
        <w:t xml:space="preserve">10. </w:t>
      </w:r>
      <w:r>
        <w:rPr>
          <w:color w:val="1F2933"/>
          <w:sz w:val="19"/>
        </w:rPr>
        <w:t>Retirar paquete y consultar tracking.</w:t>
      </w:r>
    </w:p>
    <w:p>
      <w:pPr>
        <w:pStyle w:val="Heading2"/>
        <w:keepNext/>
        <w:spacing w:before="160" w:after="80"/>
      </w:pPr>
      <w:r>
        <w:t>16.4 Prueba crítica de seguridad</w:t>
      </w:r>
    </w:p>
    <w:p>
      <w:pPr>
        <w:spacing w:after="80" w:line="252" w:lineRule="auto"/>
      </w:pPr>
      <w:r>
        <w:rPr>
          <w:color w:val="1F2933"/>
          <w:sz w:val="20"/>
        </w:rPr>
        <w:t>Crear dos organizations con identificadores similares y comprobar que ningún endpoint, exportación, relación, error o log de usuario expone datos del tenant contrario.</w:t>
      </w:r>
    </w:p>
    <w:p>
      <w:pPr>
        <w:pStyle w:val="Heading1"/>
        <w:keepNext/>
        <w:pBdr>
          <w:bottom w:val="single" w:sz="8" w:space="1" w:color="A9BBC9"/>
        </w:pBdr>
        <w:spacing w:before="240" w:after="140"/>
      </w:pPr>
      <w:r>
        <w:t>17. Plan de implementación con Codex</w:t>
      </w:r>
    </w:p>
    <w:p>
      <w:pPr>
        <w:pStyle w:val="Heading2"/>
        <w:keepNext/>
        <w:spacing w:before="160" w:after="80"/>
      </w:pPr>
      <w:r>
        <w:t>17.1 Forma de trabajo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2933"/>
                <w:sz w:val="16"/>
              </w:rPr>
              <w:t>Planificar → implementar una tarea pequeña → ejecutar pruebas</w:t>
            </w:r>
            <w:r>
              <w:br/>
            </w:r>
            <w:r>
              <w:rPr>
                <w:rFonts w:ascii="Consolas" w:hAnsi="Consolas"/>
                <w:color w:val="1F2933"/>
                <w:sz w:val="16"/>
              </w:rPr>
              <w:t>→ revisar diff → corregir → commit → siguiente tarea</w:t>
            </w:r>
          </w:p>
        </w:tc>
      </w:tr>
    </w:tbl>
    <w:p>
      <w:pPr>
        <w:spacing w:after="0"/>
      </w:pPr>
    </w:p>
    <w:p>
      <w:pPr>
        <w:spacing w:after="80" w:line="252" w:lineRule="auto"/>
      </w:pPr>
      <w:r>
        <w:rPr>
          <w:color w:val="1F2933"/>
          <w:sz w:val="20"/>
        </w:rPr>
        <w:t xml:space="preserve">Codex debe leer </w:t>
      </w:r>
      <w:r>
        <w:rPr>
          <w:rFonts w:ascii="Consolas" w:hAnsi="Consolas"/>
          <w:color w:val="1F2933"/>
          <w:sz w:val="20"/>
        </w:rPr>
        <w:t>AGENTS.md</w:t>
      </w:r>
      <w:r>
        <w:rPr>
          <w:color w:val="1F2933"/>
          <w:sz w:val="20"/>
        </w:rPr>
        <w:t xml:space="preserve"> y los documentos de </w:t>
      </w:r>
      <w:r>
        <w:rPr>
          <w:rFonts w:ascii="Consolas" w:hAnsi="Consolas"/>
          <w:color w:val="1F2933"/>
          <w:sz w:val="20"/>
        </w:rPr>
        <w:t>docs/</w:t>
      </w:r>
      <w:r>
        <w:rPr>
          <w:color w:val="1F2933"/>
          <w:sz w:val="20"/>
        </w:rPr>
        <w:t xml:space="preserve"> antes de modificar código. No se le debe pedir construir el sistema completo en una sola instrucción.</w:t>
      </w:r>
    </w:p>
    <w:p>
      <w:pPr>
        <w:pStyle w:val="Heading2"/>
        <w:keepNext/>
        <w:spacing w:before="160" w:after="80"/>
      </w:pPr>
      <w:r>
        <w:t>17.2 Fases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173F6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  <w:t>Fase</w:t>
            </w:r>
          </w:p>
        </w:tc>
        <w:tc>
          <w:tcPr>
            <w:tcW w:type="dxa" w:w="7200"/>
            <w:shd w:fill="173F6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  <w:t>Resultado verificable</w:t>
            </w:r>
          </w:p>
        </w:tc>
      </w:tr>
      <w:tr>
        <w:tc>
          <w:tcPr>
            <w:tcW w:type="dxa" w:w="288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0 · Infraestructura</w:t>
            </w:r>
          </w:p>
        </w:tc>
        <w:tc>
          <w:tcPr>
            <w:tcW w:type="dxa" w:w="720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Monorepo, PostgreSQL Docker, health, lint, tipos, pruebas y build.</w:t>
            </w:r>
          </w:p>
        </w:tc>
      </w:tr>
      <w:tr>
        <w:tc>
          <w:tcPr>
            <w:tcW w:type="dxa" w:w="2880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1 · Tenant y auth</w:t>
            </w:r>
          </w:p>
        </w:tc>
        <w:tc>
          <w:tcPr>
            <w:tcW w:type="dxa" w:w="7200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Organizations, sesiones, empleados, facilities y aislamiento.</w:t>
            </w:r>
          </w:p>
        </w:tc>
      </w:tr>
      <w:tr>
        <w:tc>
          <w:tcPr>
            <w:tcW w:type="dxa" w:w="288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2 · Primer corte vertical</w:t>
            </w:r>
          </w:p>
        </w:tc>
        <w:tc>
          <w:tcPr>
            <w:tcW w:type="dxa" w:w="720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Cliente, carrier, servicio, paquete, ubicación, estado y tracking.</w:t>
            </w:r>
          </w:p>
        </w:tc>
      </w:tr>
      <w:tr>
        <w:tc>
          <w:tcPr>
            <w:tcW w:type="dxa" w:w="2880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3 · Red interna</w:t>
            </w:r>
          </w:p>
        </w:tc>
        <w:tc>
          <w:tcPr>
            <w:tcW w:type="dxa" w:w="7200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Transferencias, escaneos y discrepancias.</w:t>
            </w:r>
          </w:p>
        </w:tc>
      </w:tr>
      <w:tr>
        <w:tc>
          <w:tcPr>
            <w:tcW w:type="dxa" w:w="288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4 · Monetización operativa</w:t>
            </w:r>
          </w:p>
        </w:tc>
        <w:tc>
          <w:tcPr>
            <w:tcW w:type="dxa" w:w="720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Tarifas, facturas, pagos, saldos y retiro.</w:t>
            </w:r>
          </w:p>
        </w:tc>
      </w:tr>
      <w:tr>
        <w:tc>
          <w:tcPr>
            <w:tcW w:type="dxa" w:w="2880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5 · Portal y piloto</w:t>
            </w:r>
          </w:p>
        </w:tc>
        <w:tc>
          <w:tcPr>
            <w:tcW w:type="dxa" w:w="7200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Portal, backoffice, etiquetas, importación y capacitación.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t>17.3 Definición de terminado</w:t>
      </w:r>
    </w:p>
    <w:p>
      <w:pPr>
        <w:spacing w:after="80" w:line="252" w:lineRule="auto"/>
      </w:pPr>
      <w:r>
        <w:rPr>
          <w:color w:val="1F2933"/>
          <w:sz w:val="20"/>
        </w:rPr>
        <w:t>Una tarea está terminada cuando cumple criterios de aceptación, incluye pruebas, mantiene aislamiento, pasa lint/tipos/test/build y actualiza documentación pertinente.</w:t>
      </w:r>
    </w:p>
    <w:p>
      <w:pPr>
        <w:pStyle w:val="Heading1"/>
        <w:keepNext/>
        <w:pBdr>
          <w:bottom w:val="single" w:sz="8" w:space="1" w:color="A9BBC9"/>
        </w:pBdr>
        <w:spacing w:before="240" w:after="140"/>
      </w:pPr>
      <w:r>
        <w:t>18. Roadmap y paso a producción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251960" cy="580930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5809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color w:val="66727F"/>
          <w:sz w:val="16"/>
        </w:rPr>
        <w:t>Flujo de despliegue</w:t>
      </w:r>
    </w:p>
    <w:p>
      <w:pPr>
        <w:pStyle w:val="Heading2"/>
        <w:keepNext/>
        <w:spacing w:before="160" w:after="80"/>
      </w:pPr>
      <w:r>
        <w:t>18.1 Roadmap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173F6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  <w:t>Fase</w:t>
            </w:r>
          </w:p>
        </w:tc>
        <w:tc>
          <w:tcPr>
            <w:tcW w:type="dxa" w:w="7200"/>
            <w:shd w:fill="173F6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  <w:t>Contenido</w:t>
            </w:r>
          </w:p>
        </w:tc>
      </w:tr>
      <w:tr>
        <w:tc>
          <w:tcPr>
            <w:tcW w:type="dxa" w:w="288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Descubrimiento</w:t>
            </w:r>
          </w:p>
        </w:tc>
        <w:tc>
          <w:tcPr>
            <w:tcW w:type="dxa" w:w="720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Validar operación real con 1–2 couriers.</w:t>
            </w:r>
          </w:p>
        </w:tc>
      </w:tr>
      <w:tr>
        <w:tc>
          <w:tcPr>
            <w:tcW w:type="dxa" w:w="2880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Fundamentos</w:t>
            </w:r>
          </w:p>
        </w:tc>
        <w:tc>
          <w:tcPr>
            <w:tcW w:type="dxa" w:w="7200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Monorepo, Docker, PostgreSQL, Prisma, CI y observabilidad.</w:t>
            </w:r>
          </w:p>
        </w:tc>
      </w:tr>
      <w:tr>
        <w:tc>
          <w:tcPr>
            <w:tcW w:type="dxa" w:w="288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Núcleo SaaS</w:t>
            </w:r>
          </w:p>
        </w:tc>
        <w:tc>
          <w:tcPr>
            <w:tcW w:type="dxa" w:w="720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Organizations, facilities, auth y empleados.</w:t>
            </w:r>
          </w:p>
        </w:tc>
      </w:tr>
      <w:tr>
        <w:tc>
          <w:tcPr>
            <w:tcW w:type="dxa" w:w="2880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Operación</w:t>
            </w:r>
          </w:p>
        </w:tc>
        <w:tc>
          <w:tcPr>
            <w:tcW w:type="dxa" w:w="7200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Clientes, servicios, paquetes, inventario y tracking.</w:t>
            </w:r>
          </w:p>
        </w:tc>
      </w:tr>
      <w:tr>
        <w:tc>
          <w:tcPr>
            <w:tcW w:type="dxa" w:w="288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Red interna</w:t>
            </w:r>
          </w:p>
        </w:tc>
        <w:tc>
          <w:tcPr>
            <w:tcW w:type="dxa" w:w="720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Manifiestos y transferencias.</w:t>
            </w:r>
          </w:p>
        </w:tc>
      </w:tr>
      <w:tr>
        <w:tc>
          <w:tcPr>
            <w:tcW w:type="dxa" w:w="2880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Finanzas</w:t>
            </w:r>
          </w:p>
        </w:tc>
        <w:tc>
          <w:tcPr>
            <w:tcW w:type="dxa" w:w="7200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Tarifas, facturas, pagos y retiro.</w:t>
            </w:r>
          </w:p>
        </w:tc>
      </w:tr>
      <w:tr>
        <w:tc>
          <w:tcPr>
            <w:tcW w:type="dxa" w:w="288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Piloto</w:t>
            </w:r>
          </w:p>
        </w:tc>
        <w:tc>
          <w:tcPr>
            <w:tcW w:type="dxa" w:w="720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Migración inicial, capacitación y métricas.</w:t>
            </w:r>
          </w:p>
        </w:tc>
      </w:tr>
      <w:tr>
        <w:tc>
          <w:tcPr>
            <w:tcW w:type="dxa" w:w="2880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Automatización</w:t>
            </w:r>
          </w:p>
        </w:tc>
        <w:tc>
          <w:tcPr>
            <w:tcW w:type="dxa" w:w="7200"/>
            <w:shd w:fill="F5F8FA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Correo, PWA, importaciones e integraciones.</w:t>
            </w:r>
          </w:p>
        </w:tc>
      </w:tr>
      <w:tr>
        <w:tc>
          <w:tcPr>
            <w:tcW w:type="dxa" w:w="288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Expansión</w:t>
            </w:r>
          </w:p>
        </w:tc>
        <w:tc>
          <w:tcPr>
            <w:tcW w:type="dxa" w:w="720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color w:val="1F2933"/>
                <w:sz w:val="16"/>
              </w:rPr>
              <w:t>RLS, permisos dinámicos, agencias y última milla.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t>18.2 Secuencia de despliegue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2933"/>
                <w:sz w:val="16"/>
              </w:rPr>
              <w:t>Backup o snapshot</w:t>
            </w:r>
            <w:r>
              <w:br/>
            </w:r>
            <w:r>
              <w:rPr>
                <w:rFonts w:ascii="Consolas" w:hAnsi="Consolas"/>
                <w:color w:val="1F2933"/>
                <w:sz w:val="16"/>
              </w:rPr>
              <w:t xml:space="preserve">  → prisma migrate deploy</w:t>
            </w:r>
            <w:r>
              <w:br/>
            </w:r>
            <w:r>
              <w:rPr>
                <w:rFonts w:ascii="Consolas" w:hAnsi="Consolas"/>
                <w:color w:val="1F2933"/>
                <w:sz w:val="16"/>
              </w:rPr>
              <w:t xml:space="preserve">  → desplegar API</w:t>
            </w:r>
            <w:r>
              <w:br/>
            </w:r>
            <w:r>
              <w:rPr>
                <w:rFonts w:ascii="Consolas" w:hAnsi="Consolas"/>
                <w:color w:val="1F2933"/>
                <w:sz w:val="16"/>
              </w:rPr>
              <w:t xml:space="preserve">  → desplegar web</w:t>
            </w:r>
            <w:r>
              <w:br/>
            </w:r>
            <w:r>
              <w:rPr>
                <w:rFonts w:ascii="Consolas" w:hAnsi="Consolas"/>
                <w:color w:val="1F2933"/>
                <w:sz w:val="16"/>
              </w:rPr>
              <w:t xml:space="preserve">  → verificar healthchecks</w:t>
            </w:r>
            <w:r>
              <w:br/>
            </w:r>
            <w:r>
              <w:rPr>
                <w:rFonts w:ascii="Consolas" w:hAnsi="Consolas"/>
                <w:color w:val="1F2933"/>
                <w:sz w:val="16"/>
              </w:rPr>
              <w:t xml:space="preserve">  → ejecutar smoke tests</w:t>
            </w:r>
            <w:r>
              <w:br/>
            </w:r>
            <w:r>
              <w:rPr>
                <w:rFonts w:ascii="Consolas" w:hAnsi="Consolas"/>
                <w:color w:val="1F2933"/>
                <w:sz w:val="16"/>
              </w:rPr>
              <w:t xml:space="preserve">  → monitorear errores y latencia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t>18.3 Criterios para producción</w:t>
      </w:r>
    </w:p>
    <w:p>
      <w:pPr>
        <w:pStyle w:val="ListBullet"/>
        <w:spacing w:after="40"/>
      </w:pPr>
      <w:r>
        <w:rPr>
          <w:color w:val="1F2933"/>
          <w:sz w:val="19"/>
        </w:rPr>
        <w:t>Aislamiento multi-tenant aprobado.</w:t>
      </w:r>
    </w:p>
    <w:p>
      <w:pPr>
        <w:pStyle w:val="ListBullet"/>
        <w:spacing w:after="40"/>
      </w:pPr>
      <w:r>
        <w:rPr>
          <w:color w:val="1F2933"/>
          <w:sz w:val="19"/>
        </w:rPr>
        <w:t>Restauración de backup comprobada.</w:t>
      </w:r>
    </w:p>
    <w:p>
      <w:pPr>
        <w:pStyle w:val="ListBullet"/>
        <w:spacing w:after="40"/>
      </w:pPr>
      <w:r>
        <w:rPr>
          <w:color w:val="1F2933"/>
          <w:sz w:val="19"/>
        </w:rPr>
        <w:t>Concurrencia de facturación y pagos validada.</w:t>
      </w:r>
    </w:p>
    <w:p>
      <w:pPr>
        <w:pStyle w:val="ListBullet"/>
        <w:spacing w:after="40"/>
      </w:pPr>
      <w:r>
        <w:rPr>
          <w:color w:val="1F2933"/>
          <w:sz w:val="19"/>
        </w:rPr>
        <w:t>Recepción y escaneo con tiempos aceptables.</w:t>
      </w:r>
    </w:p>
    <w:p>
      <w:pPr>
        <w:pStyle w:val="ListBullet"/>
        <w:spacing w:after="40"/>
      </w:pPr>
      <w:r>
        <w:rPr>
          <w:color w:val="1F2933"/>
          <w:sz w:val="19"/>
        </w:rPr>
        <w:t>Auditoría suficiente para reconstruir operaciones.</w:t>
      </w:r>
    </w:p>
    <w:p>
      <w:pPr>
        <w:pStyle w:val="ListBullet"/>
        <w:spacing w:after="40"/>
      </w:pPr>
      <w:r>
        <w:rPr>
          <w:color w:val="1F2933"/>
          <w:sz w:val="19"/>
        </w:rPr>
        <w:t>Políticas de privacidad, retención y soporte definidas.</w:t>
      </w:r>
    </w:p>
    <w:p>
      <w:pPr>
        <w:pStyle w:val="ListBullet"/>
        <w:spacing w:after="40"/>
      </w:pPr>
      <w:r>
        <w:rPr>
          <w:color w:val="1F2933"/>
          <w:sz w:val="19"/>
        </w:rPr>
        <w:t>Cumplimiento fiscal validado.</w:t>
      </w:r>
    </w:p>
    <w:p>
      <w:pPr>
        <w:pStyle w:val="ListBullet"/>
        <w:spacing w:after="40"/>
      </w:pPr>
      <w:r>
        <w:rPr>
          <w:color w:val="1F2933"/>
          <w:sz w:val="19"/>
        </w:rPr>
        <w:t>Staging equivalente a producción.</w:t>
      </w:r>
    </w:p>
    <w:p>
      <w:pPr>
        <w:pStyle w:val="Heading1"/>
        <w:keepNext/>
        <w:pBdr>
          <w:bottom w:val="single" w:sz="8" w:space="1" w:color="A9BBC9"/>
        </w:pBdr>
        <w:spacing w:before="240" w:after="140"/>
      </w:pPr>
      <w:r>
        <w:t>19. Decisión final</w:t>
      </w:r>
    </w:p>
    <w:p>
      <w:pPr>
        <w:spacing w:after="80" w:line="252" w:lineRule="auto"/>
      </w:pPr>
      <w:r>
        <w:rPr>
          <w:color w:val="1F2933"/>
          <w:sz w:val="20"/>
        </w:rPr>
        <w:t>El Modelo A+ v0.2 es una base sólida para iniciar el desarrollo de un SaaS de courier en República Dominicana. Cada empresa es un tenant aislado y puede administrar una red interna de facilities sin reconstruir el dominio.</w:t>
      </w:r>
    </w:p>
    <w:p>
      <w:pPr>
        <w:spacing w:after="80" w:line="252" w:lineRule="auto"/>
      </w:pPr>
      <w:r>
        <w:rPr>
          <w:color w:val="1F2933"/>
          <w:sz w:val="20"/>
        </w:rPr>
        <w:t>La combinación Next.js, NestJS, Prisma, PostgreSQL, pnpm, Turborepo y Docker es equilibrada. Permite desarrollar rápido, mantener reglas críticas en un backend transaccional y preparar despliegues reproducibles sin introducir microservicios.</w:t>
      </w:r>
    </w:p>
    <w:p>
      <w:pPr>
        <w:spacing w:after="80" w:line="252" w:lineRule="auto"/>
      </w:pPr>
      <w:r>
        <w:rPr>
          <w:color w:val="1F2933"/>
          <w:sz w:val="20"/>
        </w:rPr>
        <w:t>La versión v0.2 cierra las decisiones pendientes más importantes: servicios configurables, tracking normalizado, estado único de organization, líneas de factura coherentes, pagos simplificados, protección posterior a emisión y estrategia Docker.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4F8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left w:val="single" w:sz="22" w:color="2C5F8A"/>
            </w:tcBorders>
          </w:tcPr>
          <w:p>
            <w:r>
              <w:rPr>
                <w:b/>
                <w:color w:val="2C5F8A"/>
                <w:sz w:val="20"/>
              </w:rPr>
              <w:t>Nota</w:t>
            </w:r>
          </w:p>
          <w:p>
            <w:pPr>
              <w:spacing w:after="0"/>
            </w:pPr>
            <w:r>
              <w:rPr>
                <w:color w:val="1F2933"/>
                <w:sz w:val="18"/>
              </w:rPr>
              <w:t>Recomendación ejecutiva: congelar esta versión como línea base, iniciar la Fase 0 y construir primero el corte vertical desde organization hasta tracking. Reducir funciones es aceptable; debilitar aislamiento, trazabilidad o integridad financiera no lo es.</w:t>
            </w:r>
          </w:p>
        </w:tc>
      </w:tr>
    </w:tbl>
    <w:p>
      <w:pPr>
        <w:spacing w:after="0"/>
      </w:pPr>
    </w:p>
    <w:p>
      <w:pPr>
        <w:pStyle w:val="Heading1"/>
        <w:keepNext/>
        <w:pBdr>
          <w:bottom w:val="single" w:sz="8" w:space="1" w:color="A9BBC9"/>
        </w:pBdr>
        <w:spacing w:before="240" w:after="140"/>
      </w:pPr>
      <w:r>
        <w:t>Entregables asociados</w:t>
      </w:r>
    </w:p>
    <w:p>
      <w:pPr>
        <w:pStyle w:val="ListBullet"/>
        <w:spacing w:after="40"/>
      </w:pPr>
      <w:r>
        <w:rPr>
          <w:color w:val="1F2933"/>
          <w:sz w:val="19"/>
        </w:rPr>
        <w:t>Documento DOCX y Markdown de ingeniería inversa v0.2.</w:t>
      </w:r>
    </w:p>
    <w:p>
      <w:pPr>
        <w:pStyle w:val="ListBullet"/>
        <w:spacing w:after="40"/>
      </w:pPr>
      <w:r>
        <w:rPr>
          <w:color w:val="1F2933"/>
          <w:sz w:val="19"/>
        </w:rPr>
        <w:t>Esquema PostgreSQL v0.2.</w:t>
      </w:r>
    </w:p>
    <w:p>
      <w:pPr>
        <w:pStyle w:val="ListBullet"/>
        <w:spacing w:after="40"/>
      </w:pPr>
      <w:r>
        <w:rPr>
          <w:color w:val="1F2933"/>
          <w:sz w:val="19"/>
        </w:rPr>
        <w:t>Guías de desarrollo, Docker, despliegue y base de datos.</w:t>
      </w:r>
    </w:p>
    <w:p>
      <w:pPr>
        <w:pStyle w:val="ListBullet"/>
        <w:spacing w:after="40"/>
      </w:pPr>
      <w:r>
        <w:rPr>
          <w:rFonts w:ascii="Consolas" w:hAnsi="Consolas"/>
          <w:color w:val="1F2933"/>
          <w:sz w:val="19"/>
        </w:rPr>
        <w:t>AGENTS.md</w:t>
      </w:r>
      <w:r>
        <w:rPr>
          <w:color w:val="1F2933"/>
          <w:sz w:val="19"/>
        </w:rPr>
        <w:t xml:space="preserve"> para trabajar con Codex.</w:t>
      </w:r>
    </w:p>
    <w:p>
      <w:pPr>
        <w:pStyle w:val="ListBullet"/>
        <w:spacing w:after="40"/>
      </w:pPr>
      <w:r>
        <w:rPr>
          <w:color w:val="1F2933"/>
          <w:sz w:val="19"/>
        </w:rPr>
        <w:t>ADRs de las decisiones arquitectónicas principales.</w:t>
      </w:r>
    </w:p>
    <w:p>
      <w:pPr>
        <w:pStyle w:val="ListBullet"/>
        <w:spacing w:after="40"/>
      </w:pPr>
      <w:r>
        <w:rPr>
          <w:color w:val="1F2933"/>
          <w:sz w:val="19"/>
        </w:rPr>
        <w:t>Plantillas iniciales de Docker Compose y variables de entorno.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27F"/>
        <w:sz w:val="16"/>
      </w:rPr>
      <w:t xml:space="preserve">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727F"/>
        <w:sz w:val="16"/>
      </w:rPr>
      <w:t>COURIER SaaS · MODELO A+ · MVP v0.2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29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F6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C5F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29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F67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i/>
      <w:iCs/>
      <w:color w:val="2C5F8A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Ingeniería inversa y rediseño · Courier SaaS Modelo A+ v0.2</dc:title>
  <dc:subject>Arquitectura, base de datos, Docker y plan de implementación</dc:subject>
  <dc:creator>Carlos Manuel Feliciano Castillo</dc:creator>
  <cp:keywords>Courier, SaaS, Next.js, NestJS, Prisma, PostgreSQL, Docker, multi-tenant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