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rFonts w:ascii="Arial" w:cs="Arial" w:eastAsia="Arial" w:hAnsi="Arial"/>
          <w:b/>
          <w:bCs/>
          <w:color w:val="1A1A1A"/>
          <w:sz w:val="44"/>
          <w:szCs w:val="44"/>
        </w:rPr>
        <w:t xml:space="preserve">THE INNOVATION PULSE</w:t>
      </w:r>
    </w:p>
    <w:p>
      <w:pPr>
        <w:spacing w:after="200"/>
        <w:jc w:val="center"/>
      </w:pPr>
      <w:r>
        <w:rPr>
          <w:rFonts w:ascii="Arial" w:cs="Arial" w:eastAsia="Arial" w:hAnsi="Arial"/>
          <w:color w:val="666666"/>
          <w:sz w:val="30"/>
          <w:szCs w:val="30"/>
        </w:rPr>
        <w:t xml:space="preserve">Search Criteria &amp; Category Playbook</w:t>
      </w:r>
    </w:p>
    <w:p>
      <w:pPr>
        <w:pBdr>
          <w:top w:val="single" w:color="00D4FF" w:sz="2" w:space="12"/>
          <w:bottom w:val="single" w:color="C850C0" w:sz="2" w:space="12"/>
        </w:pBdr>
        <w:spacing w:before="200" w:after="200"/>
        <w:jc w:val="center"/>
      </w:pPr>
      <w:r>
        <w:rPr>
          <w:rFonts w:ascii="Arial" w:cs="Arial" w:eastAsia="Arial" w:hAnsi="Arial"/>
          <w:i/>
          <w:iCs/>
          <w:color w:val="666666"/>
          <w:sz w:val="22"/>
          <w:szCs w:val="22"/>
        </w:rPr>
        <w:t xml:space="preserve">The definitive guide for automated news gathering, story classification, and editorial standards for the Innovation Pulse daily briefing on Innovating Higher Ed.</w:t>
      </w:r>
    </w:p>
    <w:p>
      <w:pPr>
        <w:spacing w:before="100"/>
        <w:jc w:val="center"/>
      </w:pPr>
      <w:r>
        <w:rPr>
          <w:rFonts w:ascii="JetBrains Mono" w:cs="JetBrains Mono" w:eastAsia="JetBrains Mono" w:hAnsi="JetBrains Mono"/>
          <w:color w:val="999999"/>
          <w:sz w:val="18"/>
          <w:szCs w:val="18"/>
        </w:rPr>
        <w:t xml:space="preserve">Version 2.0  ·  February 2026</w:t>
      </w:r>
    </w:p>
    <w:p>
      <w:pPr>
        <w:spacing w:before="40" w:after="600"/>
        <w:jc w:val="center"/>
      </w:pPr>
      <w:r>
        <w:rPr>
          <w:rFonts w:ascii="Arial" w:cs="Arial" w:eastAsia="Arial" w:hAnsi="Arial"/>
          <w:color w:val="999999"/>
          <w:sz w:val="20"/>
          <w:szCs w:val="20"/>
        </w:rPr>
        <w:t xml:space="preserve">Prepared for Dr. Norma Jones &amp; CalTex</w:t>
      </w:r>
    </w:p>
    <w:p>
      <w:r>
        <w:br w:type="page"/>
      </w:r>
    </w:p>
    <w:p>
      <w:pPr>
        <w:pStyle w:val="Heading1"/>
      </w:pPr>
      <w:r>
        <w:rPr>
          <w:rFonts w:ascii="Arial" w:cs="Arial" w:eastAsia="Arial" w:hAnsi="Arial"/>
        </w:rPr>
        <w:t xml:space="preserve">Overview</w:t>
      </w:r>
    </w:p>
    <w:p>
      <w:pPr>
        <w:spacing w:before="60" w:after="60"/>
      </w:pPr>
      <w:r>
        <w:rPr>
          <w:rFonts w:ascii="Arial" w:cs="Arial" w:eastAsia="Arial" w:hAnsi="Arial"/>
          <w:color w:val="333333"/>
          <w:sz w:val="20"/>
          <w:szCs w:val="20"/>
        </w:rPr>
        <w:t xml:space="preserve">This document defines the search criteria, classification rules, and editorial standards for each Innovation Pulse content category. It serves as the playbook for both the automated news-gathering pipeline (ihe-tools-server) and manual editorial curation.</w:t>
      </w:r>
    </w:p>
    <w:p>
      <w:pPr>
        <w:spacing w:before="60" w:after="60"/>
      </w:pPr>
      <w:r>
        <w:rPr>
          <w:rFonts w:ascii="Arial" w:cs="Arial" w:eastAsia="Arial" w:hAnsi="Arial"/>
          <w:color w:val="333333"/>
          <w:sz w:val="20"/>
          <w:szCs w:val="20"/>
        </w:rPr>
        <w:t xml:space="preserve">Each category includes: a definition of what belongs, specific search terms for the automation, priority sources to monitor, badge display rules, and examples of qualifying stories.</w:t>
      </w:r>
    </w:p>
    <w:p>
      <w:pPr>
        <w:spacing w:before="60" w:after="60"/>
      </w:pPr>
      <w:r>
        <w:rPr>
          <w:rFonts w:ascii="Arial" w:cs="Arial" w:eastAsia="Arial" w:hAnsi="Arial"/>
          <w:color w:val="333333"/>
          <w:sz w:val="20"/>
          <w:szCs w:val="20"/>
        </w:rPr>
        <w:t xml:space="preserve">Stories about students are NOT a separate category. Student-focused stories are classified by content type: a study on student AI anxiety is Insights &amp; Trends, a campus AI tutor deployment is a Case Study, a tip for students using AI for research is Practical Tips. Student stories can be tagged with a secondary [STUDENT] label for filtering.</w:t>
      </w:r>
    </w:p>
    <w:p>
      <w:pPr>
        <w:spacing w:before="300"/>
      </w:pPr>
    </w:p>
    <w:p>
      <w:pPr>
        <w:spacing w:before="240" w:after="80"/>
      </w:pPr>
      <w:r>
        <w:rPr>
          <w:rFonts w:ascii="Arial" w:cs="Arial" w:eastAsia="Arial" w:hAnsi="Arial"/>
          <w:b/>
          <w:bCs/>
          <w:color w:val="333333"/>
          <w:sz w:val="22"/>
          <w:szCs w:val="22"/>
        </w:rPr>
        <w:t xml:space="preserve">Category Quick Reference</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333333" w:sz="1"/>
              <w:left w:val="single" w:color="333333" w:sz="1"/>
              <w:bottom w:val="single" w:color="333333" w:sz="1"/>
              <w:right w:val="single" w:color="333333" w:sz="1"/>
            </w:tcBorders>
            <w:shd w:fill="F0F0F5"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1600"/>
            <w:tcBorders>
              <w:top w:val="single" w:color="333333" w:sz="1"/>
              <w:left w:val="single" w:color="333333" w:sz="1"/>
              <w:bottom w:val="single" w:color="333333" w:sz="1"/>
              <w:right w:val="single" w:color="333333" w:sz="1"/>
            </w:tcBorders>
            <w:shd w:fill="F0F0F5" w:val="clear"/>
            <w:tcMar>
              <w:top w:type="dxa" w:w="60"/>
              <w:left w:type="dxa" w:w="100"/>
              <w:bottom w:type="dxa" w:w="60"/>
              <w:right w:type="dxa" w:w="100"/>
            </w:tcMar>
          </w:tcPr>
          <w:p>
            <w:r>
              <w:rPr>
                <w:rFonts w:ascii="Arial" w:cs="Arial" w:eastAsia="Arial" w:hAnsi="Arial"/>
                <w:b/>
                <w:bCs/>
                <w:sz w:val="18"/>
                <w:szCs w:val="18"/>
              </w:rPr>
              <w:t xml:space="preserve">Badge / Color</w:t>
            </w:r>
          </w:p>
        </w:tc>
        <w:tc>
          <w:tcPr>
            <w:tcW w:type="dxa" w:w="5560"/>
            <w:tcBorders>
              <w:top w:val="single" w:color="333333" w:sz="1"/>
              <w:left w:val="single" w:color="333333" w:sz="1"/>
              <w:bottom w:val="single" w:color="333333" w:sz="1"/>
              <w:right w:val="single" w:color="333333" w:sz="1"/>
            </w:tcBorders>
            <w:shd w:fill="F0F0F5" w:val="clear"/>
            <w:tcMar>
              <w:top w:type="dxa" w:w="60"/>
              <w:left w:type="dxa" w:w="100"/>
              <w:bottom w:type="dxa" w:w="60"/>
              <w:right w:type="dxa" w:w="100"/>
            </w:tcMar>
          </w:tcPr>
          <w:p>
            <w:r>
              <w:rPr>
                <w:rFonts w:ascii="Arial" w:cs="Arial" w:eastAsia="Arial" w:hAnsi="Arial"/>
                <w:b/>
                <w:bCs/>
                <w:sz w:val="18"/>
                <w:szCs w:val="18"/>
              </w:rPr>
              <w:t xml:space="preserve">What Belongs Here</w:t>
            </w:r>
          </w:p>
        </w:tc>
      </w:tr>
      <w:tr>
        <w:tc>
          <w:tcPr>
            <w:tcW w:type="dxa" w:w="22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8B5CF6"/>
                <w:sz w:val="20"/>
                <w:szCs w:val="20"/>
              </w:rPr>
              <w:t xml:space="preserve">●</w:t>
            </w:r>
            <w:r>
              <w:rPr>
                <w:rFonts w:ascii="Arial" w:cs="Arial" w:eastAsia="Arial" w:hAnsi="Arial"/>
                <w:b/>
                <w:bCs/>
                <w:sz w:val="18"/>
                <w:szCs w:val="18"/>
              </w:rPr>
              <w:t xml:space="preserve"> Insights &amp; Trends</w:t>
            </w:r>
          </w:p>
        </w:tc>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JetBrains Mono" w:cs="JetBrains Mono" w:eastAsia="JetBrains Mono" w:hAnsi="JetBrains Mono"/>
                <w:color w:val="8B5CF6"/>
                <w:sz w:val="16"/>
                <w:szCs w:val="16"/>
              </w:rPr>
              <w:t xml:space="preserve">INSIGHTS</w:t>
            </w:r>
          </w:p>
        </w:tc>
        <w:tc>
          <w:tcPr>
            <w:tcW w:type="dxa" w:w="55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8"/>
                <w:szCs w:val="18"/>
              </w:rPr>
              <w:t xml:space="preserve">Big-picture analysis, research findings, surveys, adoption data, enrollment/policy trends</w:t>
            </w:r>
          </w:p>
        </w:tc>
      </w:tr>
      <w:tr>
        <w:tc>
          <w:tcPr>
            <w:tcW w:type="dxa" w:w="22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2EE6A8"/>
                <w:sz w:val="20"/>
                <w:szCs w:val="20"/>
              </w:rPr>
              <w:t xml:space="preserve">●</w:t>
            </w:r>
            <w:r>
              <w:rPr>
                <w:rFonts w:ascii="Arial" w:cs="Arial" w:eastAsia="Arial" w:hAnsi="Arial"/>
                <w:b/>
                <w:bCs/>
                <w:sz w:val="18"/>
                <w:szCs w:val="18"/>
              </w:rPr>
              <w:t xml:space="preserve"> Beyond Ed — AI World</w:t>
            </w:r>
          </w:p>
        </w:tc>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JetBrains Mono" w:cs="JetBrains Mono" w:eastAsia="JetBrains Mono" w:hAnsi="JetBrains Mono"/>
                <w:color w:val="2EE6A8"/>
                <w:sz w:val="16"/>
                <w:szCs w:val="16"/>
              </w:rPr>
              <w:t xml:space="preserve">BEYOND ED</w:t>
            </w:r>
          </w:p>
        </w:tc>
        <w:tc>
          <w:tcPr>
            <w:tcW w:type="dxa" w:w="55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8"/>
                <w:szCs w:val="18"/>
              </w:rPr>
              <w:t xml:space="preserve">AI developments OUTSIDE education that will impact academia within 6–12 months</w:t>
            </w:r>
          </w:p>
        </w:tc>
      </w:tr>
      <w:tr>
        <w:tc>
          <w:tcPr>
            <w:tcW w:type="dxa" w:w="22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C850C0"/>
                <w:sz w:val="20"/>
                <w:szCs w:val="20"/>
              </w:rPr>
              <w:t xml:space="preserve">●</w:t>
            </w:r>
            <w:r>
              <w:rPr>
                <w:rFonts w:ascii="Arial" w:cs="Arial" w:eastAsia="Arial" w:hAnsi="Arial"/>
                <w:b/>
                <w:bCs/>
                <w:sz w:val="18"/>
                <w:szCs w:val="18"/>
              </w:rPr>
              <w:t xml:space="preserve"> Latest AI Products</w:t>
            </w:r>
          </w:p>
        </w:tc>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JetBrains Mono" w:cs="JetBrains Mono" w:eastAsia="JetBrains Mono" w:hAnsi="JetBrains Mono"/>
                <w:color w:val="C850C0"/>
                <w:sz w:val="16"/>
                <w:szCs w:val="16"/>
              </w:rPr>
              <w:t xml:space="preserve">PRODUCT</w:t>
            </w:r>
          </w:p>
        </w:tc>
        <w:tc>
          <w:tcPr>
            <w:tcW w:type="dxa" w:w="55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8"/>
                <w:szCs w:val="18"/>
              </w:rPr>
              <w:t xml:space="preserve">New tool launches, major updates, partnerships, pricing changes, acquisitions</w:t>
            </w:r>
          </w:p>
        </w:tc>
      </w:tr>
      <w:tr>
        <w:tc>
          <w:tcPr>
            <w:tcW w:type="dxa" w:w="22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00D4FF"/>
                <w:sz w:val="20"/>
                <w:szCs w:val="20"/>
              </w:rPr>
              <w:t xml:space="preserve">●</w:t>
            </w:r>
            <w:r>
              <w:rPr>
                <w:rFonts w:ascii="Arial" w:cs="Arial" w:eastAsia="Arial" w:hAnsi="Arial"/>
                <w:b/>
                <w:bCs/>
                <w:sz w:val="18"/>
                <w:szCs w:val="18"/>
              </w:rPr>
              <w:t xml:space="preserve"> Tool Spotlight</w:t>
            </w:r>
          </w:p>
        </w:tc>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JetBrains Mono" w:cs="JetBrains Mono" w:eastAsia="JetBrains Mono" w:hAnsi="JetBrains Mono"/>
                <w:color w:val="00D4FF"/>
                <w:sz w:val="16"/>
                <w:szCs w:val="16"/>
              </w:rPr>
              <w:t xml:space="preserve">SPOTLIGHT</w:t>
            </w:r>
          </w:p>
        </w:tc>
        <w:tc>
          <w:tcPr>
            <w:tcW w:type="dxa" w:w="55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8"/>
                <w:szCs w:val="18"/>
              </w:rPr>
              <w:t xml:space="preserve">Curated profile of one tool relevant to educators (daily: quick profile; occasional: deep-dive review)</w:t>
            </w:r>
          </w:p>
        </w:tc>
      </w:tr>
      <w:tr>
        <w:tc>
          <w:tcPr>
            <w:tcW w:type="dxa" w:w="22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3B82F6"/>
                <w:sz w:val="20"/>
                <w:szCs w:val="20"/>
              </w:rPr>
              <w:t xml:space="preserve">●</w:t>
            </w:r>
            <w:r>
              <w:rPr>
                <w:rFonts w:ascii="Arial" w:cs="Arial" w:eastAsia="Arial" w:hAnsi="Arial"/>
                <w:b/>
                <w:bCs/>
                <w:sz w:val="18"/>
                <w:szCs w:val="18"/>
              </w:rPr>
              <w:t xml:space="preserve"> Case Studies</w:t>
            </w:r>
          </w:p>
        </w:tc>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JetBrains Mono" w:cs="JetBrains Mono" w:eastAsia="JetBrains Mono" w:hAnsi="JetBrains Mono"/>
                <w:color w:val="3B82F6"/>
                <w:sz w:val="16"/>
                <w:szCs w:val="16"/>
              </w:rPr>
              <w:t xml:space="preserve">CASE STUDY</w:t>
            </w:r>
          </w:p>
        </w:tc>
        <w:tc>
          <w:tcPr>
            <w:tcW w:type="dxa" w:w="55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8"/>
                <w:szCs w:val="18"/>
              </w:rPr>
              <w:t xml:space="preserve">Real implementations at real institutions — what they did, how it worked, results</w:t>
            </w:r>
          </w:p>
        </w:tc>
      </w:tr>
      <w:tr>
        <w:tc>
          <w:tcPr>
            <w:tcW w:type="dxa" w:w="22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14B8A6"/>
                <w:sz w:val="20"/>
                <w:szCs w:val="20"/>
              </w:rPr>
              <w:t xml:space="preserve">●</w:t>
            </w:r>
            <w:r>
              <w:rPr>
                <w:rFonts w:ascii="Arial" w:cs="Arial" w:eastAsia="Arial" w:hAnsi="Arial"/>
                <w:b/>
                <w:bCs/>
                <w:sz w:val="18"/>
                <w:szCs w:val="18"/>
              </w:rPr>
              <w:t xml:space="preserve"> Practical Tips</w:t>
            </w:r>
          </w:p>
        </w:tc>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JetBrains Mono" w:cs="JetBrains Mono" w:eastAsia="JetBrains Mono" w:hAnsi="JetBrains Mono"/>
                <w:color w:val="14B8A6"/>
                <w:sz w:val="16"/>
                <w:szCs w:val="16"/>
              </w:rPr>
              <w:t xml:space="preserve">PRACTICAL</w:t>
            </w:r>
          </w:p>
        </w:tc>
        <w:tc>
          <w:tcPr>
            <w:tcW w:type="dxa" w:w="55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8"/>
                <w:szCs w:val="18"/>
              </w:rPr>
              <w:t xml:space="preserve">Actionable how-tos an educator can implement immediately — Monday morning ready</w:t>
            </w:r>
          </w:p>
        </w:tc>
      </w:tr>
      <w:tr>
        <w:tc>
          <w:tcPr>
            <w:tcW w:type="dxa" w:w="22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color w:val="EC4899"/>
                <w:sz w:val="20"/>
                <w:szCs w:val="20"/>
              </w:rPr>
              <w:t xml:space="preserve">●</w:t>
            </w:r>
            <w:r>
              <w:rPr>
                <w:rFonts w:ascii="Arial" w:cs="Arial" w:eastAsia="Arial" w:hAnsi="Arial"/>
                <w:b/>
                <w:bCs/>
                <w:sz w:val="18"/>
                <w:szCs w:val="18"/>
              </w:rPr>
              <w:t xml:space="preserve"> Ethical AI</w:t>
            </w:r>
          </w:p>
        </w:tc>
        <w:tc>
          <w:tcPr>
            <w:tcW w:type="dxa" w:w="160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JetBrains Mono" w:cs="JetBrains Mono" w:eastAsia="JetBrains Mono" w:hAnsi="JetBrains Mono"/>
                <w:color w:val="EC4899"/>
                <w:sz w:val="16"/>
                <w:szCs w:val="16"/>
              </w:rPr>
              <w:t xml:space="preserve">ETHICS</w:t>
            </w:r>
          </w:p>
        </w:tc>
        <w:tc>
          <w:tcPr>
            <w:tcW w:type="dxa" w:w="5560"/>
            <w:tcBorders>
              <w:top w:val="single" w:color="333333" w:sz="1"/>
              <w:left w:val="single" w:color="333333" w:sz="1"/>
              <w:bottom w:val="single" w:color="333333" w:sz="1"/>
              <w:right w:val="single" w:color="333333" w:sz="1"/>
            </w:tcBorders>
            <w:tcMar>
              <w:top w:type="dxa" w:w="60"/>
              <w:left w:type="dxa" w:w="100"/>
              <w:bottom w:type="dxa" w:w="60"/>
              <w:right w:type="dxa" w:w="100"/>
            </w:tcMar>
          </w:tcPr>
          <w:p>
            <w:r>
              <w:rPr>
                <w:rFonts w:ascii="Arial" w:cs="Arial" w:eastAsia="Arial" w:hAnsi="Arial"/>
                <w:sz w:val="18"/>
                <w:szCs w:val="18"/>
              </w:rPr>
              <w:t xml:space="preserve">Ethics, bias, governance, compliance, academic integrity, data privacy, responsible use</w:t>
            </w:r>
          </w:p>
        </w:tc>
      </w:tr>
    </w:tbl>
    <w:p>
      <w:r>
        <w:br w:type="page"/>
      </w:r>
    </w:p>
    <w:p>
      <w:pPr>
        <w:pBdr>
          <w:bottom w:val="single" w:color="8B5CF6" w:sz="3" w:space="8"/>
        </w:pBdr>
        <w:spacing w:before="400" w:after="200"/>
      </w:pPr>
      <w:r>
        <w:rPr>
          <w:rFonts w:ascii="Arial" w:cs="Arial" w:eastAsia="Arial" w:hAnsi="Arial"/>
          <w:b/>
          <w:bCs/>
          <w:color w:val="8B5CF6"/>
          <w:sz w:val="24"/>
          <w:szCs w:val="24"/>
        </w:rPr>
        <w:t xml:space="preserve">●  </w:t>
      </w:r>
      <w:r>
        <w:rPr>
          <w:rFonts w:ascii="Arial" w:cs="Arial" w:eastAsia="Arial" w:hAnsi="Arial"/>
          <w:b/>
          <w:bCs/>
          <w:color w:val="1A1A1A"/>
          <w:sz w:val="28"/>
          <w:szCs w:val="28"/>
        </w:rPr>
        <w:t xml:space="preserve">Insights &amp; Trends</w:t>
      </w:r>
    </w:p>
    <w:p>
      <w:pPr>
        <w:spacing w:before="60" w:after="60"/>
      </w:pPr>
      <w:r>
        <w:rPr>
          <w:rFonts w:ascii="Arial" w:cs="Arial" w:eastAsia="Arial" w:hAnsi="Arial"/>
          <w:color w:val="333333"/>
          <w:sz w:val="20"/>
          <w:szCs w:val="20"/>
        </w:rPr>
        <w:t xml:space="preserve">This category surfaces broad trends, research findings, and big-picture analyses of AI’s impact on higher education. These are the “state of the world” stories that help educators understand where things are heading.</w:t>
      </w:r>
    </w:p>
    <w:p>
      <w:pPr>
        <w:spacing w:before="240" w:after="80"/>
      </w:pPr>
      <w:r>
        <w:rPr>
          <w:rFonts w:ascii="Arial" w:cs="Arial" w:eastAsia="Arial" w:hAnsi="Arial"/>
          <w:b/>
          <w:bCs/>
          <w:color w:val="333333"/>
          <w:sz w:val="22"/>
          <w:szCs w:val="22"/>
        </w:rPr>
        <w:t xml:space="preserve">What Belongs Here</w:t>
      </w:r>
    </w:p>
    <w:p>
      <w:pPr>
        <w:pStyle w:val="ListParagraph"/>
        <w:numPr>
          <w:ilvl w:val="0"/>
          <w:numId w:val="2"/>
        </w:numPr>
        <w:spacing w:before="40" w:after="40"/>
      </w:pPr>
      <w:r>
        <w:rPr>
          <w:rFonts w:ascii="Arial" w:cs="Arial" w:eastAsia="Arial" w:hAnsi="Arial"/>
          <w:color w:val="444444"/>
          <w:sz w:val="20"/>
          <w:szCs w:val="20"/>
        </w:rPr>
        <w:t xml:space="preserve">Survey data and research reports on AI adoption in education</w:t>
      </w:r>
    </w:p>
    <w:p>
      <w:pPr>
        <w:pStyle w:val="ListParagraph"/>
        <w:numPr>
          <w:ilvl w:val="0"/>
          <w:numId w:val="2"/>
        </w:numPr>
        <w:spacing w:before="40" w:after="40"/>
      </w:pPr>
      <w:r>
        <w:rPr>
          <w:rFonts w:ascii="Arial" w:cs="Arial" w:eastAsia="Arial" w:hAnsi="Arial"/>
          <w:color w:val="444444"/>
          <w:sz w:val="20"/>
          <w:szCs w:val="20"/>
        </w:rPr>
        <w:t xml:space="preserve">Enrollment, policy, and accreditation trend analyses</w:t>
      </w:r>
    </w:p>
    <w:p>
      <w:pPr>
        <w:pStyle w:val="ListParagraph"/>
        <w:numPr>
          <w:ilvl w:val="0"/>
          <w:numId w:val="2"/>
        </w:numPr>
        <w:spacing w:before="40" w:after="40"/>
      </w:pPr>
      <w:r>
        <w:rPr>
          <w:rFonts w:ascii="Arial" w:cs="Arial" w:eastAsia="Arial" w:hAnsi="Arial"/>
          <w:color w:val="444444"/>
          <w:sz w:val="20"/>
          <w:szCs w:val="20"/>
        </w:rPr>
        <w:t xml:space="preserve">Faculty/administrator sentiment studies and opinion pieces</w:t>
      </w:r>
    </w:p>
    <w:p>
      <w:pPr>
        <w:pStyle w:val="ListParagraph"/>
        <w:numPr>
          <w:ilvl w:val="0"/>
          <w:numId w:val="2"/>
        </w:numPr>
        <w:spacing w:before="40" w:after="40"/>
      </w:pPr>
      <w:r>
        <w:rPr>
          <w:rFonts w:ascii="Arial" w:cs="Arial" w:eastAsia="Arial" w:hAnsi="Arial"/>
          <w:color w:val="444444"/>
          <w:sz w:val="20"/>
          <w:szCs w:val="20"/>
        </w:rPr>
        <w:t xml:space="preserve">Industry outlook reports (OECD, EDUCAUSE, Pew, Gallup)</w:t>
      </w:r>
    </w:p>
    <w:p>
      <w:pPr>
        <w:pStyle w:val="ListParagraph"/>
        <w:numPr>
          <w:ilvl w:val="0"/>
          <w:numId w:val="2"/>
        </w:numPr>
        <w:spacing w:before="40" w:after="40"/>
      </w:pPr>
      <w:r>
        <w:rPr>
          <w:rFonts w:ascii="Arial" w:cs="Arial" w:eastAsia="Arial" w:hAnsi="Arial"/>
          <w:color w:val="444444"/>
          <w:sz w:val="20"/>
          <w:szCs w:val="20"/>
        </w:rPr>
        <w:t xml:space="preserve">Studies on AI’s impact on learning outcomes, student performance, or workforce readiness</w:t>
      </w:r>
    </w:p>
    <w:p>
      <w:pPr>
        <w:pStyle w:val="ListParagraph"/>
        <w:numPr>
          <w:ilvl w:val="0"/>
          <w:numId w:val="2"/>
        </w:numPr>
        <w:spacing w:before="40" w:after="40"/>
      </w:pPr>
      <w:r>
        <w:rPr>
          <w:rFonts w:ascii="Arial" w:cs="Arial" w:eastAsia="Arial" w:hAnsi="Arial"/>
          <w:color w:val="444444"/>
          <w:sz w:val="20"/>
          <w:szCs w:val="20"/>
        </w:rPr>
        <w:t xml:space="preserve">Student-focused research (e.g., student AI anxiety surveys, learning behavior studies)</w:t>
      </w:r>
    </w:p>
    <w:p>
      <w:pPr>
        <w:spacing w:before="240" w:after="80"/>
      </w:pPr>
      <w:r>
        <w:rPr>
          <w:rFonts w:ascii="Arial" w:cs="Arial" w:eastAsia="Arial" w:hAnsi="Arial"/>
          <w:b/>
          <w:bCs/>
          <w:color w:val="333333"/>
          <w:sz w:val="22"/>
          <w:szCs w:val="22"/>
        </w:rPr>
        <w:t xml:space="preserve">What Does NOT Belong Here</w:t>
      </w:r>
    </w:p>
    <w:p>
      <w:pPr>
        <w:pStyle w:val="ListParagraph"/>
        <w:numPr>
          <w:ilvl w:val="0"/>
          <w:numId w:val="2"/>
        </w:numPr>
        <w:spacing w:before="40" w:after="40"/>
      </w:pPr>
      <w:r>
        <w:rPr>
          <w:rFonts w:ascii="Arial" w:cs="Arial" w:eastAsia="Arial" w:hAnsi="Arial"/>
          <w:color w:val="444444"/>
          <w:sz w:val="20"/>
          <w:szCs w:val="20"/>
        </w:rPr>
        <w:t xml:space="preserve">Specific product announcements → Latest AI Products</w:t>
      </w:r>
    </w:p>
    <w:p>
      <w:pPr>
        <w:pStyle w:val="ListParagraph"/>
        <w:numPr>
          <w:ilvl w:val="0"/>
          <w:numId w:val="2"/>
        </w:numPr>
        <w:spacing w:before="40" w:after="40"/>
      </w:pPr>
      <w:r>
        <w:rPr>
          <w:rFonts w:ascii="Arial" w:cs="Arial" w:eastAsia="Arial" w:hAnsi="Arial"/>
          <w:color w:val="444444"/>
          <w:sz w:val="20"/>
          <w:szCs w:val="20"/>
        </w:rPr>
        <w:t xml:space="preserve">Single-institution implementations → Case Studies</w:t>
      </w:r>
    </w:p>
    <w:p>
      <w:pPr>
        <w:pStyle w:val="ListParagraph"/>
        <w:numPr>
          <w:ilvl w:val="0"/>
          <w:numId w:val="2"/>
        </w:numPr>
        <w:spacing w:before="40" w:after="40"/>
      </w:pPr>
      <w:r>
        <w:rPr>
          <w:rFonts w:ascii="Arial" w:cs="Arial" w:eastAsia="Arial" w:hAnsi="Arial"/>
          <w:color w:val="444444"/>
          <w:sz w:val="20"/>
          <w:szCs w:val="20"/>
        </w:rPr>
        <w:t xml:space="preserve">How-to guidance → Practical Tips</w:t>
      </w:r>
    </w:p>
    <w:p>
      <w:pPr>
        <w:spacing w:before="80" w:after="80"/>
      </w:pPr>
      <w:r>
        <w:rPr>
          <w:rFonts w:ascii="Arial" w:cs="Arial" w:eastAsia="Arial" w:hAnsi="Arial"/>
          <w:b/>
          <w:bCs/>
          <w:color w:val="666666"/>
          <w:sz w:val="18"/>
          <w:szCs w:val="18"/>
        </w:rPr>
        <w:t xml:space="preserve">Search Terms: </w:t>
      </w:r>
      <w:r>
        <w:rPr>
          <w:rFonts w:ascii="JetBrains Mono" w:cs="JetBrains Mono" w:eastAsia="JetBrains Mono" w:hAnsi="JetBrains Mono"/>
          <w:color w:val="8B5CF6"/>
          <w:sz w:val="18"/>
          <w:szCs w:val="18"/>
        </w:rPr>
        <w:t xml:space="preserve">"AI higher education trends 2026"</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"generative AI adoption education"</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"higher education policy trends"</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"faculty AI opinions survey"</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impacts teaching learning research"</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"enrollment challenges AI"</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"accreditation overhaul AI"</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"student search behavior AI"</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workforce readiness higher ed"</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"OECD digital education outlook"</w:t>
      </w:r>
    </w:p>
    <w:p>
      <w:pPr>
        <w:spacing w:before="40" w:after="120"/>
      </w:pPr>
      <w:r>
        <w:rPr>
          <w:rFonts w:ascii="Arial" w:cs="Arial" w:eastAsia="Arial" w:hAnsi="Arial"/>
          <w:b/>
          <w:bCs/>
          <w:color w:val="666666"/>
          <w:sz w:val="18"/>
          <w:szCs w:val="18"/>
        </w:rPr>
        <w:t xml:space="preserve">Priority Sources: </w:t>
      </w:r>
      <w:r>
        <w:rPr>
          <w:rFonts w:ascii="Arial" w:cs="Arial" w:eastAsia="Arial" w:hAnsi="Arial"/>
          <w:i/>
          <w:iCs/>
          <w:color w:val="1A6FB5"/>
          <w:sz w:val="18"/>
          <w:szCs w:val="18"/>
        </w:rPr>
        <w:t xml:space="preserve">Inside Higher Ed</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Higher Ed Dive</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EDUCAUSE Review</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Chronicle of Higher Education</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MIT News</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Pew Research</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OECD</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Nature / Science (education studies)</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Journal of Higher Education</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Harvard Gazette</w:t>
      </w:r>
    </w:p>
    <w:p>
      <w:pPr>
        <w:spacing w:before="240" w:after="80"/>
      </w:pPr>
      <w:r>
        <w:rPr>
          <w:rFonts w:ascii="Arial" w:cs="Arial" w:eastAsia="Arial" w:hAnsi="Arial"/>
          <w:b/>
          <w:bCs/>
          <w:color w:val="333333"/>
          <w:sz w:val="22"/>
          <w:szCs w:val="22"/>
        </w:rPr>
        <w:t xml:space="preserve">Example Stories</w:t>
      </w:r>
    </w:p>
    <w:p>
      <w:pPr>
        <w:pStyle w:val="ListParagraph"/>
        <w:numPr>
          <w:ilvl w:val="0"/>
          <w:numId w:val="2"/>
        </w:numPr>
        <w:spacing w:before="40" w:after="40"/>
      </w:pPr>
      <w:r>
        <w:rPr>
          <w:rFonts w:ascii="Arial" w:cs="Arial" w:eastAsia="Arial" w:hAnsi="Arial"/>
          <w:color w:val="444444"/>
          <w:sz w:val="20"/>
          <w:szCs w:val="20"/>
        </w:rPr>
        <w:t xml:space="preserve">UC Berkeley study: Faculty moving from AI bans to task-specific policies (31,692 syllabi analyzed)</w:t>
      </w:r>
    </w:p>
    <w:p>
      <w:pPr>
        <w:pStyle w:val="ListParagraph"/>
        <w:numPr>
          <w:ilvl w:val="0"/>
          <w:numId w:val="2"/>
        </w:numPr>
        <w:spacing w:before="40" w:after="40"/>
      </w:pPr>
      <w:r>
        <w:rPr>
          <w:rFonts w:ascii="Arial" w:cs="Arial" w:eastAsia="Arial" w:hAnsi="Arial"/>
          <w:color w:val="444444"/>
          <w:sz w:val="20"/>
          <w:szCs w:val="20"/>
        </w:rPr>
        <w:t xml:space="preserve">OECD Digital Education Outlook 2026: AI boosts scores 127% but creates dependency</w:t>
      </w:r>
    </w:p>
    <w:p>
      <w:pPr>
        <w:pStyle w:val="ListParagraph"/>
        <w:numPr>
          <w:ilvl w:val="0"/>
          <w:numId w:val="2"/>
        </w:numPr>
        <w:spacing w:before="40" w:after="40"/>
      </w:pPr>
      <w:r>
        <w:rPr>
          <w:rFonts w:ascii="Arial" w:cs="Arial" w:eastAsia="Arial" w:hAnsi="Arial"/>
          <w:color w:val="444444"/>
          <w:sz w:val="20"/>
          <w:szCs w:val="20"/>
        </w:rPr>
        <w:t xml:space="preserve">EDUCAUSE survey: 73% of faculty say they need more AI training</w:t>
      </w:r>
    </w:p>
    <w:p>
      <w:pPr>
        <w:pStyle w:val="ListParagraph"/>
        <w:numPr>
          <w:ilvl w:val="0"/>
          <w:numId w:val="2"/>
        </w:numPr>
        <w:spacing w:before="40" w:after="40"/>
      </w:pPr>
      <w:r>
        <w:rPr>
          <w:rFonts w:ascii="Arial" w:cs="Arial" w:eastAsia="Arial" w:hAnsi="Arial"/>
          <w:color w:val="444444"/>
          <w:sz w:val="20"/>
          <w:szCs w:val="20"/>
        </w:rPr>
        <w:t xml:space="preserve">HBR study: AI productivity gains offset by workload fatigue</w:t>
      </w:r>
    </w:p>
    <w:p>
      <w:r>
        <w:br w:type="page"/>
      </w:r>
    </w:p>
    <w:p>
      <w:pPr>
        <w:pBdr>
          <w:bottom w:val="single" w:color="2EE6A8" w:sz="3" w:space="8"/>
        </w:pBdr>
        <w:spacing w:before="400" w:after="200"/>
      </w:pPr>
      <w:r>
        <w:rPr>
          <w:rFonts w:ascii="Arial" w:cs="Arial" w:eastAsia="Arial" w:hAnsi="Arial"/>
          <w:b/>
          <w:bCs/>
          <w:color w:val="2EE6A8"/>
          <w:sz w:val="24"/>
          <w:szCs w:val="24"/>
        </w:rPr>
        <w:t xml:space="preserve">●  </w:t>
      </w:r>
      <w:r>
        <w:rPr>
          <w:rFonts w:ascii="Arial" w:cs="Arial" w:eastAsia="Arial" w:hAnsi="Arial"/>
          <w:b/>
          <w:bCs/>
          <w:color w:val="1A1A1A"/>
          <w:sz w:val="28"/>
          <w:szCs w:val="28"/>
        </w:rPr>
        <w:t xml:space="preserve">Beyond Ed — AI World</w:t>
      </w:r>
    </w:p>
    <w:p>
      <w:pPr>
        <w:spacing w:before="60" w:after="60"/>
      </w:pPr>
      <w:r>
        <w:rPr>
          <w:rFonts w:ascii="Arial" w:cs="Arial" w:eastAsia="Arial" w:hAnsi="Arial"/>
          <w:color w:val="333333"/>
          <w:sz w:val="20"/>
          <w:szCs w:val="20"/>
        </w:rPr>
        <w:t xml:space="preserve">This is the category that makes the Innovation Pulse unique. It covers AI developments happening OUTSIDE of education that will impact academia within 6–12 months. The editorial value is connecting dots that educators wouldn’t otherwise see — “this just happened in industry, and here’s why you should care.”</w:t>
      </w:r>
    </w:p>
    <w:p>
      <w:pPr>
        <w:spacing w:before="240" w:after="80"/>
      </w:pPr>
      <w:r>
        <w:rPr>
          <w:rFonts w:ascii="Arial" w:cs="Arial" w:eastAsia="Arial" w:hAnsi="Arial"/>
          <w:b/>
          <w:bCs/>
          <w:color w:val="333333"/>
          <w:sz w:val="22"/>
          <w:szCs w:val="22"/>
        </w:rPr>
        <w:t xml:space="preserve">What Belongs Here</w:t>
      </w:r>
    </w:p>
    <w:p>
      <w:pPr>
        <w:pStyle w:val="ListParagraph"/>
        <w:numPr>
          <w:ilvl w:val="0"/>
          <w:numId w:val="2"/>
        </w:numPr>
        <w:spacing w:before="40" w:after="40"/>
      </w:pPr>
      <w:r>
        <w:rPr>
          <w:rFonts w:ascii="Arial" w:cs="Arial" w:eastAsia="Arial" w:hAnsi="Arial"/>
          <w:color w:val="444444"/>
          <w:sz w:val="20"/>
          <w:szCs w:val="20"/>
        </w:rPr>
        <w:t xml:space="preserve">Major AI model releases and capabilities (GPT updates, Claude updates, Gemini, open-source models)</w:t>
      </w:r>
    </w:p>
    <w:p>
      <w:pPr>
        <w:pStyle w:val="ListParagraph"/>
        <w:numPr>
          <w:ilvl w:val="0"/>
          <w:numId w:val="2"/>
        </w:numPr>
        <w:spacing w:before="40" w:after="40"/>
      </w:pPr>
      <w:r>
        <w:rPr>
          <w:rFonts w:ascii="Arial" w:cs="Arial" w:eastAsia="Arial" w:hAnsi="Arial"/>
          <w:color w:val="444444"/>
          <w:sz w:val="20"/>
          <w:szCs w:val="20"/>
        </w:rPr>
        <w:t xml:space="preserve">AI industry partnerships, acquisitions, and funding rounds with education implications</w:t>
      </w:r>
    </w:p>
    <w:p>
      <w:pPr>
        <w:pStyle w:val="ListParagraph"/>
        <w:numPr>
          <w:ilvl w:val="0"/>
          <w:numId w:val="2"/>
        </w:numPr>
        <w:spacing w:before="40" w:after="40"/>
      </w:pPr>
      <w:r>
        <w:rPr>
          <w:rFonts w:ascii="Arial" w:cs="Arial" w:eastAsia="Arial" w:hAnsi="Arial"/>
          <w:color w:val="444444"/>
          <w:sz w:val="20"/>
          <w:szCs w:val="20"/>
        </w:rPr>
        <w:t xml:space="preserve">Government AI policy and regulation (federal, state, international) that will affect institutions</w:t>
      </w:r>
    </w:p>
    <w:p>
      <w:pPr>
        <w:pStyle w:val="ListParagraph"/>
        <w:numPr>
          <w:ilvl w:val="0"/>
          <w:numId w:val="2"/>
        </w:numPr>
        <w:spacing w:before="40" w:after="40"/>
      </w:pPr>
      <w:r>
        <w:rPr>
          <w:rFonts w:ascii="Arial" w:cs="Arial" w:eastAsia="Arial" w:hAnsi="Arial"/>
          <w:color w:val="444444"/>
          <w:sz w:val="20"/>
          <w:szCs w:val="20"/>
        </w:rPr>
        <w:t xml:space="preserve">AI workforce disruption research that changes what students need to learn</w:t>
      </w:r>
    </w:p>
    <w:p>
      <w:pPr>
        <w:pStyle w:val="ListParagraph"/>
        <w:numPr>
          <w:ilvl w:val="0"/>
          <w:numId w:val="2"/>
        </w:numPr>
        <w:spacing w:before="40" w:after="40"/>
      </w:pPr>
      <w:r>
        <w:rPr>
          <w:rFonts w:ascii="Arial" w:cs="Arial" w:eastAsia="Arial" w:hAnsi="Arial"/>
          <w:color w:val="444444"/>
          <w:sz w:val="20"/>
          <w:szCs w:val="20"/>
        </w:rPr>
        <w:t xml:space="preserve">AI in adjacent sectors (healthcare, legal, media) that preview what’s coming to education</w:t>
      </w:r>
    </w:p>
    <w:p>
      <w:pPr>
        <w:pStyle w:val="ListParagraph"/>
        <w:numPr>
          <w:ilvl w:val="0"/>
          <w:numId w:val="2"/>
        </w:numPr>
        <w:spacing w:before="40" w:after="40"/>
      </w:pPr>
      <w:r>
        <w:rPr>
          <w:rFonts w:ascii="Arial" w:cs="Arial" w:eastAsia="Arial" w:hAnsi="Arial"/>
          <w:color w:val="444444"/>
          <w:sz w:val="20"/>
          <w:szCs w:val="20"/>
        </w:rPr>
        <w:t xml:space="preserve">Infrastructure developments (chips, cloud, costs) that affect institutional AI budgets</w:t>
      </w:r>
    </w:p>
    <w:p>
      <w:pPr>
        <w:spacing w:before="240" w:after="80"/>
      </w:pPr>
      <w:r>
        <w:rPr>
          <w:rFonts w:ascii="Arial" w:cs="Arial" w:eastAsia="Arial" w:hAnsi="Arial"/>
          <w:b/>
          <w:bCs/>
          <w:color w:val="333333"/>
          <w:sz w:val="22"/>
          <w:szCs w:val="22"/>
        </w:rPr>
        <w:t xml:space="preserve">What Does NOT Belong Here</w:t>
      </w:r>
    </w:p>
    <w:p>
      <w:pPr>
        <w:pStyle w:val="ListParagraph"/>
        <w:numPr>
          <w:ilvl w:val="0"/>
          <w:numId w:val="2"/>
        </w:numPr>
        <w:spacing w:before="40" w:after="40"/>
      </w:pPr>
      <w:r>
        <w:rPr>
          <w:rFonts w:ascii="Arial" w:cs="Arial" w:eastAsia="Arial" w:hAnsi="Arial"/>
          <w:color w:val="444444"/>
          <w:sz w:val="20"/>
          <w:szCs w:val="20"/>
        </w:rPr>
        <w:t xml:space="preserve">AI tools specifically built for education → Latest AI Products</w:t>
      </w:r>
    </w:p>
    <w:p>
      <w:pPr>
        <w:pStyle w:val="ListParagraph"/>
        <w:numPr>
          <w:ilvl w:val="0"/>
          <w:numId w:val="2"/>
        </w:numPr>
        <w:spacing w:before="40" w:after="40"/>
      </w:pPr>
      <w:r>
        <w:rPr>
          <w:rFonts w:ascii="Arial" w:cs="Arial" w:eastAsia="Arial" w:hAnsi="Arial"/>
          <w:color w:val="444444"/>
          <w:sz w:val="20"/>
          <w:szCs w:val="20"/>
        </w:rPr>
        <w:t xml:space="preserve">A university deploying an existing AI tool → Case Studies</w:t>
      </w:r>
    </w:p>
    <w:p>
      <w:pPr>
        <w:pStyle w:val="ListParagraph"/>
        <w:numPr>
          <w:ilvl w:val="0"/>
          <w:numId w:val="2"/>
        </w:numPr>
        <w:spacing w:before="40" w:after="40"/>
      </w:pPr>
      <w:r>
        <w:rPr>
          <w:rFonts w:ascii="Arial" w:cs="Arial" w:eastAsia="Arial" w:hAnsi="Arial"/>
          <w:color w:val="444444"/>
          <w:sz w:val="20"/>
          <w:szCs w:val="20"/>
        </w:rPr>
        <w:t xml:space="preserve">Research conducted within higher ed → Insights &amp; Trends</w:t>
      </w:r>
    </w:p>
    <w:p>
      <w:pPr>
        <w:spacing w:before="240" w:after="80"/>
      </w:pPr>
      <w:r>
        <w:rPr>
          <w:rFonts w:ascii="Arial" w:cs="Arial" w:eastAsia="Arial" w:hAnsi="Arial"/>
          <w:b/>
          <w:bCs/>
          <w:color w:val="333333"/>
          <w:sz w:val="22"/>
          <w:szCs w:val="22"/>
        </w:rPr>
        <w:t xml:space="preserve">Editorial Requirement</w:t>
      </w:r>
    </w:p>
    <w:p>
      <w:pPr>
        <w:spacing w:before="60" w:after="60"/>
      </w:pPr>
      <w:r>
        <w:rPr>
          <w:rFonts w:ascii="Arial" w:cs="Arial" w:eastAsia="Arial" w:hAnsi="Arial"/>
          <w:color w:val="333333"/>
          <w:sz w:val="20"/>
          <w:szCs w:val="20"/>
        </w:rPr>
        <w:t xml:space="preserve">Every Beyond Ed story MUST include a “Why Educators Should Care” editorial note connecting it back to higher education. Without this bridge, the story doesn’t belong in the Pulse.</w:t>
      </w:r>
    </w:p>
    <w:p>
      <w:pPr>
        <w:spacing w:before="80" w:after="80"/>
      </w:pPr>
      <w:r>
        <w:rPr>
          <w:rFonts w:ascii="Arial" w:cs="Arial" w:eastAsia="Arial" w:hAnsi="Arial"/>
          <w:b/>
          <w:bCs/>
          <w:color w:val="666666"/>
          <w:sz w:val="18"/>
          <w:szCs w:val="18"/>
        </w:rPr>
        <w:t xml:space="preserve">Search Terms: </w:t>
      </w:r>
      <w:r>
        <w:rPr>
          <w:rFonts w:ascii="JetBrains Mono" w:cs="JetBrains Mono" w:eastAsia="JetBrains Mono" w:hAnsi="JetBrains Mono"/>
          <w:color w:val="8B5CF6"/>
          <w:sz w:val="18"/>
          <w:szCs w:val="18"/>
        </w:rPr>
        <w:t xml:space="preserve">"AI industry news"</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"OpenAI announcement"</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"Google AI update"</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"Anthropic Claude update"</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regulation federal state"</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workforce disruption"</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healthcare breakthrough"</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chips infrastructure costs"</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"open source AI model release"</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policy executive order"</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"CES AI announcement"</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funding round education"</w:t>
      </w:r>
    </w:p>
    <w:p>
      <w:pPr>
        <w:spacing w:before="40" w:after="120"/>
      </w:pPr>
      <w:r>
        <w:rPr>
          <w:rFonts w:ascii="Arial" w:cs="Arial" w:eastAsia="Arial" w:hAnsi="Arial"/>
          <w:b/>
          <w:bCs/>
          <w:color w:val="666666"/>
          <w:sz w:val="18"/>
          <w:szCs w:val="18"/>
        </w:rPr>
        <w:t xml:space="preserve">Priority Sources: </w:t>
      </w:r>
      <w:r>
        <w:rPr>
          <w:rFonts w:ascii="Arial" w:cs="Arial" w:eastAsia="Arial" w:hAnsi="Arial"/>
          <w:i/>
          <w:iCs/>
          <w:color w:val="1A6FB5"/>
          <w:sz w:val="18"/>
          <w:szCs w:val="18"/>
        </w:rPr>
        <w:t xml:space="preserve">The Verge</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TechCrunch</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Wired</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Ars Technica</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MIT Technology Review</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Reuters (tech)</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Bloomberg (tech)</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White House / gov AI policy</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The Rundown AI</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AI for Education (newsletter)</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Ben’s Bites</w:t>
      </w:r>
    </w:p>
    <w:p>
      <w:pPr>
        <w:spacing w:before="240" w:after="80"/>
      </w:pPr>
      <w:r>
        <w:rPr>
          <w:rFonts w:ascii="Arial" w:cs="Arial" w:eastAsia="Arial" w:hAnsi="Arial"/>
          <w:b/>
          <w:bCs/>
          <w:color w:val="333333"/>
          <w:sz w:val="22"/>
          <w:szCs w:val="22"/>
        </w:rPr>
        <w:t xml:space="preserve">Example Stories</w:t>
      </w:r>
    </w:p>
    <w:p>
      <w:pPr>
        <w:pStyle w:val="ListParagraph"/>
        <w:numPr>
          <w:ilvl w:val="0"/>
          <w:numId w:val="2"/>
        </w:numPr>
        <w:spacing w:before="40" w:after="40"/>
      </w:pPr>
      <w:r>
        <w:rPr>
          <w:rFonts w:ascii="Arial" w:cs="Arial" w:eastAsia="Arial" w:hAnsi="Arial"/>
          <w:color w:val="444444"/>
          <w:sz w:val="20"/>
          <w:szCs w:val="20"/>
        </w:rPr>
        <w:t xml:space="preserve">OpenAI launches ads in ChatGPT free tier — changes the learning environment for students using it</w:t>
      </w:r>
    </w:p>
    <w:p>
      <w:pPr>
        <w:pStyle w:val="ListParagraph"/>
        <w:numPr>
          <w:ilvl w:val="0"/>
          <w:numId w:val="2"/>
        </w:numPr>
        <w:spacing w:before="40" w:after="40"/>
      </w:pPr>
      <w:r>
        <w:rPr>
          <w:rFonts w:ascii="Arial" w:cs="Arial" w:eastAsia="Arial" w:hAnsi="Arial"/>
          <w:color w:val="444444"/>
          <w:sz w:val="20"/>
          <w:szCs w:val="20"/>
        </w:rPr>
        <w:t xml:space="preserve">EU AI Act enforcement begins — institutions with European students/partners must comply</w:t>
      </w:r>
    </w:p>
    <w:p>
      <w:pPr>
        <w:pStyle w:val="ListParagraph"/>
        <w:numPr>
          <w:ilvl w:val="0"/>
          <w:numId w:val="2"/>
        </w:numPr>
        <w:spacing w:before="40" w:after="40"/>
      </w:pPr>
      <w:r>
        <w:rPr>
          <w:rFonts w:ascii="Arial" w:cs="Arial" w:eastAsia="Arial" w:hAnsi="Arial"/>
          <w:color w:val="444444"/>
          <w:sz w:val="20"/>
          <w:szCs w:val="20"/>
        </w:rPr>
        <w:t xml:space="preserve">Google DeepMind + Boston Dynamics partnership — preview of AI + robotics in campus operations</w:t>
      </w:r>
    </w:p>
    <w:p>
      <w:pPr>
        <w:pStyle w:val="ListParagraph"/>
        <w:numPr>
          <w:ilvl w:val="0"/>
          <w:numId w:val="2"/>
        </w:numPr>
        <w:spacing w:before="40" w:after="40"/>
      </w:pPr>
      <w:r>
        <w:rPr>
          <w:rFonts w:ascii="Arial" w:cs="Arial" w:eastAsia="Arial" w:hAnsi="Arial"/>
          <w:color w:val="444444"/>
          <w:sz w:val="20"/>
          <w:szCs w:val="20"/>
        </w:rPr>
        <w:t xml:space="preserve">Nvidia earnings signal AI compute costs dropping 40% — makes institutional AI deployments more feasible</w:t>
      </w:r>
    </w:p>
    <w:p>
      <w:r>
        <w:br w:type="page"/>
      </w:r>
    </w:p>
    <w:p>
      <w:pPr>
        <w:pBdr>
          <w:bottom w:val="single" w:color="C850C0" w:sz="3" w:space="8"/>
        </w:pBdr>
        <w:spacing w:before="400" w:after="200"/>
      </w:pPr>
      <w:r>
        <w:rPr>
          <w:rFonts w:ascii="Arial" w:cs="Arial" w:eastAsia="Arial" w:hAnsi="Arial"/>
          <w:b/>
          <w:bCs/>
          <w:color w:val="C850C0"/>
          <w:sz w:val="24"/>
          <w:szCs w:val="24"/>
        </w:rPr>
        <w:t xml:space="preserve">●  </w:t>
      </w:r>
      <w:r>
        <w:rPr>
          <w:rFonts w:ascii="Arial" w:cs="Arial" w:eastAsia="Arial" w:hAnsi="Arial"/>
          <w:b/>
          <w:bCs/>
          <w:color w:val="1A1A1A"/>
          <w:sz w:val="28"/>
          <w:szCs w:val="28"/>
        </w:rPr>
        <w:t xml:space="preserve">Latest AI Products</w:t>
      </w:r>
    </w:p>
    <w:p>
      <w:pPr>
        <w:spacing w:before="60" w:after="60"/>
      </w:pPr>
      <w:r>
        <w:rPr>
          <w:rFonts w:ascii="Arial" w:cs="Arial" w:eastAsia="Arial" w:hAnsi="Arial"/>
          <w:color w:val="333333"/>
          <w:sz w:val="20"/>
          <w:szCs w:val="20"/>
        </w:rPr>
        <w:t xml:space="preserve">Surface announcements of new tools, major product updates, partnerships, and pricing changes that could influence education or educator productivity. This is the “what’s new” feed — quick-hit news about tools educators should know about.</w:t>
      </w:r>
    </w:p>
    <w:p>
      <w:pPr>
        <w:spacing w:before="240" w:after="80"/>
      </w:pPr>
      <w:r>
        <w:rPr>
          <w:rFonts w:ascii="Arial" w:cs="Arial" w:eastAsia="Arial" w:hAnsi="Arial"/>
          <w:b/>
          <w:bCs/>
          <w:color w:val="333333"/>
          <w:sz w:val="22"/>
          <w:szCs w:val="22"/>
        </w:rPr>
        <w:t xml:space="preserve">What Belongs Here</w:t>
      </w:r>
    </w:p>
    <w:p>
      <w:pPr>
        <w:pStyle w:val="ListParagraph"/>
        <w:numPr>
          <w:ilvl w:val="0"/>
          <w:numId w:val="2"/>
        </w:numPr>
        <w:spacing w:before="40" w:after="40"/>
      </w:pPr>
      <w:r>
        <w:rPr>
          <w:rFonts w:ascii="Arial" w:cs="Arial" w:eastAsia="Arial" w:hAnsi="Arial"/>
          <w:color w:val="444444"/>
          <w:sz w:val="20"/>
          <w:szCs w:val="20"/>
        </w:rPr>
        <w:t xml:space="preserve">New AI tool launches (education-specific or general-purpose with education relevance)</w:t>
      </w:r>
    </w:p>
    <w:p>
      <w:pPr>
        <w:pStyle w:val="ListParagraph"/>
        <w:numPr>
          <w:ilvl w:val="0"/>
          <w:numId w:val="2"/>
        </w:numPr>
        <w:spacing w:before="40" w:after="40"/>
      </w:pPr>
      <w:r>
        <w:rPr>
          <w:rFonts w:ascii="Arial" w:cs="Arial" w:eastAsia="Arial" w:hAnsi="Arial"/>
          <w:color w:val="444444"/>
          <w:sz w:val="20"/>
          <w:szCs w:val="20"/>
        </w:rPr>
        <w:t xml:space="preserve">Major version updates to existing tools (new features, capabilities)</w:t>
      </w:r>
    </w:p>
    <w:p>
      <w:pPr>
        <w:pStyle w:val="ListParagraph"/>
        <w:numPr>
          <w:ilvl w:val="0"/>
          <w:numId w:val="2"/>
        </w:numPr>
        <w:spacing w:before="40" w:after="40"/>
      </w:pPr>
      <w:r>
        <w:rPr>
          <w:rFonts w:ascii="Arial" w:cs="Arial" w:eastAsia="Arial" w:hAnsi="Arial"/>
          <w:color w:val="444444"/>
          <w:sz w:val="20"/>
          <w:szCs w:val="20"/>
        </w:rPr>
        <w:t xml:space="preserve">Pricing changes, free tier announcements, education discounts</w:t>
      </w:r>
    </w:p>
    <w:p>
      <w:pPr>
        <w:pStyle w:val="ListParagraph"/>
        <w:numPr>
          <w:ilvl w:val="0"/>
          <w:numId w:val="2"/>
        </w:numPr>
        <w:spacing w:before="40" w:after="40"/>
      </w:pPr>
      <w:r>
        <w:rPr>
          <w:rFonts w:ascii="Arial" w:cs="Arial" w:eastAsia="Arial" w:hAnsi="Arial"/>
          <w:color w:val="444444"/>
          <w:sz w:val="20"/>
          <w:szCs w:val="20"/>
        </w:rPr>
        <w:t xml:space="preserve">Partnerships between AI companies and education organizations</w:t>
      </w:r>
    </w:p>
    <w:p>
      <w:pPr>
        <w:pStyle w:val="ListParagraph"/>
        <w:numPr>
          <w:ilvl w:val="0"/>
          <w:numId w:val="2"/>
        </w:numPr>
        <w:spacing w:before="40" w:after="40"/>
      </w:pPr>
      <w:r>
        <w:rPr>
          <w:rFonts w:ascii="Arial" w:cs="Arial" w:eastAsia="Arial" w:hAnsi="Arial"/>
          <w:color w:val="444444"/>
          <w:sz w:val="20"/>
          <w:szCs w:val="20"/>
        </w:rPr>
        <w:t xml:space="preserve">Acquisitions that change the education AI landscape</w:t>
      </w:r>
    </w:p>
    <w:p>
      <w:pPr>
        <w:pStyle w:val="ListParagraph"/>
        <w:numPr>
          <w:ilvl w:val="0"/>
          <w:numId w:val="2"/>
        </w:numPr>
        <w:spacing w:before="40" w:after="40"/>
      </w:pPr>
      <w:r>
        <w:rPr>
          <w:rFonts w:ascii="Arial" w:cs="Arial" w:eastAsia="Arial" w:hAnsi="Arial"/>
          <w:color w:val="444444"/>
          <w:sz w:val="20"/>
          <w:szCs w:val="20"/>
        </w:rPr>
        <w:t xml:space="preserve">Ed-tech startup launches and funding with AI focus</w:t>
      </w:r>
    </w:p>
    <w:p>
      <w:pPr>
        <w:spacing w:before="240" w:after="80"/>
      </w:pPr>
      <w:r>
        <w:rPr>
          <w:rFonts w:ascii="Arial" w:cs="Arial" w:eastAsia="Arial" w:hAnsi="Arial"/>
          <w:b/>
          <w:bCs/>
          <w:color w:val="333333"/>
          <w:sz w:val="22"/>
          <w:szCs w:val="22"/>
        </w:rPr>
        <w:t xml:space="preserve">What Does NOT Belong Here</w:t>
      </w:r>
    </w:p>
    <w:p>
      <w:pPr>
        <w:pStyle w:val="ListParagraph"/>
        <w:numPr>
          <w:ilvl w:val="0"/>
          <w:numId w:val="2"/>
        </w:numPr>
        <w:spacing w:before="40" w:after="40"/>
      </w:pPr>
      <w:r>
        <w:rPr>
          <w:rFonts w:ascii="Arial" w:cs="Arial" w:eastAsia="Arial" w:hAnsi="Arial"/>
          <w:color w:val="444444"/>
          <w:sz w:val="20"/>
          <w:szCs w:val="20"/>
        </w:rPr>
        <w:t xml:space="preserve">Deep-dive reviews of a single tool → Tool Spotlight</w:t>
      </w:r>
    </w:p>
    <w:p>
      <w:pPr>
        <w:pStyle w:val="ListParagraph"/>
        <w:numPr>
          <w:ilvl w:val="0"/>
          <w:numId w:val="2"/>
        </w:numPr>
        <w:spacing w:before="40" w:after="40"/>
      </w:pPr>
      <w:r>
        <w:rPr>
          <w:rFonts w:ascii="Arial" w:cs="Arial" w:eastAsia="Arial" w:hAnsi="Arial"/>
          <w:color w:val="444444"/>
          <w:sz w:val="20"/>
          <w:szCs w:val="20"/>
        </w:rPr>
        <w:t xml:space="preserve">Broad industry trends about AI tools → Insights &amp; Trends</w:t>
      </w:r>
    </w:p>
    <w:p>
      <w:pPr>
        <w:pStyle w:val="ListParagraph"/>
        <w:numPr>
          <w:ilvl w:val="0"/>
          <w:numId w:val="2"/>
        </w:numPr>
        <w:spacing w:before="40" w:after="40"/>
      </w:pPr>
      <w:r>
        <w:rPr>
          <w:rFonts w:ascii="Arial" w:cs="Arial" w:eastAsia="Arial" w:hAnsi="Arial"/>
          <w:color w:val="444444"/>
          <w:sz w:val="20"/>
          <w:szCs w:val="20"/>
        </w:rPr>
        <w:t xml:space="preserve">A campus deploying a product → Case Studies</w:t>
      </w:r>
    </w:p>
    <w:p>
      <w:pPr>
        <w:spacing w:before="80" w:after="80"/>
      </w:pPr>
      <w:r>
        <w:rPr>
          <w:rFonts w:ascii="Arial" w:cs="Arial" w:eastAsia="Arial" w:hAnsi="Arial"/>
          <w:b/>
          <w:bCs/>
          <w:color w:val="666666"/>
          <w:sz w:val="18"/>
          <w:szCs w:val="18"/>
        </w:rPr>
        <w:t xml:space="preserve">Search Terms: </w:t>
      </w:r>
      <w:r>
        <w:rPr>
          <w:rFonts w:ascii="JetBrains Mono" w:cs="JetBrains Mono" w:eastAsia="JetBrains Mono" w:hAnsi="JetBrains Mono"/>
          <w:color w:val="8B5CF6"/>
          <w:sz w:val="18"/>
          <w:szCs w:val="18"/>
        </w:rPr>
        <w:t xml:space="preserve">"AI product release education"</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"new AI tool launch"</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education tool rollout"</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"edtech AI startup"</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"Gemini update education"</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"ChatGPT new features"</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"Claude education features"</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LMS integration"</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grading tool launch"</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"education AI pricing free"</w:t>
      </w:r>
    </w:p>
    <w:p>
      <w:pPr>
        <w:spacing w:before="40" w:after="120"/>
      </w:pPr>
      <w:r>
        <w:rPr>
          <w:rFonts w:ascii="Arial" w:cs="Arial" w:eastAsia="Arial" w:hAnsi="Arial"/>
          <w:b/>
          <w:bCs/>
          <w:color w:val="666666"/>
          <w:sz w:val="18"/>
          <w:szCs w:val="18"/>
        </w:rPr>
        <w:t xml:space="preserve">Priority Sources: </w:t>
      </w:r>
      <w:r>
        <w:rPr>
          <w:rFonts w:ascii="Arial" w:cs="Arial" w:eastAsia="Arial" w:hAnsi="Arial"/>
          <w:i/>
          <w:iCs/>
          <w:color w:val="1A6FB5"/>
          <w:sz w:val="18"/>
          <w:szCs w:val="18"/>
        </w:rPr>
        <w:t xml:space="preserve">EdSurge</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Inside Higher Ed</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The Verge</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Product Hunt (AI/education)</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Google Education Blog</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Microsoft Education Blog</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OpenAI Blog</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ed-tech company blogs</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CRN</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TechCrunch (education)</w:t>
      </w:r>
    </w:p>
    <w:p>
      <w:pPr>
        <w:spacing w:before="240" w:after="80"/>
      </w:pPr>
      <w:r>
        <w:rPr>
          <w:rFonts w:ascii="Arial" w:cs="Arial" w:eastAsia="Arial" w:hAnsi="Arial"/>
          <w:b/>
          <w:bCs/>
          <w:color w:val="333333"/>
          <w:sz w:val="22"/>
          <w:szCs w:val="22"/>
        </w:rPr>
        <w:t xml:space="preserve">Example Stories</w:t>
      </w:r>
    </w:p>
    <w:p>
      <w:pPr>
        <w:pStyle w:val="ListParagraph"/>
        <w:numPr>
          <w:ilvl w:val="0"/>
          <w:numId w:val="2"/>
        </w:numPr>
        <w:spacing w:before="40" w:after="40"/>
      </w:pPr>
      <w:r>
        <w:rPr>
          <w:rFonts w:ascii="Arial" w:cs="Arial" w:eastAsia="Arial" w:hAnsi="Arial"/>
          <w:color w:val="444444"/>
          <w:sz w:val="20"/>
          <w:szCs w:val="20"/>
        </w:rPr>
        <w:t xml:space="preserve">Google Classroom adds AI grading assistant with rubric-based feedback drafting</w:t>
      </w:r>
    </w:p>
    <w:p>
      <w:pPr>
        <w:pStyle w:val="ListParagraph"/>
        <w:numPr>
          <w:ilvl w:val="0"/>
          <w:numId w:val="2"/>
        </w:numPr>
        <w:spacing w:before="40" w:after="40"/>
      </w:pPr>
      <w:r>
        <w:rPr>
          <w:rFonts w:ascii="Arial" w:cs="Arial" w:eastAsia="Arial" w:hAnsi="Arial"/>
          <w:color w:val="444444"/>
          <w:sz w:val="20"/>
          <w:szCs w:val="20"/>
        </w:rPr>
        <w:t xml:space="preserve">Microsoft Copilot gets higher ed-specific features for course planning</w:t>
      </w:r>
    </w:p>
    <w:p>
      <w:pPr>
        <w:pStyle w:val="ListParagraph"/>
        <w:numPr>
          <w:ilvl w:val="0"/>
          <w:numId w:val="2"/>
        </w:numPr>
        <w:spacing w:before="40" w:after="40"/>
      </w:pPr>
      <w:r>
        <w:rPr>
          <w:rFonts w:ascii="Arial" w:cs="Arial" w:eastAsia="Arial" w:hAnsi="Arial"/>
          <w:color w:val="444444"/>
          <w:sz w:val="20"/>
          <w:szCs w:val="20"/>
        </w:rPr>
        <w:t xml:space="preserve">Notion launches free education tier with AI-powered study guides</w:t>
      </w:r>
    </w:p>
    <w:p>
      <w:pPr>
        <w:pStyle w:val="ListParagraph"/>
        <w:numPr>
          <w:ilvl w:val="0"/>
          <w:numId w:val="2"/>
        </w:numPr>
        <w:spacing w:before="40" w:after="40"/>
      </w:pPr>
      <w:r>
        <w:rPr>
          <w:rFonts w:ascii="Arial" w:cs="Arial" w:eastAsia="Arial" w:hAnsi="Arial"/>
          <w:color w:val="444444"/>
          <w:sz w:val="20"/>
          <w:szCs w:val="20"/>
        </w:rPr>
        <w:t xml:space="preserve">LEGO’s AI literacy initiative for K–8 (relevant as pipeline to higher ed)</w:t>
      </w:r>
    </w:p>
    <w:p>
      <w:r>
        <w:br w:type="page"/>
      </w:r>
    </w:p>
    <w:p>
      <w:pPr>
        <w:pBdr>
          <w:bottom w:val="single" w:color="00D4FF" w:sz="3" w:space="8"/>
        </w:pBdr>
        <w:spacing w:before="400" w:after="200"/>
      </w:pPr>
      <w:r>
        <w:rPr>
          <w:rFonts w:ascii="Arial" w:cs="Arial" w:eastAsia="Arial" w:hAnsi="Arial"/>
          <w:b/>
          <w:bCs/>
          <w:color w:val="00D4FF"/>
          <w:sz w:val="24"/>
          <w:szCs w:val="24"/>
        </w:rPr>
        <w:t xml:space="preserve">●  </w:t>
      </w:r>
      <w:r>
        <w:rPr>
          <w:rFonts w:ascii="Arial" w:cs="Arial" w:eastAsia="Arial" w:hAnsi="Arial"/>
          <w:b/>
          <w:bCs/>
          <w:color w:val="1A1A1A"/>
          <w:sz w:val="28"/>
          <w:szCs w:val="28"/>
        </w:rPr>
        <w:t xml:space="preserve">Tool Spotlight</w:t>
      </w:r>
    </w:p>
    <w:p>
      <w:pPr>
        <w:spacing w:before="60" w:after="60"/>
      </w:pPr>
      <w:r>
        <w:rPr>
          <w:rFonts w:ascii="Arial" w:cs="Arial" w:eastAsia="Arial" w:hAnsi="Arial"/>
          <w:color w:val="333333"/>
          <w:sz w:val="20"/>
          <w:szCs w:val="20"/>
        </w:rPr>
        <w:t xml:space="preserve">A curated profile of one AI tool or platform relevant to higher education. This operates at two tiers:</w:t>
      </w:r>
    </w:p>
    <w:p>
      <w:pPr>
        <w:spacing w:before="240" w:after="80"/>
      </w:pPr>
      <w:r>
        <w:rPr>
          <w:rFonts w:ascii="Arial" w:cs="Arial" w:eastAsia="Arial" w:hAnsi="Arial"/>
          <w:b/>
          <w:bCs/>
          <w:color w:val="333333"/>
          <w:sz w:val="22"/>
          <w:szCs w:val="22"/>
        </w:rPr>
        <w:t xml:space="preserve">Tier 1: Daily Quick Profile (Automated)</w:t>
      </w:r>
    </w:p>
    <w:p>
      <w:pPr>
        <w:spacing w:before="60" w:after="60"/>
      </w:pPr>
      <w:r>
        <w:rPr>
          <w:rFonts w:ascii="Arial" w:cs="Arial" w:eastAsia="Arial" w:hAnsi="Arial"/>
          <w:color w:val="333333"/>
          <w:sz w:val="20"/>
          <w:szCs w:val="20"/>
        </w:rPr>
        <w:t xml:space="preserve">A concise, useful summary of one tool that appeared in the news or is worth highlighting. Generated by the automation pipeline. Includes:</w:t>
      </w:r>
    </w:p>
    <w:p>
      <w:pPr>
        <w:pStyle w:val="ListParagraph"/>
        <w:numPr>
          <w:ilvl w:val="0"/>
          <w:numId w:val="2"/>
        </w:numPr>
        <w:spacing w:before="40" w:after="40"/>
      </w:pPr>
      <w:r>
        <w:rPr>
          <w:rFonts w:ascii="Arial" w:cs="Arial" w:eastAsia="Arial" w:hAnsi="Arial"/>
          <w:color w:val="444444"/>
          <w:sz w:val="20"/>
          <w:szCs w:val="20"/>
        </w:rPr>
        <w:t xml:space="preserve">What the tool does and who it’s for</w:t>
      </w:r>
    </w:p>
    <w:p>
      <w:pPr>
        <w:pStyle w:val="ListParagraph"/>
        <w:numPr>
          <w:ilvl w:val="0"/>
          <w:numId w:val="2"/>
        </w:numPr>
        <w:spacing w:before="40" w:after="40"/>
      </w:pPr>
      <w:r>
        <w:rPr>
          <w:rFonts w:ascii="Arial" w:cs="Arial" w:eastAsia="Arial" w:hAnsi="Arial"/>
          <w:color w:val="444444"/>
          <w:sz w:val="20"/>
          <w:szCs w:val="20"/>
        </w:rPr>
        <w:t xml:space="preserve">What’s new or notable about it (why today?)</w:t>
      </w:r>
    </w:p>
    <w:p>
      <w:pPr>
        <w:pStyle w:val="ListParagraph"/>
        <w:numPr>
          <w:ilvl w:val="0"/>
          <w:numId w:val="2"/>
        </w:numPr>
        <w:spacing w:before="40" w:after="40"/>
      </w:pPr>
      <w:r>
        <w:rPr>
          <w:rFonts w:ascii="Arial" w:cs="Arial" w:eastAsia="Arial" w:hAnsi="Arial"/>
          <w:color w:val="444444"/>
          <w:sz w:val="20"/>
          <w:szCs w:val="20"/>
        </w:rPr>
        <w:t xml:space="preserve">Key features relevant to educators</w:t>
      </w:r>
    </w:p>
    <w:p>
      <w:pPr>
        <w:pStyle w:val="ListParagraph"/>
        <w:numPr>
          <w:ilvl w:val="0"/>
          <w:numId w:val="2"/>
        </w:numPr>
        <w:spacing w:before="40" w:after="40"/>
      </w:pPr>
      <w:r>
        <w:rPr>
          <w:rFonts w:ascii="Arial" w:cs="Arial" w:eastAsia="Arial" w:hAnsi="Arial"/>
          <w:color w:val="444444"/>
          <w:sz w:val="20"/>
          <w:szCs w:val="20"/>
        </w:rPr>
        <w:t xml:space="preserve">Pricing tier (free / freemium / paid / education discount)</w:t>
      </w:r>
    </w:p>
    <w:p>
      <w:pPr>
        <w:pStyle w:val="ListParagraph"/>
        <w:numPr>
          <w:ilvl w:val="0"/>
          <w:numId w:val="2"/>
        </w:numPr>
        <w:spacing w:before="40" w:after="40"/>
      </w:pPr>
      <w:r>
        <w:rPr>
          <w:rFonts w:ascii="Arial" w:cs="Arial" w:eastAsia="Arial" w:hAnsi="Arial"/>
          <w:color w:val="444444"/>
          <w:sz w:val="20"/>
          <w:szCs w:val="20"/>
        </w:rPr>
        <w:t xml:space="preserve">Direct link to try it</w:t>
      </w:r>
    </w:p>
    <w:p>
      <w:pPr>
        <w:spacing w:before="240" w:after="80"/>
      </w:pPr>
      <w:r>
        <w:rPr>
          <w:rFonts w:ascii="Arial" w:cs="Arial" w:eastAsia="Arial" w:hAnsi="Arial"/>
          <w:b/>
          <w:bCs/>
          <w:color w:val="333333"/>
          <w:sz w:val="22"/>
          <w:szCs w:val="22"/>
        </w:rPr>
        <w:t xml:space="preserve">Tier 2: Deep-Dive Review (Editorial, Occasional)</w:t>
      </w:r>
    </w:p>
    <w:p>
      <w:pPr>
        <w:spacing w:before="60" w:after="60"/>
      </w:pPr>
      <w:r>
        <w:rPr>
          <w:rFonts w:ascii="Arial" w:cs="Arial" w:eastAsia="Arial" w:hAnsi="Arial"/>
          <w:color w:val="333333"/>
          <w:sz w:val="20"/>
          <w:szCs w:val="20"/>
        </w:rPr>
        <w:t xml:space="preserve">A hands-on editorial review done when time allows — maybe weekly or a few times per month. Includes everything in Tier 1 plus:</w:t>
      </w:r>
    </w:p>
    <w:p>
      <w:pPr>
        <w:pStyle w:val="ListParagraph"/>
        <w:numPr>
          <w:ilvl w:val="0"/>
          <w:numId w:val="2"/>
        </w:numPr>
        <w:spacing w:before="40" w:after="40"/>
      </w:pPr>
      <w:r>
        <w:rPr>
          <w:rFonts w:ascii="Arial" w:cs="Arial" w:eastAsia="Arial" w:hAnsi="Arial"/>
          <w:color w:val="444444"/>
          <w:sz w:val="20"/>
          <w:szCs w:val="20"/>
        </w:rPr>
        <w:t xml:space="preserve">Dr. Norma’s Take — editorial opinion on the tool’s value for educators</w:t>
      </w:r>
    </w:p>
    <w:p>
      <w:pPr>
        <w:pStyle w:val="ListParagraph"/>
        <w:numPr>
          <w:ilvl w:val="0"/>
          <w:numId w:val="2"/>
        </w:numPr>
        <w:spacing w:before="40" w:after="40"/>
      </w:pPr>
      <w:r>
        <w:rPr>
          <w:rFonts w:ascii="Arial" w:cs="Arial" w:eastAsia="Arial" w:hAnsi="Arial"/>
          <w:color w:val="444444"/>
          <w:sz w:val="20"/>
          <w:szCs w:val="20"/>
        </w:rPr>
        <w:t xml:space="preserve">Pros and cons from actual use</w:t>
      </w:r>
    </w:p>
    <w:p>
      <w:pPr>
        <w:pStyle w:val="ListParagraph"/>
        <w:numPr>
          <w:ilvl w:val="0"/>
          <w:numId w:val="2"/>
        </w:numPr>
        <w:spacing w:before="40" w:after="40"/>
      </w:pPr>
      <w:r>
        <w:rPr>
          <w:rFonts w:ascii="Arial" w:cs="Arial" w:eastAsia="Arial" w:hAnsi="Arial"/>
          <w:color w:val="444444"/>
          <w:sz w:val="20"/>
          <w:szCs w:val="20"/>
        </w:rPr>
        <w:t xml:space="preserve">Comparison to alternatives in the same category</w:t>
      </w:r>
    </w:p>
    <w:p>
      <w:pPr>
        <w:pStyle w:val="ListParagraph"/>
        <w:numPr>
          <w:ilvl w:val="0"/>
          <w:numId w:val="2"/>
        </w:numPr>
        <w:spacing w:before="40" w:after="40"/>
      </w:pPr>
      <w:r>
        <w:rPr>
          <w:rFonts w:ascii="Arial" w:cs="Arial" w:eastAsia="Arial" w:hAnsi="Arial"/>
          <w:color w:val="444444"/>
          <w:sz w:val="20"/>
          <w:szCs w:val="20"/>
        </w:rPr>
        <w:t xml:space="preserve">Specific use cases tested (e.g., “I used it to grade 20 essays”)</w:t>
      </w:r>
    </w:p>
    <w:p>
      <w:pPr>
        <w:pStyle w:val="ListParagraph"/>
        <w:numPr>
          <w:ilvl w:val="0"/>
          <w:numId w:val="2"/>
        </w:numPr>
        <w:spacing w:before="40" w:after="40"/>
      </w:pPr>
      <w:r>
        <w:rPr>
          <w:rFonts w:ascii="Arial" w:cs="Arial" w:eastAsia="Arial" w:hAnsi="Arial"/>
          <w:color w:val="444444"/>
          <w:sz w:val="20"/>
          <w:szCs w:val="20"/>
        </w:rPr>
        <w:t xml:space="preserve">Cross-posts to the AI App Directory with a [SPOTLIGHT REVIEW] badge</w:t>
      </w:r>
    </w:p>
    <w:p>
      <w:pPr>
        <w:spacing w:before="240" w:after="80"/>
      </w:pPr>
      <w:r>
        <w:rPr>
          <w:rFonts w:ascii="Arial" w:cs="Arial" w:eastAsia="Arial" w:hAnsi="Arial"/>
          <w:b/>
          <w:bCs/>
          <w:color w:val="333333"/>
          <w:sz w:val="22"/>
          <w:szCs w:val="22"/>
        </w:rPr>
        <w:t xml:space="preserve">Selection Criteria</w:t>
      </w:r>
    </w:p>
    <w:p>
      <w:pPr>
        <w:pStyle w:val="ListParagraph"/>
        <w:numPr>
          <w:ilvl w:val="0"/>
          <w:numId w:val="2"/>
        </w:numPr>
        <w:spacing w:before="40" w:after="40"/>
      </w:pPr>
      <w:r>
        <w:rPr>
          <w:rFonts w:ascii="Arial" w:cs="Arial" w:eastAsia="Arial" w:hAnsi="Arial"/>
          <w:color w:val="444444"/>
          <w:sz w:val="20"/>
          <w:szCs w:val="20"/>
        </w:rPr>
        <w:t xml:space="preserve">Is it new, updated, or newly relevant to educators?</w:t>
      </w:r>
    </w:p>
    <w:p>
      <w:pPr>
        <w:pStyle w:val="ListParagraph"/>
        <w:numPr>
          <w:ilvl w:val="0"/>
          <w:numId w:val="2"/>
        </w:numPr>
        <w:spacing w:before="40" w:after="40"/>
      </w:pPr>
      <w:r>
        <w:rPr>
          <w:rFonts w:ascii="Arial" w:cs="Arial" w:eastAsia="Arial" w:hAnsi="Arial"/>
          <w:color w:val="444444"/>
          <w:sz w:val="20"/>
          <w:szCs w:val="20"/>
        </w:rPr>
        <w:t xml:space="preserve">Does it solve a real problem for faculty, staff, or students?</w:t>
      </w:r>
    </w:p>
    <w:p>
      <w:pPr>
        <w:pStyle w:val="ListParagraph"/>
        <w:numPr>
          <w:ilvl w:val="0"/>
          <w:numId w:val="2"/>
        </w:numPr>
        <w:spacing w:before="40" w:after="40"/>
      </w:pPr>
      <w:r>
        <w:rPr>
          <w:rFonts w:ascii="Arial" w:cs="Arial" w:eastAsia="Arial" w:hAnsi="Arial"/>
          <w:color w:val="444444"/>
          <w:sz w:val="20"/>
          <w:szCs w:val="20"/>
        </w:rPr>
        <w:t xml:space="preserve">Is it accessible (not enterprise-only, has a free or low-cost option)?</w:t>
      </w:r>
    </w:p>
    <w:p>
      <w:pPr>
        <w:pStyle w:val="ListParagraph"/>
        <w:numPr>
          <w:ilvl w:val="0"/>
          <w:numId w:val="2"/>
        </w:numPr>
        <w:spacing w:before="40" w:after="40"/>
      </w:pPr>
      <w:r>
        <w:rPr>
          <w:rFonts w:ascii="Arial" w:cs="Arial" w:eastAsia="Arial" w:hAnsi="Arial"/>
          <w:color w:val="444444"/>
          <w:sz w:val="20"/>
          <w:szCs w:val="20"/>
        </w:rPr>
        <w:t xml:space="preserve">Is it different enough from what we’ve spotlighted recently?</w:t>
      </w:r>
    </w:p>
    <w:p>
      <w:pPr>
        <w:spacing w:before="80" w:after="80"/>
      </w:pPr>
      <w:r>
        <w:rPr>
          <w:rFonts w:ascii="Arial" w:cs="Arial" w:eastAsia="Arial" w:hAnsi="Arial"/>
          <w:b/>
          <w:bCs/>
          <w:color w:val="666666"/>
          <w:sz w:val="18"/>
          <w:szCs w:val="18"/>
        </w:rPr>
        <w:t xml:space="preserve">Search Terms: </w:t>
      </w:r>
      <w:r>
        <w:rPr>
          <w:rFonts w:ascii="JetBrains Mono" w:cs="JetBrains Mono" w:eastAsia="JetBrains Mono" w:hAnsi="JetBrains Mono"/>
          <w:color w:val="8B5CF6"/>
          <w:sz w:val="18"/>
          <w:szCs w:val="18"/>
        </w:rPr>
        <w:t xml:space="preserve">"new AI tools for educators"</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productivity tool review"</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"generative AI tools list education"</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"best AI tool for grading"</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writing feedback tool"</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lesson planning tool"</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research assistant tool"</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presentation tool education"</w:t>
      </w:r>
    </w:p>
    <w:p>
      <w:pPr>
        <w:spacing w:before="40" w:after="120"/>
      </w:pPr>
      <w:r>
        <w:rPr>
          <w:rFonts w:ascii="Arial" w:cs="Arial" w:eastAsia="Arial" w:hAnsi="Arial"/>
          <w:b/>
          <w:bCs/>
          <w:color w:val="666666"/>
          <w:sz w:val="18"/>
          <w:szCs w:val="18"/>
        </w:rPr>
        <w:t xml:space="preserve">Priority Sources: </w:t>
      </w:r>
      <w:r>
        <w:rPr>
          <w:rFonts w:ascii="Arial" w:cs="Arial" w:eastAsia="Arial" w:hAnsi="Arial"/>
          <w:i/>
          <w:iCs/>
          <w:color w:val="1A6FB5"/>
          <w:sz w:val="18"/>
          <w:szCs w:val="18"/>
        </w:rPr>
        <w:t xml:space="preserve">The Rundown AI (tool listings)</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There’s an AI For That</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Product Hunt</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CRN (ethical AI tools)</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EdSurge (tool reviews)</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AI for Education newsletter</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KnowledgeLeader (generative AI tools)</w:t>
      </w:r>
    </w:p>
    <w:p>
      <w:pPr>
        <w:spacing w:before="240" w:after="80"/>
      </w:pPr>
      <w:r>
        <w:rPr>
          <w:rFonts w:ascii="Arial" w:cs="Arial" w:eastAsia="Arial" w:hAnsi="Arial"/>
          <w:b/>
          <w:bCs/>
          <w:color w:val="333333"/>
          <w:sz w:val="22"/>
          <w:szCs w:val="22"/>
        </w:rPr>
        <w:t xml:space="preserve">Example Stories</w:t>
      </w:r>
    </w:p>
    <w:p>
      <w:pPr>
        <w:pStyle w:val="ListParagraph"/>
        <w:numPr>
          <w:ilvl w:val="0"/>
          <w:numId w:val="2"/>
        </w:numPr>
        <w:spacing w:before="40" w:after="40"/>
      </w:pPr>
      <w:r>
        <w:rPr>
          <w:rFonts w:ascii="Arial" w:cs="Arial" w:eastAsia="Arial" w:hAnsi="Arial"/>
          <w:color w:val="444444"/>
          <w:sz w:val="20"/>
          <w:szCs w:val="20"/>
        </w:rPr>
        <w:t xml:space="preserve">Tier 1 (Daily): “NotebookLM now supports audio study guides — here’s what educators need to know”</w:t>
      </w:r>
    </w:p>
    <w:p>
      <w:pPr>
        <w:pStyle w:val="ListParagraph"/>
        <w:numPr>
          <w:ilvl w:val="0"/>
          <w:numId w:val="2"/>
        </w:numPr>
        <w:spacing w:before="40" w:after="40"/>
      </w:pPr>
      <w:r>
        <w:rPr>
          <w:rFonts w:ascii="Arial" w:cs="Arial" w:eastAsia="Arial" w:hAnsi="Arial"/>
          <w:color w:val="444444"/>
          <w:sz w:val="20"/>
          <w:szCs w:val="20"/>
        </w:rPr>
        <w:t xml:space="preserve">Tier 2 (Deep-Dive): “We spent a week with Brisk Teaching — here’s our honest take on AI-powered feedback”</w:t>
      </w:r>
    </w:p>
    <w:p>
      <w:r>
        <w:br w:type="page"/>
      </w:r>
    </w:p>
    <w:p>
      <w:pPr>
        <w:pBdr>
          <w:bottom w:val="single" w:color="3B82F6" w:sz="3" w:space="8"/>
        </w:pBdr>
        <w:spacing w:before="400" w:after="200"/>
      </w:pPr>
      <w:r>
        <w:rPr>
          <w:rFonts w:ascii="Arial" w:cs="Arial" w:eastAsia="Arial" w:hAnsi="Arial"/>
          <w:b/>
          <w:bCs/>
          <w:color w:val="3B82F6"/>
          <w:sz w:val="24"/>
          <w:szCs w:val="24"/>
        </w:rPr>
        <w:t xml:space="preserve">●  </w:t>
      </w:r>
      <w:r>
        <w:rPr>
          <w:rFonts w:ascii="Arial" w:cs="Arial" w:eastAsia="Arial" w:hAnsi="Arial"/>
          <w:b/>
          <w:bCs/>
          <w:color w:val="1A1A1A"/>
          <w:sz w:val="28"/>
          <w:szCs w:val="28"/>
        </w:rPr>
        <w:t xml:space="preserve">Case Studies</w:t>
      </w:r>
    </w:p>
    <w:p>
      <w:pPr>
        <w:spacing w:before="60" w:after="60"/>
      </w:pPr>
      <w:r>
        <w:rPr>
          <w:rFonts w:ascii="Arial" w:cs="Arial" w:eastAsia="Arial" w:hAnsi="Arial"/>
          <w:color w:val="333333"/>
          <w:sz w:val="20"/>
          <w:szCs w:val="20"/>
        </w:rPr>
        <w:t xml:space="preserve">Real implementations at real institutions. This is where educators see their peers doing the work — what they deployed, how they rolled it out, and what happened. Case studies build the “look how far ahead they are” inspiration that motivates action.</w:t>
      </w:r>
    </w:p>
    <w:p>
      <w:pPr>
        <w:spacing w:before="240" w:after="80"/>
      </w:pPr>
      <w:r>
        <w:rPr>
          <w:rFonts w:ascii="Arial" w:cs="Arial" w:eastAsia="Arial" w:hAnsi="Arial"/>
          <w:b/>
          <w:bCs/>
          <w:color w:val="333333"/>
          <w:sz w:val="22"/>
          <w:szCs w:val="22"/>
        </w:rPr>
        <w:t xml:space="preserve">What Belongs Here</w:t>
      </w:r>
    </w:p>
    <w:p>
      <w:pPr>
        <w:pStyle w:val="ListParagraph"/>
        <w:numPr>
          <w:ilvl w:val="0"/>
          <w:numId w:val="2"/>
        </w:numPr>
        <w:spacing w:before="40" w:after="40"/>
      </w:pPr>
      <w:r>
        <w:rPr>
          <w:rFonts w:ascii="Arial" w:cs="Arial" w:eastAsia="Arial" w:hAnsi="Arial"/>
          <w:color w:val="444444"/>
          <w:sz w:val="20"/>
          <w:szCs w:val="20"/>
        </w:rPr>
        <w:t xml:space="preserve">Specific universities or colleges deploying AI tools campus-wide</w:t>
      </w:r>
    </w:p>
    <w:p>
      <w:pPr>
        <w:pStyle w:val="ListParagraph"/>
        <w:numPr>
          <w:ilvl w:val="0"/>
          <w:numId w:val="2"/>
        </w:numPr>
        <w:spacing w:before="40" w:after="40"/>
      </w:pPr>
      <w:r>
        <w:rPr>
          <w:rFonts w:ascii="Arial" w:cs="Arial" w:eastAsia="Arial" w:hAnsi="Arial"/>
          <w:color w:val="444444"/>
          <w:sz w:val="20"/>
          <w:szCs w:val="20"/>
        </w:rPr>
        <w:t xml:space="preserve">Department-level AI adoption stories (e.g., “The nursing school built a VR + AI simulation lab”)</w:t>
      </w:r>
    </w:p>
    <w:p>
      <w:pPr>
        <w:pStyle w:val="ListParagraph"/>
        <w:numPr>
          <w:ilvl w:val="0"/>
          <w:numId w:val="2"/>
        </w:numPr>
        <w:spacing w:before="40" w:after="40"/>
      </w:pPr>
      <w:r>
        <w:rPr>
          <w:rFonts w:ascii="Arial" w:cs="Arial" w:eastAsia="Arial" w:hAnsi="Arial"/>
          <w:color w:val="444444"/>
          <w:sz w:val="20"/>
          <w:szCs w:val="20"/>
        </w:rPr>
        <w:t xml:space="preserve">Faculty members sharing their AI classroom experiments with results</w:t>
      </w:r>
    </w:p>
    <w:p>
      <w:pPr>
        <w:pStyle w:val="ListParagraph"/>
        <w:numPr>
          <w:ilvl w:val="0"/>
          <w:numId w:val="2"/>
        </w:numPr>
        <w:spacing w:before="40" w:after="40"/>
      </w:pPr>
      <w:r>
        <w:rPr>
          <w:rFonts w:ascii="Arial" w:cs="Arial" w:eastAsia="Arial" w:hAnsi="Arial"/>
          <w:color w:val="444444"/>
          <w:sz w:val="20"/>
          <w:szCs w:val="20"/>
        </w:rPr>
        <w:t xml:space="preserve">Administrative AI implementations (admissions, advising, enrollment management)</w:t>
      </w:r>
    </w:p>
    <w:p>
      <w:pPr>
        <w:pStyle w:val="ListParagraph"/>
        <w:numPr>
          <w:ilvl w:val="0"/>
          <w:numId w:val="2"/>
        </w:numPr>
        <w:spacing w:before="40" w:after="40"/>
      </w:pPr>
      <w:r>
        <w:rPr>
          <w:rFonts w:ascii="Arial" w:cs="Arial" w:eastAsia="Arial" w:hAnsi="Arial"/>
          <w:color w:val="444444"/>
          <w:sz w:val="20"/>
          <w:szCs w:val="20"/>
        </w:rPr>
        <w:t xml:space="preserve">Multi-institution studies showing implementation outcomes</w:t>
      </w:r>
    </w:p>
    <w:p>
      <w:pPr>
        <w:pStyle w:val="ListParagraph"/>
        <w:numPr>
          <w:ilvl w:val="0"/>
          <w:numId w:val="2"/>
        </w:numPr>
        <w:spacing w:before="40" w:after="40"/>
      </w:pPr>
      <w:r>
        <w:rPr>
          <w:rFonts w:ascii="Arial" w:cs="Arial" w:eastAsia="Arial" w:hAnsi="Arial"/>
          <w:color w:val="444444"/>
          <w:sz w:val="20"/>
          <w:szCs w:val="20"/>
        </w:rPr>
        <w:t xml:space="preserve">Student-led AI initiatives or student government AI policies</w:t>
      </w:r>
    </w:p>
    <w:p>
      <w:pPr>
        <w:spacing w:before="240" w:after="80"/>
      </w:pPr>
      <w:r>
        <w:rPr>
          <w:rFonts w:ascii="Arial" w:cs="Arial" w:eastAsia="Arial" w:hAnsi="Arial"/>
          <w:b/>
          <w:bCs/>
          <w:color w:val="333333"/>
          <w:sz w:val="22"/>
          <w:szCs w:val="22"/>
        </w:rPr>
        <w:t xml:space="preserve">What Does NOT Belong Here</w:t>
      </w:r>
    </w:p>
    <w:p>
      <w:pPr>
        <w:pStyle w:val="ListParagraph"/>
        <w:numPr>
          <w:ilvl w:val="0"/>
          <w:numId w:val="2"/>
        </w:numPr>
        <w:spacing w:before="40" w:after="40"/>
      </w:pPr>
      <w:r>
        <w:rPr>
          <w:rFonts w:ascii="Arial" w:cs="Arial" w:eastAsia="Arial" w:hAnsi="Arial"/>
          <w:color w:val="444444"/>
          <w:sz w:val="20"/>
          <w:szCs w:val="20"/>
        </w:rPr>
        <w:t xml:space="preserve">Broad survey data about many institutions → Insights &amp; Trends</w:t>
      </w:r>
    </w:p>
    <w:p>
      <w:pPr>
        <w:pStyle w:val="ListParagraph"/>
        <w:numPr>
          <w:ilvl w:val="0"/>
          <w:numId w:val="2"/>
        </w:numPr>
        <w:spacing w:before="40" w:after="40"/>
      </w:pPr>
      <w:r>
        <w:rPr>
          <w:rFonts w:ascii="Arial" w:cs="Arial" w:eastAsia="Arial" w:hAnsi="Arial"/>
          <w:color w:val="444444"/>
          <w:sz w:val="20"/>
          <w:szCs w:val="20"/>
        </w:rPr>
        <w:t xml:space="preserve">A new tool announcement without implementation context → Latest AI Products</w:t>
      </w:r>
    </w:p>
    <w:p>
      <w:pPr>
        <w:pStyle w:val="ListParagraph"/>
        <w:numPr>
          <w:ilvl w:val="0"/>
          <w:numId w:val="2"/>
        </w:numPr>
        <w:spacing w:before="40" w:after="40"/>
      </w:pPr>
      <w:r>
        <w:rPr>
          <w:rFonts w:ascii="Arial" w:cs="Arial" w:eastAsia="Arial" w:hAnsi="Arial"/>
          <w:color w:val="444444"/>
          <w:sz w:val="20"/>
          <w:szCs w:val="20"/>
        </w:rPr>
        <w:t xml:space="preserve">A how-to guide without institutional context → Practical Tips</w:t>
      </w:r>
    </w:p>
    <w:p>
      <w:pPr>
        <w:spacing w:before="240" w:after="80"/>
      </w:pPr>
      <w:r>
        <w:rPr>
          <w:rFonts w:ascii="Arial" w:cs="Arial" w:eastAsia="Arial" w:hAnsi="Arial"/>
          <w:b/>
          <w:bCs/>
          <w:color w:val="333333"/>
          <w:sz w:val="22"/>
          <w:szCs w:val="22"/>
        </w:rPr>
        <w:t xml:space="preserve">Editorial Requirement</w:t>
      </w:r>
    </w:p>
    <w:p>
      <w:pPr>
        <w:spacing w:before="60" w:after="60"/>
      </w:pPr>
      <w:r>
        <w:rPr>
          <w:rFonts w:ascii="Arial" w:cs="Arial" w:eastAsia="Arial" w:hAnsi="Arial"/>
          <w:color w:val="333333"/>
          <w:sz w:val="20"/>
          <w:szCs w:val="20"/>
        </w:rPr>
        <w:t xml:space="preserve">Every case study MUST name the institution(s) and include specifics: what they did, what tool/approach they used, and what happened (results, challenges, or lessons learned). Generic “universities are adopting AI” stories belong in Insights &amp; Trends, not here.</w:t>
      </w:r>
    </w:p>
    <w:p>
      <w:pPr>
        <w:spacing w:before="80" w:after="80"/>
      </w:pPr>
      <w:r>
        <w:rPr>
          <w:rFonts w:ascii="Arial" w:cs="Arial" w:eastAsia="Arial" w:hAnsi="Arial"/>
          <w:b/>
          <w:bCs/>
          <w:color w:val="666666"/>
          <w:sz w:val="18"/>
          <w:szCs w:val="18"/>
        </w:rPr>
        <w:t xml:space="preserve">Search Terms: </w:t>
      </w:r>
      <w:r>
        <w:rPr>
          <w:rFonts w:ascii="JetBrains Mono" w:cs="JetBrains Mono" w:eastAsia="JetBrains Mono" w:hAnsi="JetBrains Mono"/>
          <w:color w:val="8B5CF6"/>
          <w:sz w:val="18"/>
          <w:szCs w:val="18"/>
        </w:rPr>
        <w:t xml:space="preserve">"university AI implementation"</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"college AI classroom case study"</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"campus AI deployment"</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"faculty AI experiment results"</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"institution AI adoption story"</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"higher ed AI pilot program"</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tutoring campus results"</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advising system university"</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admissions enrollment"</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"HBCU AI program"</w:t>
      </w:r>
    </w:p>
    <w:p>
      <w:pPr>
        <w:spacing w:before="40" w:after="120"/>
      </w:pPr>
      <w:r>
        <w:rPr>
          <w:rFonts w:ascii="Arial" w:cs="Arial" w:eastAsia="Arial" w:hAnsi="Arial"/>
          <w:b/>
          <w:bCs/>
          <w:color w:val="666666"/>
          <w:sz w:val="18"/>
          <w:szCs w:val="18"/>
        </w:rPr>
        <w:t xml:space="preserve">Priority Sources: </w:t>
      </w:r>
      <w:r>
        <w:rPr>
          <w:rFonts w:ascii="Arial" w:cs="Arial" w:eastAsia="Arial" w:hAnsi="Arial"/>
          <w:i/>
          <w:iCs/>
          <w:color w:val="1A6FB5"/>
          <w:sz w:val="18"/>
          <w:szCs w:val="18"/>
        </w:rPr>
        <w:t xml:space="preserve">Inside Higher Ed</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Chronicle of Higher Education</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EDUCAUSE Review</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University press releases</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EdSurge</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Campus Technology</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AWS Education Blog</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Google for Education Blog</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Microsoft Education Blog</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Specific institutional news sites</w:t>
      </w:r>
    </w:p>
    <w:p>
      <w:pPr>
        <w:spacing w:before="240" w:after="80"/>
      </w:pPr>
      <w:r>
        <w:rPr>
          <w:rFonts w:ascii="Arial" w:cs="Arial" w:eastAsia="Arial" w:hAnsi="Arial"/>
          <w:b/>
          <w:bCs/>
          <w:color w:val="333333"/>
          <w:sz w:val="22"/>
          <w:szCs w:val="22"/>
        </w:rPr>
        <w:t xml:space="preserve">Example Stories</w:t>
      </w:r>
    </w:p>
    <w:p>
      <w:pPr>
        <w:pStyle w:val="ListParagraph"/>
        <w:numPr>
          <w:ilvl w:val="0"/>
          <w:numId w:val="2"/>
        </w:numPr>
        <w:spacing w:before="40" w:after="40"/>
      </w:pPr>
      <w:r>
        <w:rPr>
          <w:rFonts w:ascii="Arial" w:cs="Arial" w:eastAsia="Arial" w:hAnsi="Arial"/>
          <w:color w:val="444444"/>
          <w:sz w:val="20"/>
          <w:szCs w:val="20"/>
        </w:rPr>
        <w:t xml:space="preserve">Boise State builds campus-wide AI on AWS at a fraction of expected cost</w:t>
      </w:r>
    </w:p>
    <w:p>
      <w:pPr>
        <w:pStyle w:val="ListParagraph"/>
        <w:numPr>
          <w:ilvl w:val="0"/>
          <w:numId w:val="2"/>
        </w:numPr>
        <w:spacing w:before="40" w:after="40"/>
      </w:pPr>
      <w:r>
        <w:rPr>
          <w:rFonts w:ascii="Arial" w:cs="Arial" w:eastAsia="Arial" w:hAnsi="Arial"/>
          <w:color w:val="444444"/>
          <w:sz w:val="20"/>
          <w:szCs w:val="20"/>
        </w:rPr>
        <w:t xml:space="preserve">OpenAI partners with 10 HBCUs for AI access program — early results</w:t>
      </w:r>
    </w:p>
    <w:p>
      <w:pPr>
        <w:pStyle w:val="ListParagraph"/>
        <w:numPr>
          <w:ilvl w:val="0"/>
          <w:numId w:val="2"/>
        </w:numPr>
        <w:spacing w:before="40" w:after="40"/>
      </w:pPr>
      <w:r>
        <w:rPr>
          <w:rFonts w:ascii="Arial" w:cs="Arial" w:eastAsia="Arial" w:hAnsi="Arial"/>
          <w:color w:val="444444"/>
          <w:sz w:val="20"/>
          <w:szCs w:val="20"/>
        </w:rPr>
        <w:t xml:space="preserve">Arizona State’s AI tutoring pilot: 40% improvement in STEM gateway pass rates</w:t>
      </w:r>
    </w:p>
    <w:p>
      <w:pPr>
        <w:pStyle w:val="ListParagraph"/>
        <w:numPr>
          <w:ilvl w:val="0"/>
          <w:numId w:val="2"/>
        </w:numPr>
        <w:spacing w:before="40" w:after="40"/>
      </w:pPr>
      <w:r>
        <w:rPr>
          <w:rFonts w:ascii="Arial" w:cs="Arial" w:eastAsia="Arial" w:hAnsi="Arial"/>
          <w:color w:val="444444"/>
          <w:sz w:val="20"/>
          <w:szCs w:val="20"/>
        </w:rPr>
        <w:t xml:space="preserve">Community college uses AI advising to reduce summer melt by 22%</w:t>
      </w:r>
    </w:p>
    <w:p>
      <w:r>
        <w:br w:type="page"/>
      </w:r>
    </w:p>
    <w:p>
      <w:pPr>
        <w:pBdr>
          <w:bottom w:val="single" w:color="14B8A6" w:sz="3" w:space="8"/>
        </w:pBdr>
        <w:spacing w:before="400" w:after="200"/>
      </w:pPr>
      <w:r>
        <w:rPr>
          <w:rFonts w:ascii="Arial" w:cs="Arial" w:eastAsia="Arial" w:hAnsi="Arial"/>
          <w:b/>
          <w:bCs/>
          <w:color w:val="14B8A6"/>
          <w:sz w:val="24"/>
          <w:szCs w:val="24"/>
        </w:rPr>
        <w:t xml:space="preserve">●  </w:t>
      </w:r>
      <w:r>
        <w:rPr>
          <w:rFonts w:ascii="Arial" w:cs="Arial" w:eastAsia="Arial" w:hAnsi="Arial"/>
          <w:b/>
          <w:bCs/>
          <w:color w:val="1A1A1A"/>
          <w:sz w:val="28"/>
          <w:szCs w:val="28"/>
        </w:rPr>
        <w:t xml:space="preserve">Practical Tips</w:t>
      </w:r>
    </w:p>
    <w:p>
      <w:pPr>
        <w:spacing w:before="60" w:after="60"/>
      </w:pPr>
      <w:r>
        <w:rPr>
          <w:rFonts w:ascii="Arial" w:cs="Arial" w:eastAsia="Arial" w:hAnsi="Arial"/>
          <w:color w:val="333333"/>
          <w:sz w:val="20"/>
          <w:szCs w:val="20"/>
        </w:rPr>
        <w:t xml:space="preserve">Actionable advice that an educator, student, or administrator can implement immediately. The bar is simple: could someone use this on Monday morning? If yes, it belongs here. If it’s interesting but not actionable, it’s probably Insights &amp; Trends.</w:t>
      </w:r>
    </w:p>
    <w:p>
      <w:pPr>
        <w:spacing w:before="240" w:after="80"/>
      </w:pPr>
      <w:r>
        <w:rPr>
          <w:rFonts w:ascii="Arial" w:cs="Arial" w:eastAsia="Arial" w:hAnsi="Arial"/>
          <w:b/>
          <w:bCs/>
          <w:color w:val="333333"/>
          <w:sz w:val="22"/>
          <w:szCs w:val="22"/>
        </w:rPr>
        <w:t xml:space="preserve">What Belongs Here</w:t>
      </w:r>
    </w:p>
    <w:p>
      <w:pPr>
        <w:pStyle w:val="ListParagraph"/>
        <w:numPr>
          <w:ilvl w:val="0"/>
          <w:numId w:val="2"/>
        </w:numPr>
        <w:spacing w:before="40" w:after="40"/>
      </w:pPr>
      <w:r>
        <w:rPr>
          <w:rFonts w:ascii="Arial" w:cs="Arial" w:eastAsia="Arial" w:hAnsi="Arial"/>
          <w:color w:val="444444"/>
          <w:sz w:val="20"/>
          <w:szCs w:val="20"/>
        </w:rPr>
        <w:t xml:space="preserve">Step-by-step guides for using AI tools in the classroom</w:t>
      </w:r>
    </w:p>
    <w:p>
      <w:pPr>
        <w:pStyle w:val="ListParagraph"/>
        <w:numPr>
          <w:ilvl w:val="0"/>
          <w:numId w:val="2"/>
        </w:numPr>
        <w:spacing w:before="40" w:after="40"/>
      </w:pPr>
      <w:r>
        <w:rPr>
          <w:rFonts w:ascii="Arial" w:cs="Arial" w:eastAsia="Arial" w:hAnsi="Arial"/>
          <w:color w:val="444444"/>
          <w:sz w:val="20"/>
          <w:szCs w:val="20"/>
        </w:rPr>
        <w:t xml:space="preserve">Syllabus language templates for AI policies</w:t>
      </w:r>
    </w:p>
    <w:p>
      <w:pPr>
        <w:pStyle w:val="ListParagraph"/>
        <w:numPr>
          <w:ilvl w:val="0"/>
          <w:numId w:val="2"/>
        </w:numPr>
        <w:spacing w:before="40" w:after="40"/>
      </w:pPr>
      <w:r>
        <w:rPr>
          <w:rFonts w:ascii="Arial" w:cs="Arial" w:eastAsia="Arial" w:hAnsi="Arial"/>
          <w:color w:val="444444"/>
          <w:sz w:val="20"/>
          <w:szCs w:val="20"/>
        </w:rPr>
        <w:t xml:space="preserve">Prompt engineering tips for educators</w:t>
      </w:r>
    </w:p>
    <w:p>
      <w:pPr>
        <w:pStyle w:val="ListParagraph"/>
        <w:numPr>
          <w:ilvl w:val="0"/>
          <w:numId w:val="2"/>
        </w:numPr>
        <w:spacing w:before="40" w:after="40"/>
      </w:pPr>
      <w:r>
        <w:rPr>
          <w:rFonts w:ascii="Arial" w:cs="Arial" w:eastAsia="Arial" w:hAnsi="Arial"/>
          <w:color w:val="444444"/>
          <w:sz w:val="20"/>
          <w:szCs w:val="20"/>
        </w:rPr>
        <w:t xml:space="preserve">Assessment redesign strategies for the AI era</w:t>
      </w:r>
    </w:p>
    <w:p>
      <w:pPr>
        <w:pStyle w:val="ListParagraph"/>
        <w:numPr>
          <w:ilvl w:val="0"/>
          <w:numId w:val="2"/>
        </w:numPr>
        <w:spacing w:before="40" w:after="40"/>
      </w:pPr>
      <w:r>
        <w:rPr>
          <w:rFonts w:ascii="Arial" w:cs="Arial" w:eastAsia="Arial" w:hAnsi="Arial"/>
          <w:color w:val="444444"/>
          <w:sz w:val="20"/>
          <w:szCs w:val="20"/>
        </w:rPr>
        <w:t xml:space="preserve">Data management and privacy best practices</w:t>
      </w:r>
    </w:p>
    <w:p>
      <w:pPr>
        <w:pStyle w:val="ListParagraph"/>
        <w:numPr>
          <w:ilvl w:val="0"/>
          <w:numId w:val="2"/>
        </w:numPr>
        <w:spacing w:before="40" w:after="40"/>
      </w:pPr>
      <w:r>
        <w:rPr>
          <w:rFonts w:ascii="Arial" w:cs="Arial" w:eastAsia="Arial" w:hAnsi="Arial"/>
          <w:color w:val="444444"/>
          <w:sz w:val="20"/>
          <w:szCs w:val="20"/>
        </w:rPr>
        <w:t xml:space="preserve">Tips for evaluating AI tool quality and reliability</w:t>
      </w:r>
    </w:p>
    <w:p>
      <w:pPr>
        <w:pStyle w:val="ListParagraph"/>
        <w:numPr>
          <w:ilvl w:val="0"/>
          <w:numId w:val="2"/>
        </w:numPr>
        <w:spacing w:before="40" w:after="40"/>
      </w:pPr>
      <w:r>
        <w:rPr>
          <w:rFonts w:ascii="Arial" w:cs="Arial" w:eastAsia="Arial" w:hAnsi="Arial"/>
          <w:color w:val="444444"/>
          <w:sz w:val="20"/>
          <w:szCs w:val="20"/>
        </w:rPr>
        <w:t xml:space="preserve">Workflow automations for administrative tasks</w:t>
      </w:r>
    </w:p>
    <w:p>
      <w:pPr>
        <w:pStyle w:val="ListParagraph"/>
        <w:numPr>
          <w:ilvl w:val="0"/>
          <w:numId w:val="2"/>
        </w:numPr>
        <w:spacing w:before="40" w:after="40"/>
      </w:pPr>
      <w:r>
        <w:rPr>
          <w:rFonts w:ascii="Arial" w:cs="Arial" w:eastAsia="Arial" w:hAnsi="Arial"/>
          <w:color w:val="444444"/>
          <w:sz w:val="20"/>
          <w:szCs w:val="20"/>
        </w:rPr>
        <w:t xml:space="preserve">Tutorials on specific tools or features</w:t>
      </w:r>
    </w:p>
    <w:p>
      <w:pPr>
        <w:spacing w:before="240" w:after="80"/>
      </w:pPr>
      <w:r>
        <w:rPr>
          <w:rFonts w:ascii="Arial" w:cs="Arial" w:eastAsia="Arial" w:hAnsi="Arial"/>
          <w:b/>
          <w:bCs/>
          <w:color w:val="333333"/>
          <w:sz w:val="22"/>
          <w:szCs w:val="22"/>
        </w:rPr>
        <w:t xml:space="preserve">What Does NOT Belong Here</w:t>
      </w:r>
    </w:p>
    <w:p>
      <w:pPr>
        <w:pStyle w:val="ListParagraph"/>
        <w:numPr>
          <w:ilvl w:val="0"/>
          <w:numId w:val="2"/>
        </w:numPr>
        <w:spacing w:before="40" w:after="40"/>
      </w:pPr>
      <w:r>
        <w:rPr>
          <w:rFonts w:ascii="Arial" w:cs="Arial" w:eastAsia="Arial" w:hAnsi="Arial"/>
          <w:color w:val="444444"/>
          <w:sz w:val="20"/>
          <w:szCs w:val="20"/>
        </w:rPr>
        <w:t xml:space="preserve">Research findings about best practices → Insights &amp; Trends (unless distilled into steps)</w:t>
      </w:r>
    </w:p>
    <w:p>
      <w:pPr>
        <w:pStyle w:val="ListParagraph"/>
        <w:numPr>
          <w:ilvl w:val="0"/>
          <w:numId w:val="2"/>
        </w:numPr>
        <w:spacing w:before="40" w:after="40"/>
      </w:pPr>
      <w:r>
        <w:rPr>
          <w:rFonts w:ascii="Arial" w:cs="Arial" w:eastAsia="Arial" w:hAnsi="Arial"/>
          <w:color w:val="444444"/>
          <w:sz w:val="20"/>
          <w:szCs w:val="20"/>
        </w:rPr>
        <w:t xml:space="preserve">A university’s implementation story → Case Studies</w:t>
      </w:r>
    </w:p>
    <w:p>
      <w:pPr>
        <w:pStyle w:val="ListParagraph"/>
        <w:numPr>
          <w:ilvl w:val="0"/>
          <w:numId w:val="2"/>
        </w:numPr>
        <w:spacing w:before="40" w:after="40"/>
      </w:pPr>
      <w:r>
        <w:rPr>
          <w:rFonts w:ascii="Arial" w:cs="Arial" w:eastAsia="Arial" w:hAnsi="Arial"/>
          <w:color w:val="444444"/>
          <w:sz w:val="20"/>
          <w:szCs w:val="20"/>
        </w:rPr>
        <w:t xml:space="preserve">Ethics policy frameworks → Ethical AI</w:t>
      </w:r>
    </w:p>
    <w:p>
      <w:pPr>
        <w:spacing w:before="240" w:after="80"/>
      </w:pPr>
      <w:r>
        <w:rPr>
          <w:rFonts w:ascii="Arial" w:cs="Arial" w:eastAsia="Arial" w:hAnsi="Arial"/>
          <w:b/>
          <w:bCs/>
          <w:color w:val="333333"/>
          <w:sz w:val="22"/>
          <w:szCs w:val="22"/>
        </w:rPr>
        <w:t xml:space="preserve">Editorial Requirement</w:t>
      </w:r>
    </w:p>
    <w:p>
      <w:pPr>
        <w:spacing w:before="60" w:after="60"/>
      </w:pPr>
      <w:r>
        <w:rPr>
          <w:rFonts w:ascii="Arial" w:cs="Arial" w:eastAsia="Arial" w:hAnsi="Arial"/>
          <w:color w:val="333333"/>
          <w:sz w:val="20"/>
          <w:szCs w:val="20"/>
        </w:rPr>
        <w:t xml:space="preserve">Every Practical Tips story should include at least one concrete action the reader can take. “Consider updating your syllabus” is too vague. “Here’s a 3-sentence AI policy you can add to your syllabus today” is practical.</w:t>
      </w:r>
    </w:p>
    <w:p>
      <w:pPr>
        <w:spacing w:before="80" w:after="80"/>
      </w:pPr>
      <w:r>
        <w:rPr>
          <w:rFonts w:ascii="Arial" w:cs="Arial" w:eastAsia="Arial" w:hAnsi="Arial"/>
          <w:b/>
          <w:bCs/>
          <w:color w:val="666666"/>
          <w:sz w:val="18"/>
          <w:szCs w:val="18"/>
        </w:rPr>
        <w:t xml:space="preserve">Search Terms: </w:t>
      </w:r>
      <w:r>
        <w:rPr>
          <w:rFonts w:ascii="JetBrains Mono" w:cs="JetBrains Mono" w:eastAsia="JetBrains Mono" w:hAnsi="JetBrains Mono"/>
          <w:color w:val="8B5CF6"/>
          <w:sz w:val="18"/>
          <w:szCs w:val="18"/>
        </w:rPr>
        <w:t xml:space="preserve">"AI adoption tips educators"</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"using AI in the classroom how to"</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productivity tips teachers"</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syllabus policy template"</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"prompt engineering for educators"</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assessment redesign"</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data quality education"</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tool evaluation guide"</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classroom tutorial"</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grading workflow tips"</w:t>
      </w:r>
    </w:p>
    <w:p>
      <w:pPr>
        <w:spacing w:before="40" w:after="120"/>
      </w:pPr>
      <w:r>
        <w:rPr>
          <w:rFonts w:ascii="Arial" w:cs="Arial" w:eastAsia="Arial" w:hAnsi="Arial"/>
          <w:b/>
          <w:bCs/>
          <w:color w:val="666666"/>
          <w:sz w:val="18"/>
          <w:szCs w:val="18"/>
        </w:rPr>
        <w:t xml:space="preserve">Priority Sources: </w:t>
      </w:r>
      <w:r>
        <w:rPr>
          <w:rFonts w:ascii="Arial" w:cs="Arial" w:eastAsia="Arial" w:hAnsi="Arial"/>
          <w:i/>
          <w:iCs/>
          <w:color w:val="1A6FB5"/>
          <w:sz w:val="18"/>
          <w:szCs w:val="18"/>
        </w:rPr>
        <w:t xml:space="preserve">Faculty Focus</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Inside Higher Ed (practical)</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EDUCAUSE (how-to)</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Cult of Pedagogy</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The Teaching Professor</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TechNation</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KnowledgeLeader</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AI for Education newsletter</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Chronicle (advice)</w:t>
      </w:r>
    </w:p>
    <w:p>
      <w:pPr>
        <w:spacing w:before="240" w:after="80"/>
      </w:pPr>
      <w:r>
        <w:rPr>
          <w:rFonts w:ascii="Arial" w:cs="Arial" w:eastAsia="Arial" w:hAnsi="Arial"/>
          <w:b/>
          <w:bCs/>
          <w:color w:val="333333"/>
          <w:sz w:val="22"/>
          <w:szCs w:val="22"/>
        </w:rPr>
        <w:t xml:space="preserve">Example Stories</w:t>
      </w:r>
    </w:p>
    <w:p>
      <w:pPr>
        <w:pStyle w:val="ListParagraph"/>
        <w:numPr>
          <w:ilvl w:val="0"/>
          <w:numId w:val="2"/>
        </w:numPr>
        <w:spacing w:before="40" w:after="40"/>
      </w:pPr>
      <w:r>
        <w:rPr>
          <w:rFonts w:ascii="Arial" w:cs="Arial" w:eastAsia="Arial" w:hAnsi="Arial"/>
          <w:color w:val="444444"/>
          <w:sz w:val="20"/>
          <w:szCs w:val="20"/>
        </w:rPr>
        <w:t xml:space="preserve">3-step framework for categorizing assignments as AI-proof, AI-resistant, or AI-enhanced</w:t>
      </w:r>
    </w:p>
    <w:p>
      <w:pPr>
        <w:pStyle w:val="ListParagraph"/>
        <w:numPr>
          <w:ilvl w:val="0"/>
          <w:numId w:val="2"/>
        </w:numPr>
        <w:spacing w:before="40" w:after="40"/>
      </w:pPr>
      <w:r>
        <w:rPr>
          <w:rFonts w:ascii="Arial" w:cs="Arial" w:eastAsia="Arial" w:hAnsi="Arial"/>
          <w:color w:val="444444"/>
          <w:sz w:val="20"/>
          <w:szCs w:val="20"/>
        </w:rPr>
        <w:t xml:space="preserve">5 prompts every faculty member should have saved for course design</w:t>
      </w:r>
    </w:p>
    <w:p>
      <w:pPr>
        <w:pStyle w:val="ListParagraph"/>
        <w:numPr>
          <w:ilvl w:val="0"/>
          <w:numId w:val="2"/>
        </w:numPr>
        <w:spacing w:before="40" w:after="40"/>
      </w:pPr>
      <w:r>
        <w:rPr>
          <w:rFonts w:ascii="Arial" w:cs="Arial" w:eastAsia="Arial" w:hAnsi="Arial"/>
          <w:color w:val="444444"/>
          <w:sz w:val="20"/>
          <w:szCs w:val="20"/>
        </w:rPr>
        <w:t xml:space="preserve">How to audit your free-tier AI tools for data privacy before recommending to students</w:t>
      </w:r>
    </w:p>
    <w:p>
      <w:pPr>
        <w:pStyle w:val="ListParagraph"/>
        <w:numPr>
          <w:ilvl w:val="0"/>
          <w:numId w:val="2"/>
        </w:numPr>
        <w:spacing w:before="40" w:after="40"/>
      </w:pPr>
      <w:r>
        <w:rPr>
          <w:rFonts w:ascii="Arial" w:cs="Arial" w:eastAsia="Arial" w:hAnsi="Arial"/>
          <w:color w:val="444444"/>
          <w:sz w:val="20"/>
          <w:szCs w:val="20"/>
        </w:rPr>
        <w:t xml:space="preserve">Template: AI use policy language for your spring syllabus</w:t>
      </w:r>
    </w:p>
    <w:p>
      <w:r>
        <w:br w:type="page"/>
      </w:r>
    </w:p>
    <w:p>
      <w:pPr>
        <w:pBdr>
          <w:bottom w:val="single" w:color="EC4899" w:sz="3" w:space="8"/>
        </w:pBdr>
        <w:spacing w:before="400" w:after="200"/>
      </w:pPr>
      <w:r>
        <w:rPr>
          <w:rFonts w:ascii="Arial" w:cs="Arial" w:eastAsia="Arial" w:hAnsi="Arial"/>
          <w:b/>
          <w:bCs/>
          <w:color w:val="EC4899"/>
          <w:sz w:val="24"/>
          <w:szCs w:val="24"/>
        </w:rPr>
        <w:t xml:space="preserve">●  </w:t>
      </w:r>
      <w:r>
        <w:rPr>
          <w:rFonts w:ascii="Arial" w:cs="Arial" w:eastAsia="Arial" w:hAnsi="Arial"/>
          <w:b/>
          <w:bCs/>
          <w:color w:val="1A1A1A"/>
          <w:sz w:val="28"/>
          <w:szCs w:val="28"/>
        </w:rPr>
        <w:t xml:space="preserve">Ethical AI</w:t>
      </w:r>
    </w:p>
    <w:p>
      <w:pPr>
        <w:spacing w:before="60" w:after="60"/>
      </w:pPr>
      <w:r>
        <w:rPr>
          <w:rFonts w:ascii="Arial" w:cs="Arial" w:eastAsia="Arial" w:hAnsi="Arial"/>
          <w:color w:val="333333"/>
          <w:sz w:val="20"/>
          <w:szCs w:val="20"/>
        </w:rPr>
        <w:t xml:space="preserve">Covers ethics, governance, compliance, bias, academic integrity, and responsible AI use in education. This is the conscience of the Innovation Pulse — the stories that keep the conversation honest about AI’s risks alongside its promise.</w:t>
      </w:r>
    </w:p>
    <w:p>
      <w:pPr>
        <w:spacing w:before="240" w:after="80"/>
      </w:pPr>
      <w:r>
        <w:rPr>
          <w:rFonts w:ascii="Arial" w:cs="Arial" w:eastAsia="Arial" w:hAnsi="Arial"/>
          <w:b/>
          <w:bCs/>
          <w:color w:val="333333"/>
          <w:sz w:val="22"/>
          <w:szCs w:val="22"/>
        </w:rPr>
        <w:t xml:space="preserve">What Belongs Here</w:t>
      </w:r>
    </w:p>
    <w:p>
      <w:pPr>
        <w:pStyle w:val="ListParagraph"/>
        <w:numPr>
          <w:ilvl w:val="0"/>
          <w:numId w:val="2"/>
        </w:numPr>
        <w:spacing w:before="40" w:after="40"/>
      </w:pPr>
      <w:r>
        <w:rPr>
          <w:rFonts w:ascii="Arial" w:cs="Arial" w:eastAsia="Arial" w:hAnsi="Arial"/>
          <w:color w:val="444444"/>
          <w:sz w:val="20"/>
          <w:szCs w:val="20"/>
        </w:rPr>
        <w:t xml:space="preserve">AI bias research and algorithmic fairness audits</w:t>
      </w:r>
    </w:p>
    <w:p>
      <w:pPr>
        <w:pStyle w:val="ListParagraph"/>
        <w:numPr>
          <w:ilvl w:val="0"/>
          <w:numId w:val="2"/>
        </w:numPr>
        <w:spacing w:before="40" w:after="40"/>
      </w:pPr>
      <w:r>
        <w:rPr>
          <w:rFonts w:ascii="Arial" w:cs="Arial" w:eastAsia="Arial" w:hAnsi="Arial"/>
          <w:color w:val="444444"/>
          <w:sz w:val="20"/>
          <w:szCs w:val="20"/>
        </w:rPr>
        <w:t xml:space="preserve">Academic integrity policy developments (institutional and national)</w:t>
      </w:r>
    </w:p>
    <w:p>
      <w:pPr>
        <w:pStyle w:val="ListParagraph"/>
        <w:numPr>
          <w:ilvl w:val="0"/>
          <w:numId w:val="2"/>
        </w:numPr>
        <w:spacing w:before="40" w:after="40"/>
      </w:pPr>
      <w:r>
        <w:rPr>
          <w:rFonts w:ascii="Arial" w:cs="Arial" w:eastAsia="Arial" w:hAnsi="Arial"/>
          <w:color w:val="444444"/>
          <w:sz w:val="20"/>
          <w:szCs w:val="20"/>
        </w:rPr>
        <w:t xml:space="preserve">Data privacy and student data protection issues</w:t>
      </w:r>
    </w:p>
    <w:p>
      <w:pPr>
        <w:pStyle w:val="ListParagraph"/>
        <w:numPr>
          <w:ilvl w:val="0"/>
          <w:numId w:val="2"/>
        </w:numPr>
        <w:spacing w:before="40" w:after="40"/>
      </w:pPr>
      <w:r>
        <w:rPr>
          <w:rFonts w:ascii="Arial" w:cs="Arial" w:eastAsia="Arial" w:hAnsi="Arial"/>
          <w:color w:val="444444"/>
          <w:sz w:val="20"/>
          <w:szCs w:val="20"/>
        </w:rPr>
        <w:t xml:space="preserve">AI governance frameworks for institutions</w:t>
      </w:r>
    </w:p>
    <w:p>
      <w:pPr>
        <w:pStyle w:val="ListParagraph"/>
        <w:numPr>
          <w:ilvl w:val="0"/>
          <w:numId w:val="2"/>
        </w:numPr>
        <w:spacing w:before="40" w:after="40"/>
      </w:pPr>
      <w:r>
        <w:rPr>
          <w:rFonts w:ascii="Arial" w:cs="Arial" w:eastAsia="Arial" w:hAnsi="Arial"/>
          <w:color w:val="444444"/>
          <w:sz w:val="20"/>
          <w:szCs w:val="20"/>
        </w:rPr>
        <w:t xml:space="preserve">Ethical guidelines from accreditors, governments, or professional organizations</w:t>
      </w:r>
    </w:p>
    <w:p>
      <w:pPr>
        <w:pStyle w:val="ListParagraph"/>
        <w:numPr>
          <w:ilvl w:val="0"/>
          <w:numId w:val="2"/>
        </w:numPr>
        <w:spacing w:before="40" w:after="40"/>
      </w:pPr>
      <w:r>
        <w:rPr>
          <w:rFonts w:ascii="Arial" w:cs="Arial" w:eastAsia="Arial" w:hAnsi="Arial"/>
          <w:color w:val="444444"/>
          <w:sz w:val="20"/>
          <w:szCs w:val="20"/>
        </w:rPr>
        <w:t xml:space="preserve">Cases of AI harm, misuse, or unintended consequences in education</w:t>
      </w:r>
    </w:p>
    <w:p>
      <w:pPr>
        <w:pStyle w:val="ListParagraph"/>
        <w:numPr>
          <w:ilvl w:val="0"/>
          <w:numId w:val="2"/>
        </w:numPr>
        <w:spacing w:before="40" w:after="40"/>
      </w:pPr>
      <w:r>
        <w:rPr>
          <w:rFonts w:ascii="Arial" w:cs="Arial" w:eastAsia="Arial" w:hAnsi="Arial"/>
          <w:color w:val="444444"/>
          <w:sz w:val="20"/>
          <w:szCs w:val="20"/>
        </w:rPr>
        <w:t xml:space="preserve">Responsible AI use frameworks and implementation guidance</w:t>
      </w:r>
    </w:p>
    <w:p>
      <w:pPr>
        <w:pStyle w:val="ListParagraph"/>
        <w:numPr>
          <w:ilvl w:val="0"/>
          <w:numId w:val="2"/>
        </w:numPr>
        <w:spacing w:before="40" w:after="40"/>
      </w:pPr>
      <w:r>
        <w:rPr>
          <w:rFonts w:ascii="Arial" w:cs="Arial" w:eastAsia="Arial" w:hAnsi="Arial"/>
          <w:color w:val="444444"/>
          <w:sz w:val="20"/>
          <w:szCs w:val="20"/>
        </w:rPr>
        <w:t xml:space="preserve">AI detection tool accuracy and fairness studies</w:t>
      </w:r>
    </w:p>
    <w:p>
      <w:pPr>
        <w:spacing w:before="240" w:after="80"/>
      </w:pPr>
      <w:r>
        <w:rPr>
          <w:rFonts w:ascii="Arial" w:cs="Arial" w:eastAsia="Arial" w:hAnsi="Arial"/>
          <w:b/>
          <w:bCs/>
          <w:color w:val="333333"/>
          <w:sz w:val="22"/>
          <w:szCs w:val="22"/>
        </w:rPr>
        <w:t xml:space="preserve">What Does NOT Belong Here</w:t>
      </w:r>
    </w:p>
    <w:p>
      <w:pPr>
        <w:pStyle w:val="ListParagraph"/>
        <w:numPr>
          <w:ilvl w:val="0"/>
          <w:numId w:val="2"/>
        </w:numPr>
        <w:spacing w:before="40" w:after="40"/>
      </w:pPr>
      <w:r>
        <w:rPr>
          <w:rFonts w:ascii="Arial" w:cs="Arial" w:eastAsia="Arial" w:hAnsi="Arial"/>
          <w:color w:val="444444"/>
          <w:sz w:val="20"/>
          <w:szCs w:val="20"/>
        </w:rPr>
        <w:t xml:space="preserve">General AI industry ethics debates without education angle → Beyond Ed</w:t>
      </w:r>
    </w:p>
    <w:p>
      <w:pPr>
        <w:pStyle w:val="ListParagraph"/>
        <w:numPr>
          <w:ilvl w:val="0"/>
          <w:numId w:val="2"/>
        </w:numPr>
        <w:spacing w:before="40" w:after="40"/>
      </w:pPr>
      <w:r>
        <w:rPr>
          <w:rFonts w:ascii="Arial" w:cs="Arial" w:eastAsia="Arial" w:hAnsi="Arial"/>
          <w:color w:val="444444"/>
          <w:sz w:val="20"/>
          <w:szCs w:val="20"/>
        </w:rPr>
        <w:t xml:space="preserve">How-to guides for implementing ethical practices → Practical Tips</w:t>
      </w:r>
    </w:p>
    <w:p>
      <w:pPr>
        <w:pStyle w:val="ListParagraph"/>
        <w:numPr>
          <w:ilvl w:val="0"/>
          <w:numId w:val="2"/>
        </w:numPr>
        <w:spacing w:before="40" w:after="40"/>
      </w:pPr>
      <w:r>
        <w:rPr>
          <w:rFonts w:ascii="Arial" w:cs="Arial" w:eastAsia="Arial" w:hAnsi="Arial"/>
          <w:color w:val="444444"/>
          <w:sz w:val="20"/>
          <w:szCs w:val="20"/>
        </w:rPr>
        <w:t xml:space="preserve">Broad survey data on ethics concerns → Insights &amp; Trends</w:t>
      </w:r>
    </w:p>
    <w:p>
      <w:pPr>
        <w:spacing w:before="240" w:after="80"/>
      </w:pPr>
      <w:r>
        <w:rPr>
          <w:rFonts w:ascii="Arial" w:cs="Arial" w:eastAsia="Arial" w:hAnsi="Arial"/>
          <w:b/>
          <w:bCs/>
          <w:color w:val="333333"/>
          <w:sz w:val="22"/>
          <w:szCs w:val="22"/>
        </w:rPr>
        <w:t xml:space="preserve">Editorial Requirement</w:t>
      </w:r>
    </w:p>
    <w:p>
      <w:pPr>
        <w:spacing w:before="60" w:after="60"/>
      </w:pPr>
      <w:r>
        <w:rPr>
          <w:rFonts w:ascii="Arial" w:cs="Arial" w:eastAsia="Arial" w:hAnsi="Arial"/>
          <w:color w:val="333333"/>
          <w:sz w:val="20"/>
          <w:szCs w:val="20"/>
        </w:rPr>
        <w:t xml:space="preserve">Ethical AI stories should never be purely alarmist. The Innovation Pulse’s editorial voice is empowering: “Here’s the risk, and here’s what you can do about it.” Every ethics story should acknowledge the concern AND point toward a constructive response.</w:t>
      </w:r>
    </w:p>
    <w:p>
      <w:pPr>
        <w:spacing w:before="80" w:after="80"/>
      </w:pPr>
      <w:r>
        <w:rPr>
          <w:rFonts w:ascii="Arial" w:cs="Arial" w:eastAsia="Arial" w:hAnsi="Arial"/>
          <w:b/>
          <w:bCs/>
          <w:color w:val="666666"/>
          <w:sz w:val="18"/>
          <w:szCs w:val="18"/>
        </w:rPr>
        <w:t xml:space="preserve">Search Terms: </w:t>
      </w:r>
      <w:r>
        <w:rPr>
          <w:rFonts w:ascii="JetBrains Mono" w:cs="JetBrains Mono" w:eastAsia="JetBrains Mono" w:hAnsi="JetBrains Mono"/>
          <w:color w:val="8B5CF6"/>
          <w:sz w:val="18"/>
          <w:szCs w:val="18"/>
        </w:rPr>
        <w:t xml:space="preserve">"AI ethics education"</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"algorithmic bias audit education"</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academic integrity policy"</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compliance higher education"</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"student data privacy AI"</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detection accuracy fairness"</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"responsible AI education framework"</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governance university"</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bias grading assessment"</w:t>
      </w:r>
      <w:r>
        <w:rPr>
          <w:rFonts w:ascii="Arial" w:cs="Arial" w:eastAsia="Arial" w:hAnsi="Arial"/>
          <w:color w:val="999999"/>
          <w:sz w:val="18"/>
          <w:szCs w:val="18"/>
        </w:rPr>
        <w:t xml:space="preserve">  ·  </w:t>
      </w:r>
      <w:r>
        <w:rPr>
          <w:rFonts w:ascii="JetBrains Mono" w:cs="JetBrains Mono" w:eastAsia="JetBrains Mono" w:hAnsi="JetBrains Mono"/>
          <w:color w:val="8B5CF6"/>
          <w:sz w:val="18"/>
          <w:szCs w:val="18"/>
        </w:rPr>
        <w:t xml:space="preserve">"AI equity access education"</w:t>
      </w:r>
    </w:p>
    <w:p>
      <w:pPr>
        <w:spacing w:before="40" w:after="120"/>
      </w:pPr>
      <w:r>
        <w:rPr>
          <w:rFonts w:ascii="Arial" w:cs="Arial" w:eastAsia="Arial" w:hAnsi="Arial"/>
          <w:b/>
          <w:bCs/>
          <w:color w:val="666666"/>
          <w:sz w:val="18"/>
          <w:szCs w:val="18"/>
        </w:rPr>
        <w:t xml:space="preserve">Priority Sources: </w:t>
      </w:r>
      <w:r>
        <w:rPr>
          <w:rFonts w:ascii="Arial" w:cs="Arial" w:eastAsia="Arial" w:hAnsi="Arial"/>
          <w:i/>
          <w:iCs/>
          <w:color w:val="1A6FB5"/>
          <w:sz w:val="18"/>
          <w:szCs w:val="18"/>
        </w:rPr>
        <w:t xml:space="preserve">Global Investigations Review</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EDUCAUSE (policy)</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ACE (American Council on Education)</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Montreal AI Ethics Institute</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Stanford HAI</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AI Now Institute</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FERPA/COPPA regulatory updates</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Inside Higher Ed (policy)</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Chronicle (academic integrity)</w:t>
      </w:r>
      <w:r>
        <w:rPr>
          <w:rFonts w:ascii="Arial" w:cs="Arial" w:eastAsia="Arial" w:hAnsi="Arial"/>
          <w:color w:val="999999"/>
          <w:sz w:val="18"/>
          <w:szCs w:val="18"/>
        </w:rPr>
        <w:t xml:space="preserve">, </w:t>
      </w:r>
      <w:r>
        <w:rPr>
          <w:rFonts w:ascii="Arial" w:cs="Arial" w:eastAsia="Arial" w:hAnsi="Arial"/>
          <w:i/>
          <w:iCs/>
          <w:color w:val="1A6FB5"/>
          <w:sz w:val="18"/>
          <w:szCs w:val="18"/>
        </w:rPr>
        <w:t xml:space="preserve">International AI ethics bodies</w:t>
      </w:r>
    </w:p>
    <w:p>
      <w:pPr>
        <w:spacing w:before="240" w:after="80"/>
      </w:pPr>
      <w:r>
        <w:rPr>
          <w:rFonts w:ascii="Arial" w:cs="Arial" w:eastAsia="Arial" w:hAnsi="Arial"/>
          <w:b/>
          <w:bCs/>
          <w:color w:val="333333"/>
          <w:sz w:val="22"/>
          <w:szCs w:val="22"/>
        </w:rPr>
        <w:t xml:space="preserve">Example Stories</w:t>
      </w:r>
    </w:p>
    <w:p>
      <w:pPr>
        <w:pStyle w:val="ListParagraph"/>
        <w:numPr>
          <w:ilvl w:val="0"/>
          <w:numId w:val="2"/>
        </w:numPr>
        <w:spacing w:before="40" w:after="40"/>
      </w:pPr>
      <w:r>
        <w:rPr>
          <w:rFonts w:ascii="Arial" w:cs="Arial" w:eastAsia="Arial" w:hAnsi="Arial"/>
          <w:color w:val="444444"/>
          <w:sz w:val="20"/>
          <w:szCs w:val="20"/>
        </w:rPr>
        <w:t xml:space="preserve">New research: AI grading tools penalize non-standard English patterns from multilingual students</w:t>
      </w:r>
    </w:p>
    <w:p>
      <w:pPr>
        <w:pStyle w:val="ListParagraph"/>
        <w:numPr>
          <w:ilvl w:val="0"/>
          <w:numId w:val="2"/>
        </w:numPr>
        <w:spacing w:before="40" w:after="40"/>
      </w:pPr>
      <w:r>
        <w:rPr>
          <w:rFonts w:ascii="Arial" w:cs="Arial" w:eastAsia="Arial" w:hAnsi="Arial"/>
          <w:color w:val="444444"/>
          <w:sz w:val="20"/>
          <w:szCs w:val="20"/>
        </w:rPr>
        <w:t xml:space="preserve">FERPA guidance update: What counts as “education records” when students use AI tools</w:t>
      </w:r>
    </w:p>
    <w:p>
      <w:pPr>
        <w:pStyle w:val="ListParagraph"/>
        <w:numPr>
          <w:ilvl w:val="0"/>
          <w:numId w:val="2"/>
        </w:numPr>
        <w:spacing w:before="40" w:after="40"/>
      </w:pPr>
      <w:r>
        <w:rPr>
          <w:rFonts w:ascii="Arial" w:cs="Arial" w:eastAsia="Arial" w:hAnsi="Arial"/>
          <w:color w:val="444444"/>
          <w:sz w:val="20"/>
          <w:szCs w:val="20"/>
        </w:rPr>
        <w:t xml:space="preserve">Vermont releases comprehensive K–20 AI governance guidance — a model for other states</w:t>
      </w:r>
    </w:p>
    <w:p>
      <w:pPr>
        <w:pStyle w:val="ListParagraph"/>
        <w:numPr>
          <w:ilvl w:val="0"/>
          <w:numId w:val="2"/>
        </w:numPr>
        <w:spacing w:before="40" w:after="40"/>
      </w:pPr>
      <w:r>
        <w:rPr>
          <w:rFonts w:ascii="Arial" w:cs="Arial" w:eastAsia="Arial" w:hAnsi="Arial"/>
          <w:color w:val="444444"/>
          <w:sz w:val="20"/>
          <w:szCs w:val="20"/>
        </w:rPr>
        <w:t xml:space="preserve">AI detection tools show 15% false positive rate on ESL student writing</w:t>
      </w:r>
    </w:p>
    <w:p>
      <w:r>
        <w:br w:type="page"/>
      </w:r>
    </w:p>
    <w:p>
      <w:pPr>
        <w:pStyle w:val="Heading1"/>
      </w:pPr>
      <w:r>
        <w:rPr>
          <w:rFonts w:ascii="Arial" w:cs="Arial" w:eastAsia="Arial" w:hAnsi="Arial"/>
        </w:rPr>
        <w:t xml:space="preserve">Operational Notes</w:t>
      </w:r>
    </w:p>
    <w:p>
      <w:pPr>
        <w:spacing w:before="240" w:after="80"/>
      </w:pPr>
      <w:r>
        <w:rPr>
          <w:rFonts w:ascii="Arial" w:cs="Arial" w:eastAsia="Arial" w:hAnsi="Arial"/>
          <w:b/>
          <w:bCs/>
          <w:color w:val="333333"/>
          <w:sz w:val="22"/>
          <w:szCs w:val="22"/>
        </w:rPr>
        <w:t xml:space="preserve">Top Stories Section</w:t>
      </w:r>
    </w:p>
    <w:p>
      <w:pPr>
        <w:spacing w:before="60" w:after="60"/>
      </w:pPr>
      <w:r>
        <w:rPr>
          <w:rFonts w:ascii="Arial" w:cs="Arial" w:eastAsia="Arial" w:hAnsi="Arial"/>
          <w:color w:val="333333"/>
          <w:sz w:val="20"/>
          <w:szCs w:val="20"/>
        </w:rPr>
        <w:t xml:space="preserve">"Top Stories" is NOT a search category — it’s an editorial display section. The automation selects the 2–3 most important stories of the day across ALL categories and features them at the top of the page. Selection criteria: impact scope (affects many institutions), timeliness (breaking/developing), and editorial significance (changes the conversation).</w:t>
      </w:r>
    </w:p>
    <w:p>
      <w:pPr>
        <w:spacing w:before="240" w:after="80"/>
      </w:pPr>
      <w:r>
        <w:rPr>
          <w:rFonts w:ascii="Arial" w:cs="Arial" w:eastAsia="Arial" w:hAnsi="Arial"/>
          <w:b/>
          <w:bCs/>
          <w:color w:val="333333"/>
          <w:sz w:val="22"/>
          <w:szCs w:val="22"/>
        </w:rPr>
        <w:t xml:space="preserve">Story Classification Rules</w:t>
      </w:r>
    </w:p>
    <w:p>
      <w:pPr>
        <w:pStyle w:val="ListParagraph"/>
        <w:numPr>
          <w:ilvl w:val="0"/>
          <w:numId w:val="2"/>
        </w:numPr>
        <w:spacing w:before="40" w:after="40"/>
      </w:pPr>
      <w:r>
        <w:rPr>
          <w:rFonts w:ascii="Arial" w:cs="Arial" w:eastAsia="Arial" w:hAnsi="Arial"/>
          <w:color w:val="444444"/>
          <w:sz w:val="20"/>
          <w:szCs w:val="20"/>
        </w:rPr>
        <w:t xml:space="preserve">Every story gets exactly ONE primary category</w:t>
      </w:r>
    </w:p>
    <w:p>
      <w:pPr>
        <w:pStyle w:val="ListParagraph"/>
        <w:numPr>
          <w:ilvl w:val="0"/>
          <w:numId w:val="2"/>
        </w:numPr>
        <w:spacing w:before="40" w:after="40"/>
      </w:pPr>
      <w:r>
        <w:rPr>
          <w:rFonts w:ascii="Arial" w:cs="Arial" w:eastAsia="Arial" w:hAnsi="Arial"/>
          <w:color w:val="444444"/>
          <w:sz w:val="20"/>
          <w:szCs w:val="20"/>
        </w:rPr>
        <w:t xml:space="preserve">A story can have secondary tags (e.g., primary: Case Studies, tags: [STUDENT], [AI TUTORING])</w:t>
      </w:r>
    </w:p>
    <w:p>
      <w:pPr>
        <w:pStyle w:val="ListParagraph"/>
        <w:numPr>
          <w:ilvl w:val="0"/>
          <w:numId w:val="2"/>
        </w:numPr>
        <w:spacing w:before="40" w:after="40"/>
      </w:pPr>
      <w:r>
        <w:rPr>
          <w:rFonts w:ascii="Arial" w:cs="Arial" w:eastAsia="Arial" w:hAnsi="Arial"/>
          <w:color w:val="444444"/>
          <w:sz w:val="20"/>
          <w:szCs w:val="20"/>
        </w:rPr>
        <w:t xml:space="preserve">When a story could fit multiple categories, ask: “What is the PRIMARY value for the reader?”</w:t>
      </w:r>
    </w:p>
    <w:p>
      <w:pPr>
        <w:pStyle w:val="ListParagraph"/>
        <w:numPr>
          <w:ilvl w:val="0"/>
          <w:numId w:val="2"/>
        </w:numPr>
        <w:spacing w:before="40" w:after="40"/>
      </w:pPr>
      <w:r>
        <w:rPr>
          <w:rFonts w:ascii="Arial" w:cs="Arial" w:eastAsia="Arial" w:hAnsi="Arial"/>
          <w:color w:val="444444"/>
          <w:sz w:val="20"/>
          <w:szCs w:val="20"/>
        </w:rPr>
        <w:t xml:space="preserve">If it’s “here’s what’s happening” → Insights &amp; Trends</w:t>
      </w:r>
    </w:p>
    <w:p>
      <w:pPr>
        <w:pStyle w:val="ListParagraph"/>
        <w:numPr>
          <w:ilvl w:val="0"/>
          <w:numId w:val="2"/>
        </w:numPr>
        <w:spacing w:before="40" w:after="40"/>
      </w:pPr>
      <w:r>
        <w:rPr>
          <w:rFonts w:ascii="Arial" w:cs="Arial" w:eastAsia="Arial" w:hAnsi="Arial"/>
          <w:color w:val="444444"/>
          <w:sz w:val="20"/>
          <w:szCs w:val="20"/>
        </w:rPr>
        <w:t xml:space="preserve">If it’s “here’s a new thing” → Latest AI Products</w:t>
      </w:r>
    </w:p>
    <w:p>
      <w:pPr>
        <w:pStyle w:val="ListParagraph"/>
        <w:numPr>
          <w:ilvl w:val="0"/>
          <w:numId w:val="2"/>
        </w:numPr>
        <w:spacing w:before="40" w:after="40"/>
      </w:pPr>
      <w:r>
        <w:rPr>
          <w:rFonts w:ascii="Arial" w:cs="Arial" w:eastAsia="Arial" w:hAnsi="Arial"/>
          <w:color w:val="444444"/>
          <w:sz w:val="20"/>
          <w:szCs w:val="20"/>
        </w:rPr>
        <w:t xml:space="preserve">If it’s “here’s what they did” → Case Studies</w:t>
      </w:r>
    </w:p>
    <w:p>
      <w:pPr>
        <w:pStyle w:val="ListParagraph"/>
        <w:numPr>
          <w:ilvl w:val="0"/>
          <w:numId w:val="2"/>
        </w:numPr>
        <w:spacing w:before="40" w:after="40"/>
      </w:pPr>
      <w:r>
        <w:rPr>
          <w:rFonts w:ascii="Arial" w:cs="Arial" w:eastAsia="Arial" w:hAnsi="Arial"/>
          <w:color w:val="444444"/>
          <w:sz w:val="20"/>
          <w:szCs w:val="20"/>
        </w:rPr>
        <w:t xml:space="preserve">If it’s “here’s what you can do” → Practical Tips</w:t>
      </w:r>
    </w:p>
    <w:p>
      <w:pPr>
        <w:pStyle w:val="ListParagraph"/>
        <w:numPr>
          <w:ilvl w:val="0"/>
          <w:numId w:val="2"/>
        </w:numPr>
        <w:spacing w:before="40" w:after="40"/>
      </w:pPr>
      <w:r>
        <w:rPr>
          <w:rFonts w:ascii="Arial" w:cs="Arial" w:eastAsia="Arial" w:hAnsi="Arial"/>
          <w:color w:val="444444"/>
          <w:sz w:val="20"/>
          <w:szCs w:val="20"/>
        </w:rPr>
        <w:t xml:space="preserve">If it’s “here’s what to watch out for” → Ethical AI</w:t>
      </w:r>
    </w:p>
    <w:p>
      <w:pPr>
        <w:pStyle w:val="ListParagraph"/>
        <w:numPr>
          <w:ilvl w:val="0"/>
          <w:numId w:val="2"/>
        </w:numPr>
        <w:spacing w:before="40" w:after="40"/>
      </w:pPr>
      <w:r>
        <w:rPr>
          <w:rFonts w:ascii="Arial" w:cs="Arial" w:eastAsia="Arial" w:hAnsi="Arial"/>
          <w:color w:val="444444"/>
          <w:sz w:val="20"/>
          <w:szCs w:val="20"/>
        </w:rPr>
        <w:t xml:space="preserve">If it’s “here’s what happened outside education” → Beyond Ed</w:t>
      </w:r>
    </w:p>
    <w:p>
      <w:pPr>
        <w:spacing w:before="240" w:after="80"/>
      </w:pPr>
      <w:r>
        <w:rPr>
          <w:rFonts w:ascii="Arial" w:cs="Arial" w:eastAsia="Arial" w:hAnsi="Arial"/>
          <w:b/>
          <w:bCs/>
          <w:color w:val="333333"/>
          <w:sz w:val="22"/>
          <w:szCs w:val="22"/>
        </w:rPr>
        <w:t xml:space="preserve">Daily Content Targets</w:t>
      </w:r>
    </w:p>
    <w:p>
      <w:pPr>
        <w:spacing w:before="60" w:after="60"/>
      </w:pPr>
      <w:r>
        <w:rPr>
          <w:rFonts w:ascii="Arial" w:cs="Arial" w:eastAsia="Arial" w:hAnsi="Arial"/>
          <w:color w:val="333333"/>
          <w:sz w:val="20"/>
          <w:szCs w:val="20"/>
        </w:rPr>
        <w:t xml:space="preserve">Not every category needs to be filled every day. The automation should aim for 4–6 stories per day distributed across whichever categories have real news. A typical day might include:</w:t>
      </w:r>
    </w:p>
    <w:p>
      <w:pPr>
        <w:pStyle w:val="ListParagraph"/>
        <w:numPr>
          <w:ilvl w:val="0"/>
          <w:numId w:val="2"/>
        </w:numPr>
        <w:spacing w:before="40" w:after="40"/>
      </w:pPr>
      <w:r>
        <w:rPr>
          <w:rFonts w:ascii="Arial" w:cs="Arial" w:eastAsia="Arial" w:hAnsi="Arial"/>
          <w:color w:val="444444"/>
          <w:sz w:val="20"/>
          <w:szCs w:val="20"/>
        </w:rPr>
        <w:t xml:space="preserve">1 lead story (any category, featured in Top Stories)</w:t>
      </w:r>
    </w:p>
    <w:p>
      <w:pPr>
        <w:pStyle w:val="ListParagraph"/>
        <w:numPr>
          <w:ilvl w:val="0"/>
          <w:numId w:val="2"/>
        </w:numPr>
        <w:spacing w:before="40" w:after="40"/>
      </w:pPr>
      <w:r>
        <w:rPr>
          <w:rFonts w:ascii="Arial" w:cs="Arial" w:eastAsia="Arial" w:hAnsi="Arial"/>
          <w:color w:val="444444"/>
          <w:sz w:val="20"/>
          <w:szCs w:val="20"/>
        </w:rPr>
        <w:t xml:space="preserve">1–2 stories in the day’s strongest categories</w:t>
      </w:r>
    </w:p>
    <w:p>
      <w:pPr>
        <w:pStyle w:val="ListParagraph"/>
        <w:numPr>
          <w:ilvl w:val="0"/>
          <w:numId w:val="2"/>
        </w:numPr>
        <w:spacing w:before="40" w:after="40"/>
      </w:pPr>
      <w:r>
        <w:rPr>
          <w:rFonts w:ascii="Arial" w:cs="Arial" w:eastAsia="Arial" w:hAnsi="Arial"/>
          <w:color w:val="444444"/>
          <w:sz w:val="20"/>
          <w:szCs w:val="20"/>
        </w:rPr>
        <w:t xml:space="preserve">1 Tool Spotlight (Tier 1 quick profile)</w:t>
      </w:r>
    </w:p>
    <w:p>
      <w:pPr>
        <w:pStyle w:val="ListParagraph"/>
        <w:numPr>
          <w:ilvl w:val="0"/>
          <w:numId w:val="2"/>
        </w:numPr>
        <w:spacing w:before="40" w:after="40"/>
      </w:pPr>
      <w:r>
        <w:rPr>
          <w:rFonts w:ascii="Arial" w:cs="Arial" w:eastAsia="Arial" w:hAnsi="Arial"/>
          <w:color w:val="444444"/>
          <w:sz w:val="20"/>
          <w:szCs w:val="20"/>
        </w:rPr>
        <w:t xml:space="preserve">0–1 Beyond Ed story (only when genuinely relevant)</w:t>
      </w:r>
    </w:p>
    <w:p>
      <w:pPr>
        <w:spacing w:before="240" w:after="80"/>
      </w:pPr>
      <w:r>
        <w:rPr>
          <w:rFonts w:ascii="Arial" w:cs="Arial" w:eastAsia="Arial" w:hAnsi="Arial"/>
          <w:b/>
          <w:bCs/>
          <w:color w:val="333333"/>
          <w:sz w:val="22"/>
          <w:szCs w:val="22"/>
        </w:rPr>
        <w:t xml:space="preserve">Callback Stories</w:t>
      </w:r>
    </w:p>
    <w:p>
      <w:pPr>
        <w:spacing w:before="60" w:after="60"/>
      </w:pPr>
      <w:r>
        <w:rPr>
          <w:rFonts w:ascii="Arial" w:cs="Arial" w:eastAsia="Arial" w:hAnsi="Arial"/>
          <w:color w:val="333333"/>
          <w:sz w:val="20"/>
          <w:szCs w:val="20"/>
        </w:rPr>
        <w:t xml:space="preserve">When a story is a follow-up to something previously covered, it gets a [CALLBACK] badge. The automation’s story tracker identifies these by matching against previously published story URLs, topics, and entity names. Callbacks are valuable — they show readers that the Pulse tracks developing stories over time.</w:t>
      </w:r>
    </w:p>
    <w:p>
      <w:pPr>
        <w:spacing w:before="240" w:after="80"/>
      </w:pPr>
      <w:r>
        <w:rPr>
          <w:rFonts w:ascii="Arial" w:cs="Arial" w:eastAsia="Arial" w:hAnsi="Arial"/>
          <w:b/>
          <w:bCs/>
          <w:color w:val="333333"/>
          <w:sz w:val="22"/>
          <w:szCs w:val="22"/>
        </w:rPr>
        <w:t xml:space="preserve">Cross-Posting Rules</w:t>
      </w:r>
    </w:p>
    <w:p>
      <w:pPr>
        <w:pStyle w:val="ListParagraph"/>
        <w:numPr>
          <w:ilvl w:val="0"/>
          <w:numId w:val="2"/>
        </w:numPr>
        <w:spacing w:before="40" w:after="40"/>
      </w:pPr>
      <w:r>
        <w:rPr>
          <w:rFonts w:ascii="Arial" w:cs="Arial" w:eastAsia="Arial" w:hAnsi="Arial"/>
          <w:color w:val="444444"/>
          <w:sz w:val="20"/>
          <w:szCs w:val="20"/>
        </w:rPr>
        <w:t xml:space="preserve">Tool Spotlight Tier 2 (deep-dive reviews) → cross-post to AI App Directory with [SPOTLIGHT REVIEW] badge</w:t>
      </w:r>
    </w:p>
    <w:p>
      <w:pPr>
        <w:pStyle w:val="ListParagraph"/>
        <w:numPr>
          <w:ilvl w:val="0"/>
          <w:numId w:val="2"/>
        </w:numPr>
        <w:spacing w:before="40" w:after="40"/>
      </w:pPr>
      <w:r>
        <w:rPr>
          <w:rFonts w:ascii="Arial" w:cs="Arial" w:eastAsia="Arial" w:hAnsi="Arial"/>
          <w:color w:val="444444"/>
          <w:sz w:val="20"/>
          <w:szCs w:val="20"/>
        </w:rPr>
        <w:t xml:space="preserve">Case Studies mentioning specific tools → link to that tool’s AI App Directory entry</w:t>
      </w:r>
    </w:p>
    <w:p>
      <w:pPr>
        <w:pStyle w:val="ListParagraph"/>
        <w:numPr>
          <w:ilvl w:val="0"/>
          <w:numId w:val="2"/>
        </w:numPr>
        <w:spacing w:before="40" w:after="40"/>
      </w:pPr>
      <w:r>
        <w:rPr>
          <w:rFonts w:ascii="Arial" w:cs="Arial" w:eastAsia="Arial" w:hAnsi="Arial"/>
          <w:color w:val="444444"/>
          <w:sz w:val="20"/>
          <w:szCs w:val="20"/>
        </w:rPr>
        <w:t xml:space="preserve">Practical Tips about specific tools → link to AI App Directory entry</w:t>
      </w:r>
    </w:p>
    <w:p>
      <w:pPr>
        <w:pStyle w:val="ListParagraph"/>
        <w:numPr>
          <w:ilvl w:val="0"/>
          <w:numId w:val="2"/>
        </w:numPr>
        <w:spacing w:before="40" w:after="40"/>
      </w:pPr>
      <w:r>
        <w:rPr>
          <w:rFonts w:ascii="Arial" w:cs="Arial" w:eastAsia="Arial" w:hAnsi="Arial"/>
          <w:color w:val="444444"/>
          <w:sz w:val="20"/>
          <w:szCs w:val="20"/>
        </w:rPr>
        <w:t xml:space="preserve">Beyond Ed stories → Dr. Norma’s editorial note bridges to education relevance</w:t>
      </w:r>
    </w:p>
    <w:p>
      <w:pPr>
        <w:spacing w:before="240" w:after="80"/>
      </w:pPr>
      <w:r>
        <w:rPr>
          <w:rFonts w:ascii="Arial" w:cs="Arial" w:eastAsia="Arial" w:hAnsi="Arial"/>
          <w:b/>
          <w:bCs/>
          <w:color w:val="333333"/>
          <w:sz w:val="22"/>
          <w:szCs w:val="22"/>
        </w:rPr>
        <w:t xml:space="preserve">Student Story Tagging</w:t>
      </w:r>
    </w:p>
    <w:p>
      <w:pPr>
        <w:spacing w:before="60" w:after="60"/>
      </w:pPr>
      <w:r>
        <w:rPr>
          <w:rFonts w:ascii="Arial" w:cs="Arial" w:eastAsia="Arial" w:hAnsi="Arial"/>
          <w:color w:val="333333"/>
          <w:sz w:val="20"/>
          <w:szCs w:val="20"/>
        </w:rPr>
        <w:t xml:space="preserve">Stories primarily about students or the student experience get a secondary [STUDENT] tag regardless of primary category. This enables future filtering for a “Student Experience” view without creating a separate category. Examples:</w:t>
      </w:r>
    </w:p>
    <w:p>
      <w:pPr>
        <w:pStyle w:val="ListParagraph"/>
        <w:numPr>
          <w:ilvl w:val="0"/>
          <w:numId w:val="2"/>
        </w:numPr>
        <w:spacing w:before="40" w:after="40"/>
      </w:pPr>
      <w:r>
        <w:rPr>
          <w:rFonts w:ascii="Arial" w:cs="Arial" w:eastAsia="Arial" w:hAnsi="Arial"/>
          <w:color w:val="444444"/>
          <w:sz w:val="20"/>
          <w:szCs w:val="20"/>
        </w:rPr>
        <w:t xml:space="preserve">AI tutoring effectiveness study → Primary: Insights &amp; Trends, Tag: [STUDENT]</w:t>
      </w:r>
    </w:p>
    <w:p>
      <w:pPr>
        <w:pStyle w:val="ListParagraph"/>
        <w:numPr>
          <w:ilvl w:val="0"/>
          <w:numId w:val="2"/>
        </w:numPr>
        <w:spacing w:before="40" w:after="40"/>
      </w:pPr>
      <w:r>
        <w:rPr>
          <w:rFonts w:ascii="Arial" w:cs="Arial" w:eastAsia="Arial" w:hAnsi="Arial"/>
          <w:color w:val="444444"/>
          <w:sz w:val="20"/>
          <w:szCs w:val="20"/>
        </w:rPr>
        <w:t xml:space="preserve">Campus AI tutor deployment → Primary: Case Studies, Tag: [STUDENT]</w:t>
      </w:r>
    </w:p>
    <w:p>
      <w:pPr>
        <w:pStyle w:val="ListParagraph"/>
        <w:numPr>
          <w:ilvl w:val="0"/>
          <w:numId w:val="2"/>
        </w:numPr>
        <w:spacing w:before="40" w:after="40"/>
      </w:pPr>
      <w:r>
        <w:rPr>
          <w:rFonts w:ascii="Arial" w:cs="Arial" w:eastAsia="Arial" w:hAnsi="Arial"/>
          <w:color w:val="444444"/>
          <w:sz w:val="20"/>
          <w:szCs w:val="20"/>
        </w:rPr>
        <w:t xml:space="preserve">Tips for students using AI for research → Primary: Practical Tips, Tag: [STUDENT]</w:t>
      </w:r>
    </w:p>
    <w:p>
      <w:pPr>
        <w:pStyle w:val="ListParagraph"/>
        <w:numPr>
          <w:ilvl w:val="0"/>
          <w:numId w:val="2"/>
        </w:numPr>
        <w:spacing w:before="40" w:after="40"/>
      </w:pPr>
      <w:r>
        <w:rPr>
          <w:rFonts w:ascii="Arial" w:cs="Arial" w:eastAsia="Arial" w:hAnsi="Arial"/>
          <w:color w:val="444444"/>
          <w:sz w:val="20"/>
          <w:szCs w:val="20"/>
        </w:rPr>
        <w:t xml:space="preserve">Survey on student AI anxiety → Primary: Insights &amp; Trends, Tag: [STUDENT]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2026-02-21T19:55:38.505Z</dcterms:created>
  <dcterms:modified xsi:type="dcterms:W3CDTF">2026-02-21T19:55:38.506Z</dcterms:modified>
</cp:coreProperties>
</file>

<file path=docProps/custom.xml><?xml version="1.0" encoding="utf-8"?>
<Properties xmlns="http://schemas.openxmlformats.org/officeDocument/2006/custom-properties" xmlns:vt="http://schemas.openxmlformats.org/officeDocument/2006/docPropsVTypes"/>
</file>