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E40AF" w:val="clear"/>
            <w:tcMar>
              <w:top w:type="dxa" w:w="2880"/>
              <w:left w:type="dxa" w:w="1440"/>
              <w:bottom w:type="dxa" w:w="1440"/>
              <w:right w:type="dxa" w:w="1440"/>
            </w:tcMar>
          </w:tcPr>
          <w:p>
            <w:pPr>
              <w:spacing w:after="200"/>
            </w:pPr>
            <w:r>
              <w:rPr>
                <w:rFonts w:ascii="Arial" w:cs="Arial" w:eastAsia="Arial" w:hAnsi="Arial"/>
                <w:b/>
                <w:bCs/>
                <w:color w:val="FFFFFF"/>
                <w:sz w:val="64"/>
                <w:szCs w:val="64"/>
              </w:rPr>
              <w:t xml:space="preserve">CalTrack Pro</w:t>
            </w:r>
          </w:p>
          <w:p>
            <w:pPr>
              <w:spacing w:after="400"/>
            </w:pPr>
            <w:r>
              <w:rPr>
                <w:rFonts w:ascii="Arial" w:cs="Arial" w:eastAsia="Arial" w:hAnsi="Arial"/>
                <w:color w:val="BFDBFE"/>
                <w:sz w:val="36"/>
                <w:szCs w:val="36"/>
              </w:rPr>
              <w:t xml:space="preserve">Business Plan &amp; Commercialisation Roadmap</w:t>
            </w:r>
          </w:p>
          <w:p>
            <w:r>
              <w:rPr>
                <w:rFonts w:ascii="Arial" w:cs="Arial" w:eastAsia="Arial" w:hAnsi="Arial"/>
                <w:color w:val="93C5FD"/>
                <w:sz w:val="24"/>
                <w:szCs w:val="24"/>
              </w:rPr>
              <w:t xml:space="preserve">Confidential — April 2026</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1440"/>
              <w:left w:type="dxa" w:w="1440"/>
              <w:bottom w:type="dxa" w:w="720"/>
              <w:right w:type="dxa" w:w="1440"/>
            </w:tcMar>
          </w:tcPr>
          <w:p>
            <w:pPr>
              <w:spacing w:after="200"/>
            </w:pPr>
            <w:r>
              <w:rPr>
                <w:rFonts w:ascii="Arial" w:cs="Arial" w:eastAsia="Arial" w:hAnsi="Arial"/>
                <w:b/>
                <w:bCs/>
                <w:color w:val="1E293B"/>
                <w:sz w:val="28"/>
                <w:szCs w:val="28"/>
              </w:rPr>
              <w:t xml:space="preserve">Executive Summary</w:t>
            </w:r>
          </w:p>
          <w:p>
            <w:pPr>
              <w:spacing w:after="280"/>
            </w:pPr>
            <w:r>
              <w:rPr>
                <w:rFonts w:ascii="Arial" w:cs="Arial" w:eastAsia="Arial" w:hAnsi="Arial"/>
                <w:color w:val="64748B"/>
                <w:sz w:val="22"/>
                <w:szCs w:val="22"/>
              </w:rPr>
              <w:t xml:space="preserve">CalTrack Pro is a web-based calibration management system (CMS) purpose-built for industrial instrumentation teams. The platform replaces error-prone paper logs and spreadsheets with a structured, audit-ready digital record of every calibration event. This document outlines the commercial opportunity, competitive landscape, recommended pricing strategy, legal requirements, and the concrete next steps required to bring CalTrack Pro to market as a viable, revenue-generating SaaS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BEAFE" w:val="clear"/>
                  <w:tcMar>
                    <w:top w:type="dxa" w:w="160"/>
                    <w:left w:type="dxa" w:w="160"/>
                    <w:bottom w:type="dxa" w:w="160"/>
                    <w:right w:type="dxa" w:w="160"/>
                  </w:tcMar>
                </w:tcPr>
                <w:p>
                  <w:pPr>
                    <w:spacing w:after="60"/>
                    <w:jc w:val="center"/>
                  </w:pPr>
                  <w:r>
                    <w:rPr>
                      <w:rFonts w:ascii="Arial" w:cs="Arial" w:eastAsia="Arial" w:hAnsi="Arial"/>
                      <w:b/>
                      <w:bCs/>
                      <w:color w:val="1E40AF"/>
                      <w:sz w:val="36"/>
                      <w:szCs w:val="36"/>
                    </w:rPr>
                    <w:t xml:space="preserve">$378M+</w:t>
                  </w:r>
                </w:p>
                <w:p>
                  <w:pPr>
                    <w:jc w:val="center"/>
                  </w:pPr>
                  <w:r>
                    <w:rPr>
                      <w:rFonts w:ascii="Arial" w:cs="Arial" w:eastAsia="Arial" w:hAnsi="Arial"/>
                      <w:color w:val="64748B"/>
                      <w:sz w:val="18"/>
                      <w:szCs w:val="18"/>
                    </w:rPr>
                    <w:t xml:space="preserve">Global CMS
market (2025)</w:t>
                  </w:r>
                </w:p>
              </w:tc>
              <w:tc>
                <w:tcPr>
                  <w:tcW w:type="dxa" w:w="2340"/>
                  <w:tcBorders>
                    <w:top w:val="single" w:color="CBD5E1" w:sz="1"/>
                    <w:left w:val="single" w:color="CBD5E1" w:sz="1"/>
                    <w:bottom w:val="single" w:color="CBD5E1" w:sz="1"/>
                    <w:right w:val="single" w:color="CBD5E1" w:sz="1"/>
                  </w:tcBorders>
                  <w:shd w:fill="DBEAFE" w:val="clear"/>
                  <w:tcMar>
                    <w:top w:type="dxa" w:w="160"/>
                    <w:left w:type="dxa" w:w="160"/>
                    <w:bottom w:type="dxa" w:w="160"/>
                    <w:right w:type="dxa" w:w="160"/>
                  </w:tcMar>
                </w:tcPr>
                <w:p>
                  <w:pPr>
                    <w:spacing w:after="60"/>
                    <w:jc w:val="center"/>
                  </w:pPr>
                  <w:r>
                    <w:rPr>
                      <w:rFonts w:ascii="Arial" w:cs="Arial" w:eastAsia="Arial" w:hAnsi="Arial"/>
                      <w:b/>
                      <w:bCs/>
                      <w:color w:val="1E40AF"/>
                      <w:sz w:val="36"/>
                      <w:szCs w:val="36"/>
                    </w:rPr>
                    <w:t xml:space="preserve">5.4%</w:t>
                  </w:r>
                </w:p>
                <w:p>
                  <w:pPr>
                    <w:jc w:val="center"/>
                  </w:pPr>
                  <w:r>
                    <w:rPr>
                      <w:rFonts w:ascii="Arial" w:cs="Arial" w:eastAsia="Arial" w:hAnsi="Arial"/>
                      <w:color w:val="64748B"/>
                      <w:sz w:val="18"/>
                      <w:szCs w:val="18"/>
                    </w:rPr>
                    <w:t xml:space="preserve">CAGR through
2030</w:t>
                  </w:r>
                </w:p>
              </w:tc>
              <w:tc>
                <w:tcPr>
                  <w:tcW w:type="dxa" w:w="2340"/>
                  <w:tcBorders>
                    <w:top w:val="single" w:color="CBD5E1" w:sz="1"/>
                    <w:left w:val="single" w:color="CBD5E1" w:sz="1"/>
                    <w:bottom w:val="single" w:color="CBD5E1" w:sz="1"/>
                    <w:right w:val="single" w:color="CBD5E1" w:sz="1"/>
                  </w:tcBorders>
                  <w:shd w:fill="DBEAFE" w:val="clear"/>
                  <w:tcMar>
                    <w:top w:type="dxa" w:w="160"/>
                    <w:left w:type="dxa" w:w="160"/>
                    <w:bottom w:type="dxa" w:w="160"/>
                    <w:right w:type="dxa" w:w="160"/>
                  </w:tcMar>
                </w:tcPr>
                <w:p>
                  <w:pPr>
                    <w:spacing w:after="60"/>
                    <w:jc w:val="center"/>
                  </w:pPr>
                  <w:r>
                    <w:rPr>
                      <w:rFonts w:ascii="Arial" w:cs="Arial" w:eastAsia="Arial" w:hAnsi="Arial"/>
                      <w:b/>
                      <w:bCs/>
                      <w:color w:val="1E40AF"/>
                      <w:sz w:val="36"/>
                      <w:szCs w:val="36"/>
                    </w:rPr>
                    <w:t xml:space="preserve">80%+</w:t>
                  </w:r>
                </w:p>
                <w:p>
                  <w:pPr>
                    <w:jc w:val="center"/>
                  </w:pPr>
                  <w:r>
                    <w:rPr>
                      <w:rFonts w:ascii="Arial" w:cs="Arial" w:eastAsia="Arial" w:hAnsi="Arial"/>
                      <w:color w:val="64748B"/>
                      <w:sz w:val="18"/>
                      <w:szCs w:val="18"/>
                    </w:rPr>
                    <w:t xml:space="preserve">Industrial sites
still on paper/Excel</w:t>
                  </w:r>
                </w:p>
              </w:tc>
              <w:tc>
                <w:tcPr>
                  <w:tcW w:type="dxa" w:w="2340"/>
                  <w:tcBorders>
                    <w:top w:val="single" w:color="CBD5E1" w:sz="1"/>
                    <w:left w:val="single" w:color="CBD5E1" w:sz="1"/>
                    <w:bottom w:val="single" w:color="CBD5E1" w:sz="1"/>
                    <w:right w:val="single" w:color="CBD5E1" w:sz="1"/>
                  </w:tcBorders>
                  <w:shd w:fill="DBEAFE" w:val="clear"/>
                  <w:tcMar>
                    <w:top w:type="dxa" w:w="160"/>
                    <w:left w:type="dxa" w:w="160"/>
                    <w:bottom w:type="dxa" w:w="160"/>
                    <w:right w:type="dxa" w:w="160"/>
                  </w:tcMar>
                </w:tcPr>
                <w:p>
                  <w:pPr>
                    <w:spacing w:after="60"/>
                    <w:jc w:val="center"/>
                  </w:pPr>
                  <w:r>
                    <w:rPr>
                      <w:rFonts w:ascii="Arial" w:cs="Arial" w:eastAsia="Arial" w:hAnsi="Arial"/>
                      <w:b/>
                      <w:bCs/>
                      <w:color w:val="1E40AF"/>
                      <w:sz w:val="36"/>
                      <w:szCs w:val="36"/>
                    </w:rPr>
                    <w:t xml:space="preserve">1 day</w:t>
                  </w:r>
                </w:p>
                <w:p>
                  <w:pPr>
                    <w:jc w:val="center"/>
                  </w:pPr>
                  <w:r>
                    <w:rPr>
                      <w:rFonts w:ascii="Arial" w:cs="Arial" w:eastAsia="Arial" w:hAnsi="Arial"/>
                      <w:color w:val="64748B"/>
                      <w:sz w:val="18"/>
                      <w:szCs w:val="18"/>
                    </w:rPr>
                    <w:t xml:space="preserve">Time to deploy
CalTrack Pro</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1F5F9" w:val="clear"/>
            <w:tcMar>
              <w:top w:type="dxa" w:w="280"/>
              <w:left w:type="dxa" w:w="1440"/>
              <w:bottom w:type="dxa" w:w="280"/>
              <w:right w:type="dxa" w:w="1440"/>
            </w:tcMar>
          </w:tcPr>
          <w:p>
            <w:pPr>
              <w:jc w:val="center"/>
            </w:pPr>
            <w:r>
              <w:rPr>
                <w:rFonts w:ascii="Arial" w:cs="Arial" w:eastAsia="Arial" w:hAnsi="Arial"/>
                <w:color w:val="64748B"/>
                <w:sz w:val="18"/>
                <w:szCs w:val="18"/>
              </w:rPr>
              <w:t xml:space="preserve">Prepared by: CalTrack Pro Founder     |     Contact: info@caltrackpro.com     |     Web: caltrackpro.com</w:t>
            </w:r>
          </w:p>
        </w:tc>
      </w:tr>
    </w:tbl>
    <w:p>
      <w:r>
        <w:br w:type="page"/>
      </w:r>
    </w:p>
    <w:p>
      <w:pPr>
        <w:sectPr>
          <w:pgSz w:w="12240" w:h="15840"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Market Opportunity</w:t>
      </w:r>
    </w:p>
    <w:p>
      <w:pPr>
        <w:pStyle w:val="Heading2"/>
      </w:pPr>
      <w:r>
        <w:t xml:space="preserve">1.1 The Problem</w:t>
      </w:r>
    </w:p>
    <w:p>
      <w:pPr>
        <w:spacing w:after="120"/>
      </w:pPr>
      <w:r>
        <w:rPr>
          <w:rFonts w:ascii="Arial" w:cs="Arial" w:eastAsia="Arial" w:hAnsi="Arial"/>
          <w:color w:val="64748B"/>
          <w:sz w:val="22"/>
          <w:szCs w:val="22"/>
        </w:rPr>
        <w:t xml:space="preserve">In industrial facilities — refineries, chemical plants, food processing, pharmaceuticals, mining, and power generation — instruments must be calibrated regularly to ensure process safety, product quality, and regulatory compliance. Despite this, the majority of calibration management in small to mid-sized facilities is still handled with paper logs, handwritten records, shared Excel spreadsheets, or outdated desktop software.</w:t>
      </w:r>
    </w:p>
    <w:p>
      <w:pPr>
        <w:spacing w:after="160"/>
      </w:pPr>
      <w:r>
        <w:t xml:space="preserve"/>
      </w:r>
    </w:p>
    <w:p>
      <w:pPr>
        <w:spacing w:after="120"/>
      </w:pPr>
      <w:r>
        <w:rPr>
          <w:rFonts w:ascii="Arial" w:cs="Arial" w:eastAsia="Arial" w:hAnsi="Arial"/>
          <w:color w:val="64748B"/>
          <w:sz w:val="22"/>
          <w:szCs w:val="22"/>
        </w:rPr>
        <w:t xml:space="preserve">This creates real, measurable risk:</w:t>
      </w:r>
    </w:p>
    <w:p>
      <w:pPr>
        <w:pStyle w:val="ListParagraph"/>
        <w:numPr>
          <w:ilvl w:val="0"/>
          <w:numId w:val="2"/>
        </w:numPr>
        <w:spacing w:after="80"/>
      </w:pPr>
      <w:r>
        <w:rPr>
          <w:rFonts w:ascii="Arial" w:cs="Arial" w:eastAsia="Arial" w:hAnsi="Arial"/>
          <w:color w:val="64748B"/>
          <w:sz w:val="22"/>
          <w:szCs w:val="22"/>
        </w:rPr>
        <w:t xml:space="preserve">Overdue calibrations go undetected until an audit or incident</w:t>
      </w:r>
    </w:p>
    <w:p>
      <w:pPr>
        <w:pStyle w:val="ListParagraph"/>
        <w:numPr>
          <w:ilvl w:val="0"/>
          <w:numId w:val="2"/>
        </w:numPr>
        <w:spacing w:after="80"/>
      </w:pPr>
      <w:r>
        <w:rPr>
          <w:rFonts w:ascii="Arial" w:cs="Arial" w:eastAsia="Arial" w:hAnsi="Arial"/>
          <w:color w:val="64748B"/>
          <w:sz w:val="22"/>
          <w:szCs w:val="22"/>
        </w:rPr>
        <w:t xml:space="preserve">Failed calibrations are not escalated — the instrument remains in service</w:t>
      </w:r>
    </w:p>
    <w:p>
      <w:pPr>
        <w:pStyle w:val="ListParagraph"/>
        <w:numPr>
          <w:ilvl w:val="0"/>
          <w:numId w:val="2"/>
        </w:numPr>
        <w:spacing w:after="80"/>
      </w:pPr>
      <w:r>
        <w:rPr>
          <w:rFonts w:ascii="Arial" w:cs="Arial" w:eastAsia="Arial" w:hAnsi="Arial"/>
          <w:color w:val="64748B"/>
          <w:sz w:val="22"/>
          <w:szCs w:val="22"/>
        </w:rPr>
        <w:t xml:space="preserve">Paper records are lost, illegible, or modified without a trace</w:t>
      </w:r>
    </w:p>
    <w:p>
      <w:pPr>
        <w:pStyle w:val="ListParagraph"/>
        <w:numPr>
          <w:ilvl w:val="0"/>
          <w:numId w:val="2"/>
        </w:numPr>
        <w:spacing w:after="80"/>
      </w:pPr>
      <w:r>
        <w:rPr>
          <w:rFonts w:ascii="Arial" w:cs="Arial" w:eastAsia="Arial" w:hAnsi="Arial"/>
          <w:color w:val="64748B"/>
          <w:sz w:val="22"/>
          <w:szCs w:val="22"/>
        </w:rPr>
        <w:t xml:space="preserve">No visibility across shifts, teams, or multiple sites</w:t>
      </w:r>
    </w:p>
    <w:p>
      <w:pPr>
        <w:pStyle w:val="ListParagraph"/>
        <w:numPr>
          <w:ilvl w:val="0"/>
          <w:numId w:val="2"/>
        </w:numPr>
        <w:spacing w:after="80"/>
      </w:pPr>
      <w:r>
        <w:rPr>
          <w:rFonts w:ascii="Arial" w:cs="Arial" w:eastAsia="Arial" w:hAnsi="Arial"/>
          <w:color w:val="64748B"/>
          <w:sz w:val="22"/>
          <w:szCs w:val="22"/>
        </w:rPr>
        <w:t xml:space="preserve">Audit preparation takes days or weeks rather than minutes</w:t>
      </w:r>
    </w:p>
    <w:p>
      <w:pPr>
        <w:spacing w:after="160"/>
      </w:pPr>
      <w:r>
        <w:t xml:space="preserve"/>
      </w:r>
    </w:p>
    <w:p>
      <w:pPr>
        <w:pStyle w:val="Heading2"/>
      </w:pPr>
      <w:r>
        <w:t xml:space="preserve">1.2 Market Size</w:t>
      </w:r>
    </w:p>
    <w:p>
      <w:pPr>
        <w:spacing w:after="120"/>
      </w:pPr>
      <w:r>
        <w:rPr>
          <w:rFonts w:ascii="Arial" w:cs="Arial" w:eastAsia="Arial" w:hAnsi="Arial"/>
          <w:color w:val="64748B"/>
          <w:sz w:val="22"/>
          <w:szCs w:val="22"/>
        </w:rPr>
        <w:t xml:space="preserve">The global calibration management software market was valued at approximately USD $378 million in 2025 and is forecast to grow at a compound annual growth rate (CAGR) of 5.4% through 2030, driven by increasing regulatory requirements and the adoption of Industry 4.0 practices.</w:t>
      </w:r>
    </w:p>
    <w:p>
      <w:pPr>
        <w:spacing w:after="160"/>
      </w:pPr>
      <w:r>
        <w:t xml:space="preserve"/>
      </w:r>
    </w:p>
    <w:p>
      <w:pPr>
        <w:spacing w:after="120"/>
      </w:pPr>
      <w:r>
        <w:rPr>
          <w:rFonts w:ascii="Arial" w:cs="Arial" w:eastAsia="Arial" w:hAnsi="Arial"/>
          <w:color w:val="64748B"/>
          <w:sz w:val="22"/>
          <w:szCs w:val="22"/>
        </w:rPr>
        <w:t xml:space="preserve">The addressable Australian market is smaller but meaningful — an estimated 12,000–18,000 industrial facilities operate instrumented processes that require documented calibration programs. The majority currently have no dedicated CMS in place.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none" w:color="FFFFFF" w:sz="0"/>
              <w:left w:val="none" w:color="FFFFFF" w:sz="0"/>
              <w:bottom w:val="none" w:color="FFFFFF" w:sz="0"/>
              <w:right w:val="none" w:color="FFFFFF" w:sz="0"/>
            </w:tcBorders>
            <w:shd w:fill="1E40AF" w:val="clear"/>
            <w:tcMar>
              <w:top w:type="dxa" w:w="100"/>
              <w:left w:type="dxa" w:w="180"/>
              <w:bottom w:type="dxa" w:w="80"/>
              <w:right w:type="dxa" w:w="180"/>
            </w:tcMar>
          </w:tcPr>
          <w:p>
            <w:r>
              <w:rPr>
                <w:rFonts w:ascii="Arial" w:cs="Arial" w:eastAsia="Arial" w:hAnsi="Arial"/>
                <w:b/>
                <w:bCs/>
                <w:color w:val="FFFFFF"/>
                <w:sz w:val="22"/>
                <w:szCs w:val="22"/>
              </w:rPr>
              <w:t xml:space="preserve">Key Market Tailwinds</w:t>
            </w:r>
          </w:p>
        </w:tc>
      </w:tr>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40"/>
              <w:right w:type="dxa" w:w="180"/>
            </w:tcMar>
          </w:tcPr>
          <w:p>
            <w:r>
              <w:rPr>
                <w:rFonts w:ascii="Arial" w:cs="Arial" w:eastAsia="Arial" w:hAnsi="Arial"/>
                <w:color w:val="64748B"/>
                <w:sz w:val="20"/>
                <w:szCs w:val="20"/>
              </w:rPr>
              <w:t xml:space="preserve">Increasing enforcement of ISO 9001, ISO/IEC 17025, HACCP, and 21 CFR Part 11 compliance</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40"/>
              <w:right w:type="dxa" w:w="180"/>
            </w:tcMar>
          </w:tcPr>
          <w:p>
            <w:r>
              <w:rPr>
                <w:rFonts w:ascii="Arial" w:cs="Arial" w:eastAsia="Arial" w:hAnsi="Arial"/>
                <w:color w:val="64748B"/>
                <w:sz w:val="20"/>
                <w:szCs w:val="20"/>
              </w:rPr>
              <w:t xml:space="preserve">Growing pressure on maintenance teams to do more with fewer resources</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40"/>
              <w:right w:type="dxa" w:w="180"/>
            </w:tcMar>
          </w:tcPr>
          <w:p>
            <w:r>
              <w:rPr>
                <w:rFonts w:ascii="Arial" w:cs="Arial" w:eastAsia="Arial" w:hAnsi="Arial"/>
                <w:color w:val="64748B"/>
                <w:sz w:val="20"/>
                <w:szCs w:val="20"/>
              </w:rPr>
              <w:t xml:space="preserve">Digital transformation mandates in oil &amp; gas, pharma, and food manufacturing</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40"/>
              <w:right w:type="dxa" w:w="180"/>
            </w:tcMar>
          </w:tcPr>
          <w:p>
            <w:r>
              <w:rPr>
                <w:rFonts w:ascii="Arial" w:cs="Arial" w:eastAsia="Arial" w:hAnsi="Arial"/>
                <w:color w:val="64748B"/>
                <w:sz w:val="20"/>
                <w:szCs w:val="20"/>
              </w:rPr>
              <w:t xml:space="preserve">Remote work and distributed teams creating demand for cloud-based maintenance tools</w:t>
            </w:r>
          </w:p>
        </w:tc>
      </w:tr>
      <w:tr>
        <w:tc>
          <w:tcPr>
            <w:tcW w:type="dxa" w:w="9360"/>
            <w:tcBorders>
              <w:top w:val="none" w:color="FFFFFF" w:sz="0"/>
              <w:left w:val="none" w:color="FFFFFF" w:sz="0"/>
              <w:bottom w:val="none" w:color="FFFFFF" w:sz="0"/>
              <w:right w:val="none" w:color="FFFFFF" w:sz="0"/>
            </w:tcBorders>
            <w:shd w:fill="DBEAFE" w:val="clear"/>
            <w:tcMar>
              <w:top w:type="dxa" w:w="40"/>
              <w:left w:type="dxa" w:w="180"/>
              <w:bottom w:type="dxa" w:w="120"/>
              <w:right w:type="dxa" w:w="180"/>
            </w:tcMar>
          </w:tcPr>
          <w:p>
            <w:r>
              <w:rPr>
                <w:rFonts w:ascii="Arial" w:cs="Arial" w:eastAsia="Arial" w:hAnsi="Arial"/>
                <w:color w:val="64748B"/>
                <w:sz w:val="20"/>
                <w:szCs w:val="20"/>
              </w:rPr>
              <w:t xml:space="preserve">Competitive pressure pushing facilities to reduce process upsets caused by instrument drift</w:t>
            </w:r>
          </w:p>
        </w:tc>
      </w:tr>
    </w:tbl>
    <w:p>
      <w:r>
        <w:br w:type="page"/>
      </w:r>
    </w:p>
    <w:p>
      <w:pPr>
        <w:pStyle w:val="Heading1"/>
      </w:pPr>
      <w:r>
        <w:t xml:space="preserve">2. Target Audience</w:t>
      </w:r>
    </w:p>
    <w:p>
      <w:pPr>
        <w:pStyle w:val="Heading2"/>
      </w:pPr>
      <w:r>
        <w:t xml:space="preserve">2.1 Primary Industries</w:t>
      </w:r>
    </w:p>
    <w:p>
      <w:pPr>
        <w:spacing w:after="120"/>
      </w:pPr>
      <w:r>
        <w:rPr>
          <w:rFonts w:ascii="Arial" w:cs="Arial" w:eastAsia="Arial" w:hAnsi="Arial"/>
          <w:color w:val="64748B"/>
          <w:sz w:val="22"/>
          <w:szCs w:val="22"/>
        </w:rPr>
        <w:t xml:space="preserve">CalTrack Pro is designed for any industry where instrument accuracy has direct consequences for safety, quality, or compliance. The highest-priority verticals are: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Industry</w:t>
            </w:r>
          </w:p>
        </w:tc>
        <w:tc>
          <w:tcPr>
            <w:tcW w:type="dxa" w:w="416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Calibration Matters</w:t>
            </w:r>
          </w:p>
        </w:tc>
        <w:tc>
          <w:tcPr>
            <w:tcW w:type="dxa" w:w="30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Standards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Oil &amp; Gas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Safety instrumented systems, pressure/temperature/flow accuracy, process integrity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ISO 9001, IEC 61511, PSSR 2000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Chemical Processing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Reaction control, emissions monitoring, hazardous material containment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ISO 9001, ISO/IEC 17025</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Pharmaceuticals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GMP compliance, batch traceability, electronic record requirements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21 CFR Part 11, EU Annex 11, TGA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Food &amp; Beverage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HACCP critical control points, temperature monitoring, weighing accuracy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HACCP, ISO 22000, FSANZ</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Mining &amp; Minerals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Process weighing, slurry flow, environmental monitoring, safety systems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ISO 9001, state OHS regulations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Power Generation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Boiler instrumentation, turbine controls, emissions compliance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ISO 9001, NERC CIP (grid)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Water &amp; Utilities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Flow and quality monitoring, dosing accuracy, environmental compliance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AS/NZS 4360, EPA regulations</w:t>
            </w:r>
          </w:p>
        </w:tc>
      </w:tr>
    </w:tbl>
    <w:p>
      <w:pPr>
        <w:spacing w:after="200"/>
      </w:pPr>
      <w:r>
        <w:t xml:space="preserve"/>
      </w:r>
    </w:p>
    <w:p>
      <w:pPr>
        <w:pStyle w:val="Heading2"/>
      </w:pPr>
      <w:r>
        <w:t xml:space="preserve">2.2 Buyer Personas</w:t>
      </w:r>
    </w:p>
    <w:p>
      <w:pPr>
        <w:pStyle w:val="Heading3"/>
      </w:pPr>
      <w:r>
        <w:t xml:space="preserve">Primary Buyer: Maintenance Superintendent / Reliability Engineer</w:t>
      </w:r>
    </w:p>
    <w:p>
      <w:pPr>
        <w:spacing w:after="120"/>
      </w:pPr>
      <w:r>
        <w:rPr>
          <w:rFonts w:ascii="Arial" w:cs="Arial" w:eastAsia="Arial" w:hAnsi="Arial"/>
          <w:color w:val="64748B"/>
          <w:sz w:val="22"/>
          <w:szCs w:val="22"/>
        </w:rPr>
        <w:t xml:space="preserve">This person owns the calibration program and is accountable for compliance outcomes. They feel pain when audits reveal gaps, when instruments fail without warning, or when their team wastes time on paperwork. They are willing to pay for a solution that gives them visibility and removes administrative burden.</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Budget authority: usually $1,000–$5,000/year before needing management approval</w:t>
      </w:r>
    </w:p>
    <w:p>
      <w:pPr>
        <w:pStyle w:val="ListParagraph"/>
        <w:numPr>
          <w:ilvl w:val="0"/>
          <w:numId w:val="2"/>
        </w:numPr>
        <w:spacing w:after="80"/>
      </w:pPr>
      <w:r>
        <w:rPr>
          <w:rFonts w:ascii="Arial" w:cs="Arial" w:eastAsia="Arial" w:hAnsi="Arial"/>
          <w:color w:val="64748B"/>
          <w:sz w:val="22"/>
          <w:szCs w:val="22"/>
        </w:rPr>
        <w:t xml:space="preserve">Decision timeline: 1–3 months from evaluation to purchase</w:t>
      </w:r>
    </w:p>
    <w:p>
      <w:pPr>
        <w:pStyle w:val="ListParagraph"/>
        <w:numPr>
          <w:ilvl w:val="0"/>
          <w:numId w:val="2"/>
        </w:numPr>
        <w:spacing w:after="80"/>
      </w:pPr>
      <w:r>
        <w:rPr>
          <w:rFonts w:ascii="Arial" w:cs="Arial" w:eastAsia="Arial" w:hAnsi="Arial"/>
          <w:color w:val="64748B"/>
          <w:sz w:val="22"/>
          <w:szCs w:val="22"/>
        </w:rPr>
        <w:t xml:space="preserve">Biggest objection: "We already have a process" (even if it’s Excel)</w:t>
      </w:r>
    </w:p>
    <w:p>
      <w:pPr>
        <w:pStyle w:val="ListParagraph"/>
        <w:numPr>
          <w:ilvl w:val="0"/>
          <w:numId w:val="2"/>
        </w:numPr>
        <w:spacing w:after="80"/>
      </w:pPr>
      <w:r>
        <w:rPr>
          <w:rFonts w:ascii="Arial" w:cs="Arial" w:eastAsia="Arial" w:hAnsi="Arial"/>
          <w:color w:val="64748B"/>
          <w:sz w:val="22"/>
          <w:szCs w:val="22"/>
        </w:rPr>
        <w:t xml:space="preserve">Winning message: compliance confidence, time saved, audit readiness</w:t>
      </w:r>
    </w:p>
    <w:p>
      <w:pPr>
        <w:spacing w:after="160"/>
      </w:pPr>
      <w:r>
        <w:t xml:space="preserve"/>
      </w:r>
    </w:p>
    <w:p>
      <w:pPr>
        <w:pStyle w:val="Heading3"/>
      </w:pPr>
      <w:r>
        <w:t xml:space="preserve">Secondary Buyer: HSE Manager / Quality Manager</w:t>
      </w:r>
    </w:p>
    <w:p>
      <w:pPr>
        <w:spacing w:after="120"/>
      </w:pPr>
      <w:r>
        <w:rPr>
          <w:rFonts w:ascii="Arial" w:cs="Arial" w:eastAsia="Arial" w:hAnsi="Arial"/>
          <w:color w:val="64748B"/>
          <w:sz w:val="22"/>
          <w:szCs w:val="22"/>
        </w:rPr>
        <w:t xml:space="preserve">Responsible for ensuring the facility meets its regulatory obligations. CalTrack Pro's approval workflow, audit trail, and compliance dashboard speak directly to this persona.</w:t>
      </w:r>
    </w:p>
    <w:p>
      <w:pPr>
        <w:spacing w:after="160"/>
      </w:pPr>
      <w:r>
        <w:t xml:space="preserve"/>
      </w:r>
    </w:p>
    <w:p>
      <w:pPr>
        <w:pStyle w:val="Heading3"/>
      </w:pPr>
      <w:r>
        <w:t xml:space="preserve">End User: Instrument Technician</w:t>
      </w:r>
    </w:p>
    <w:p>
      <w:pPr>
        <w:spacing w:after="120"/>
      </w:pPr>
      <w:r>
        <w:rPr>
          <w:rFonts w:ascii="Arial" w:cs="Arial" w:eastAsia="Arial" w:hAnsi="Arial"/>
          <w:color w:val="64748B"/>
          <w:sz w:val="22"/>
          <w:szCs w:val="22"/>
        </w:rPr>
        <w:t xml:space="preserve">The person who uses the system daily to log calibrations and check what is due. Ease of use, speed, and mobile-friendliness are critical. A clunky tool will be resisted regardless of management buy-in.</w:t>
      </w:r>
    </w:p>
    <w:p>
      <w:pPr>
        <w:spacing w:after="160"/>
      </w:pPr>
      <w:r>
        <w:t xml:space="preserve"/>
      </w:r>
    </w:p>
    <w:p>
      <w:pPr>
        <w:pStyle w:val="Heading2"/>
      </w:pPr>
      <w:r>
        <w:t xml:space="preserve">2.3 Ideal Customer Profile (ICP)</w:t>
      </w:r>
    </w:p>
    <w:p>
      <w:pPr>
        <w:spacing w:after="120"/>
      </w:pPr>
      <w:r>
        <w:rPr>
          <w:rFonts w:ascii="Arial" w:cs="Arial" w:eastAsia="Arial" w:hAnsi="Arial"/>
          <w:color w:val="64748B"/>
          <w:sz w:val="22"/>
          <w:szCs w:val="22"/>
        </w:rPr>
        <w:t xml:space="preserve">The sweet spot for CalTrack Pro is:</w:t>
      </w:r>
    </w:p>
    <w:p>
      <w:pPr>
        <w:pStyle w:val="ListParagraph"/>
        <w:numPr>
          <w:ilvl w:val="0"/>
          <w:numId w:val="2"/>
        </w:numPr>
        <w:spacing w:after="80"/>
      </w:pPr>
      <w:r>
        <w:rPr>
          <w:rFonts w:ascii="Arial" w:cs="Arial" w:eastAsia="Arial" w:hAnsi="Arial"/>
          <w:color w:val="64748B"/>
          <w:sz w:val="22"/>
          <w:szCs w:val="22"/>
        </w:rPr>
        <w:t xml:space="preserve">Australian or New Zealand-based industrial facility (initial focus, expand globally)</w:t>
      </w:r>
    </w:p>
    <w:p>
      <w:pPr>
        <w:pStyle w:val="ListParagraph"/>
        <w:numPr>
          <w:ilvl w:val="0"/>
          <w:numId w:val="2"/>
        </w:numPr>
        <w:spacing w:after="80"/>
      </w:pPr>
      <w:r>
        <w:rPr>
          <w:rFonts w:ascii="Arial" w:cs="Arial" w:eastAsia="Arial" w:hAnsi="Arial"/>
          <w:color w:val="64748B"/>
          <w:sz w:val="22"/>
          <w:szCs w:val="22"/>
        </w:rPr>
        <w:t xml:space="preserve">10–500 instruments under calibration management</w:t>
      </w:r>
    </w:p>
    <w:p>
      <w:pPr>
        <w:pStyle w:val="ListParagraph"/>
        <w:numPr>
          <w:ilvl w:val="0"/>
          <w:numId w:val="2"/>
        </w:numPr>
        <w:spacing w:after="80"/>
      </w:pPr>
      <w:r>
        <w:rPr>
          <w:rFonts w:ascii="Arial" w:cs="Arial" w:eastAsia="Arial" w:hAnsi="Arial"/>
          <w:color w:val="64748B"/>
          <w:sz w:val="22"/>
          <w:szCs w:val="22"/>
        </w:rPr>
        <w:t xml:space="preserve">5–50 person maintenance team</w:t>
      </w:r>
    </w:p>
    <w:p>
      <w:pPr>
        <w:pStyle w:val="ListParagraph"/>
        <w:numPr>
          <w:ilvl w:val="0"/>
          <w:numId w:val="2"/>
        </w:numPr>
        <w:spacing w:after="80"/>
      </w:pPr>
      <w:r>
        <w:rPr>
          <w:rFonts w:ascii="Arial" w:cs="Arial" w:eastAsia="Arial" w:hAnsi="Arial"/>
          <w:color w:val="64748B"/>
          <w:sz w:val="22"/>
          <w:szCs w:val="22"/>
        </w:rPr>
        <w:t xml:space="preserve">Currently using spreadsheets or paper logs</w:t>
      </w:r>
    </w:p>
    <w:p>
      <w:pPr>
        <w:pStyle w:val="ListParagraph"/>
        <w:numPr>
          <w:ilvl w:val="0"/>
          <w:numId w:val="2"/>
        </w:numPr>
        <w:spacing w:after="80"/>
      </w:pPr>
      <w:r>
        <w:rPr>
          <w:rFonts w:ascii="Arial" w:cs="Arial" w:eastAsia="Arial" w:hAnsi="Arial"/>
          <w:color w:val="64748B"/>
          <w:sz w:val="22"/>
          <w:szCs w:val="22"/>
        </w:rPr>
        <w:t xml:space="preserve">Subject to at least one compliance standard (ISO 9001, HACCP, 21 CFR etc.)</w:t>
      </w:r>
    </w:p>
    <w:p>
      <w:pPr>
        <w:pStyle w:val="ListParagraph"/>
        <w:numPr>
          <w:ilvl w:val="0"/>
          <w:numId w:val="2"/>
        </w:numPr>
        <w:spacing w:after="80"/>
      </w:pPr>
      <w:r>
        <w:rPr>
          <w:rFonts w:ascii="Arial" w:cs="Arial" w:eastAsia="Arial" w:hAnsi="Arial"/>
          <w:color w:val="64748B"/>
          <w:sz w:val="22"/>
          <w:szCs w:val="22"/>
        </w:rPr>
        <w:t xml:space="preserve">Has experienced at least one audit finding or near-miss related to calibration</w:t>
      </w:r>
    </w:p>
    <w:p>
      <w:pPr>
        <w:spacing w:after="160"/>
      </w:pPr>
      <w:r>
        <w:t xml:space="preserve"/>
      </w:r>
    </w:p>
    <w:p>
      <w:r>
        <w:br w:type="page"/>
      </w:r>
    </w:p>
    <w:p>
      <w:pPr>
        <w:pStyle w:val="Heading1"/>
      </w:pPr>
      <w:r>
        <w:t xml:space="preserve">3. Competitive Landscape</w:t>
      </w:r>
    </w:p>
    <w:p>
      <w:pPr>
        <w:pStyle w:val="Heading2"/>
      </w:pPr>
      <w:r>
        <w:t xml:space="preserve">3.1 Direct Competitors</w:t>
      </w:r>
    </w:p>
    <w:p>
      <w:pPr>
        <w:spacing w:after="120"/>
      </w:pPr>
      <w:r>
        <w:rPr>
          <w:rFonts w:ascii="Arial" w:cs="Arial" w:eastAsia="Arial" w:hAnsi="Arial"/>
          <w:color w:val="64748B"/>
          <w:sz w:val="22"/>
          <w:szCs w:val="22"/>
        </w:rPr>
        <w:t xml:space="preserve">The CMS space is dominated by a handful of established players, most of which have aged interfaces, complex pricing structures, or significant implementation overhead. This creates an opportunity for a modern, easy-to-deploy alternative.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3260"/>
      </w:tblGrid>
      <w:tr>
        <w:tc>
          <w:tcPr>
            <w:tcW w:type="dxa" w:w="15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Competitor</w:t>
            </w:r>
          </w:p>
        </w:tc>
        <w:tc>
          <w:tcPr>
            <w:tcW w:type="dxa" w:w="20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Pricing</w:t>
            </w:r>
          </w:p>
        </w:tc>
        <w:tc>
          <w:tcPr>
            <w:tcW w:type="dxa" w:w="26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Strengths</w:t>
            </w:r>
          </w:p>
        </w:tc>
        <w:tc>
          <w:tcPr>
            <w:tcW w:type="dxa" w:w="326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Weaknesses / Gaps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GageList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Free (5 tools); Core $99/mo; Plus $199/mo; Pro $299/mo; Max $499/mo</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Well-known, unlimited users per plan, broad instrument support</w:t>
            </w:r>
          </w:p>
        </w:tc>
        <w:tc>
          <w:tcPr>
            <w:tcW w:type="dxa" w:w="3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Per-instrument-count pricing penalises growth; US-centric; dated UI; no approvals workflow</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GAGEtrak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Lite $29/seat/mo; Pro $79/seat/mo (node-locked)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Enterprise-grade feature set, NIST traceability, deep calibration history</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Per-seat pricing adds up fast; complex; requires dedicated admin; Windows desktop heritage shows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Beamex CMX</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One-time license from AUD $2,000+; add-ons for cloud sync</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Best-in-class for calibrator device integration (Beamex hardware)</w:t>
            </w:r>
          </w:p>
        </w:tc>
        <w:tc>
          <w:tcPr>
            <w:tcW w:type="dxa" w:w="3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Vendor lock-in; expensive; overkill for mid-market; not pure SaaS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Fluke ACAL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Subscription, pricing not public</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Integrated with Fluke instruments, large brand</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Proprietary ecosystem; requires Fluke hardware to get full value</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Excel / Paper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Free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Familiar, no upfront cost</w:t>
            </w:r>
          </w:p>
        </w:tc>
        <w:tc>
          <w:tcPr>
            <w:tcW w:type="dxa" w:w="3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audit trail, no alerts, version control nightmare, fails audits, lost records</w:t>
            </w:r>
          </w:p>
        </w:tc>
      </w:tr>
    </w:tbl>
    <w:p>
      <w:pPr>
        <w:spacing w:after="200"/>
      </w:pPr>
      <w:r>
        <w:t xml:space="preserve"/>
      </w:r>
    </w:p>
    <w:p>
      <w:pPr>
        <w:pStyle w:val="Heading2"/>
      </w:pPr>
      <w:r>
        <w:t xml:space="preserve">3.2 CalTrack Pro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100"/>
              <w:left w:type="dxa" w:w="180"/>
              <w:bottom w:type="dxa" w:w="80"/>
              <w:right w:type="dxa" w:w="180"/>
            </w:tcMar>
          </w:tcPr>
          <w:p>
            <w:r>
              <w:rPr>
                <w:rFonts w:ascii="Arial" w:cs="Arial" w:eastAsia="Arial" w:hAnsi="Arial"/>
                <w:b/>
                <w:bCs/>
                <w:color w:val="FFFFFF"/>
                <w:sz w:val="22"/>
                <w:szCs w:val="22"/>
              </w:rPr>
              <w:t xml:space="preserve">CalTrack Pro Differentiators</w:t>
            </w:r>
          </w:p>
        </w:tc>
      </w:tr>
      <w:tr>
        <w:tc>
          <w:tcPr>
            <w:tcW w:type="dxa" w:w="9360"/>
            <w:tcBorders>
              <w:top w:val="none" w:color="FFFFFF" w:sz="0"/>
              <w:left w:val="none" w:color="FFFFFF" w:sz="0"/>
              <w:bottom w:val="none" w:color="FFFFFF" w:sz="0"/>
              <w:right w:val="none" w:color="FFFFFF" w:sz="0"/>
            </w:tcBorders>
            <w:shd w:fill="DCFCE7" w:val="clear"/>
            <w:tcMar>
              <w:top w:type="dxa" w:w="120"/>
              <w:left w:type="dxa" w:w="180"/>
              <w:bottom w:type="dxa" w:w="40"/>
              <w:right w:type="dxa" w:w="180"/>
            </w:tcMar>
          </w:tcPr>
          <w:p>
            <w:r>
              <w:rPr>
                <w:rFonts w:ascii="Arial" w:cs="Arial" w:eastAsia="Arial" w:hAnsi="Arial"/>
                <w:color w:val="64748B"/>
                <w:sz w:val="20"/>
                <w:szCs w:val="20"/>
              </w:rPr>
              <w:t xml:space="preserve">Flat per-site pricing — scale your instrument fleet without cost penalties</w:t>
            </w:r>
          </w:p>
        </w:tc>
      </w:tr>
      <w:tr>
        <w:tc>
          <w:tcPr>
            <w:tcW w:type="dxa" w:w="9360"/>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64748B"/>
                <w:sz w:val="20"/>
                <w:szCs w:val="20"/>
              </w:rPr>
              <w:t xml:space="preserve">Modern, clean interface — technicians actually want to use it</w:t>
            </w:r>
          </w:p>
        </w:tc>
      </w:tr>
      <w:tr>
        <w:tc>
          <w:tcPr>
            <w:tcW w:type="dxa" w:w="9360"/>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64748B"/>
                <w:sz w:val="20"/>
                <w:szCs w:val="20"/>
              </w:rPr>
              <w:t xml:space="preserve">Built-in approval workflow — supervisor sign-off before records update the system</w:t>
            </w:r>
          </w:p>
        </w:tc>
      </w:tr>
      <w:tr>
        <w:tc>
          <w:tcPr>
            <w:tcW w:type="dxa" w:w="9360"/>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64748B"/>
                <w:sz w:val="20"/>
                <w:szCs w:val="20"/>
              </w:rPr>
              <w:t xml:space="preserve">Consecutive failure detection — alerts on systematic instrument problems, not just single failures</w:t>
            </w:r>
          </w:p>
        </w:tc>
      </w:tr>
      <w:tr>
        <w:tc>
          <w:tcPr>
            <w:tcW w:type="dxa" w:w="9360"/>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64748B"/>
                <w:sz w:val="20"/>
                <w:szCs w:val="20"/>
              </w:rPr>
              <w:t xml:space="preserve">Multi-site support from day one — enterprise-ready without enterprise complexity</w:t>
            </w:r>
          </w:p>
        </w:tc>
      </w:tr>
      <w:tr>
        <w:tc>
          <w:tcPr>
            <w:tcW w:type="dxa" w:w="9360"/>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64748B"/>
                <w:sz w:val="20"/>
                <w:szCs w:val="20"/>
              </w:rPr>
              <w:t xml:space="preserve">Cloud-native SaaS — no installation, no VPN, accessible from any device</w:t>
            </w:r>
          </w:p>
        </w:tc>
      </w:tr>
      <w:tr>
        <w:tc>
          <w:tcPr>
            <w:tcW w:type="dxa" w:w="9360"/>
            <w:tcBorders>
              <w:top w:val="none" w:color="FFFFFF" w:sz="0"/>
              <w:left w:val="none" w:color="FFFFFF" w:sz="0"/>
              <w:bottom w:val="none" w:color="FFFFFF" w:sz="0"/>
              <w:right w:val="none" w:color="FFFFFF" w:sz="0"/>
            </w:tcBorders>
            <w:shd w:fill="DCFCE7" w:val="clear"/>
            <w:tcMar>
              <w:top w:type="dxa" w:w="40"/>
              <w:left w:type="dxa" w:w="180"/>
              <w:bottom w:type="dxa" w:w="40"/>
              <w:right w:type="dxa" w:w="180"/>
            </w:tcMar>
          </w:tcPr>
          <w:p>
            <w:r>
              <w:rPr>
                <w:rFonts w:ascii="Arial" w:cs="Arial" w:eastAsia="Arial" w:hAnsi="Arial"/>
                <w:color w:val="64748B"/>
                <w:sz w:val="20"/>
                <w:szCs w:val="20"/>
              </w:rPr>
              <w:t xml:space="preserve">Australian-first — designed with local standards and compliance needs in mind</w:t>
            </w:r>
          </w:p>
        </w:tc>
      </w:tr>
      <w:tr>
        <w:tc>
          <w:tcPr>
            <w:tcW w:type="dxa" w:w="9360"/>
            <w:tcBorders>
              <w:top w:val="none" w:color="FFFFFF" w:sz="0"/>
              <w:left w:val="none" w:color="FFFFFF" w:sz="0"/>
              <w:bottom w:val="none" w:color="FFFFFF" w:sz="0"/>
              <w:right w:val="none" w:color="FFFFFF" w:sz="0"/>
            </w:tcBorders>
            <w:shd w:fill="DCFCE7" w:val="clear"/>
            <w:tcMar>
              <w:top w:type="dxa" w:w="40"/>
              <w:left w:type="dxa" w:w="180"/>
              <w:bottom w:type="dxa" w:w="120"/>
              <w:right w:type="dxa" w:w="180"/>
            </w:tcMar>
          </w:tcPr>
          <w:p>
            <w:r>
              <w:rPr>
                <w:rFonts w:ascii="Arial" w:cs="Arial" w:eastAsia="Arial" w:hAnsi="Arial"/>
                <w:color w:val="64748B"/>
                <w:sz w:val="20"/>
                <w:szCs w:val="20"/>
              </w:rPr>
              <w:t xml:space="preserve">Rapid deployment — operational within one day, not weeks</w:t>
            </w:r>
          </w:p>
        </w:tc>
      </w:tr>
    </w:tbl>
    <w:p>
      <w:r>
        <w:br w:type="page"/>
      </w:r>
    </w:p>
    <w:p>
      <w:pPr>
        <w:pStyle w:val="Heading1"/>
      </w:pPr>
      <w:r>
        <w:t xml:space="preserve">4. Pricing Strategy</w:t>
      </w:r>
    </w:p>
    <w:p>
      <w:pPr>
        <w:pStyle w:val="Heading2"/>
      </w:pPr>
      <w:r>
        <w:t xml:space="preserve">4.1 Pricing Philosophy</w:t>
      </w:r>
    </w:p>
    <w:p>
      <w:pPr>
        <w:spacing w:after="120"/>
      </w:pPr>
      <w:r>
        <w:rPr>
          <w:rFonts w:ascii="Arial" w:cs="Arial" w:eastAsia="Arial" w:hAnsi="Arial"/>
          <w:color w:val="64748B"/>
          <w:sz w:val="22"/>
          <w:szCs w:val="22"/>
        </w:rPr>
        <w:t xml:space="preserve">CalTrack Pro uses flat per-site, per-month pricing. Unlike competitors who charge per instrument (GageList) or per seat (GAGEtrak), CalTrack Pro’s pricing is predictable, simple, and scalable. A maintenance team with 500 instruments pays the same as one with 50 on the same plan. This is a deliberate competitive advantage.</w:t>
      </w:r>
    </w:p>
    <w:p>
      <w:pPr>
        <w:spacing w:after="160"/>
      </w:pPr>
      <w:r>
        <w:t xml:space="preserve"/>
      </w:r>
    </w:p>
    <w:p>
      <w:pPr>
        <w:pStyle w:val="Heading2"/>
      </w:pPr>
      <w:r>
        <w:t xml:space="preserve">4.2 Recommended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4320"/>
      </w:tblGrid>
      <w:tr>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t xml:space="preserve"/>
            </w:r>
          </w:p>
        </w:tc>
        <w:tc>
          <w:tcPr>
            <w:tcW w:type="dxa" w:w="16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Starter</w:t>
            </w:r>
          </w:p>
        </w:tc>
        <w:tc>
          <w:tcPr>
            <w:tcW w:type="dxa" w:w="1680"/>
            <w:tcBorders>
              <w:top w:val="single" w:color="CBD5E1" w:sz="1"/>
              <w:left w:val="single" w:color="CBD5E1" w:sz="1"/>
              <w:bottom w:val="single" w:color="CBD5E1" w:sz="1"/>
              <w:right w:val="single" w:color="CBD5E1" w:sz="1"/>
            </w:tcBorders>
            <w:shd w:fill="1D4ED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Professional</w:t>
            </w:r>
          </w:p>
        </w:tc>
        <w:tc>
          <w:tcPr>
            <w:tcW w:type="dxa" w:w="168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Enterprise</w:t>
            </w:r>
          </w:p>
        </w:tc>
      </w:tr>
      <w:tr>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Monthly Price</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 $149/mo</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 $349/mo</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From $799/mo</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Annual Price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 $1,490/yr
(save ~17%)</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 $3,490/yr
(save ~17%)</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Custom quote</w:t>
            </w:r>
          </w:p>
        </w:tc>
      </w:tr>
      <w:tr>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Instruments</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Up to 150</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Unlimited</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Unlimited</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Users</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Up to 8</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Unlimited</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Unlimited</w:t>
            </w:r>
          </w:p>
        </w:tc>
      </w:tr>
      <w:tr>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Sites</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Multiple</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Calibration Records</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Dashboard &amp; Alerts</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Approval Workflow</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CSV Export</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Advanced Reports</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Trend Charts</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Multi-site Overview</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Custom Integrations</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Priority Support</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Email</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Priority Email</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Dedicated Manager</w:t>
            </w:r>
          </w:p>
        </w:tc>
      </w:tr>
      <w:tr>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SLA Uptime</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99.5%</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99.9%</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On-site Training</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Included</w:t>
            </w:r>
          </w:p>
        </w:tc>
      </w:tr>
    </w:tbl>
    <w:p>
      <w:pPr>
        <w:spacing w:after="200"/>
      </w:pPr>
      <w:r>
        <w:t xml:space="preserve"/>
      </w:r>
    </w:p>
    <w:p>
      <w:pPr>
        <w:pStyle w:val="Heading2"/>
      </w:pPr>
      <w:r>
        <w:t xml:space="preserve">4.3 Pricing Rationale</w:t>
      </w:r>
    </w:p>
    <w:p>
      <w:pPr>
        <w:spacing w:after="120"/>
      </w:pPr>
      <w:r>
        <w:rPr>
          <w:rFonts w:ascii="Arial" w:cs="Arial" w:eastAsia="Arial" w:hAnsi="Arial"/>
          <w:color w:val="64748B"/>
          <w:sz w:val="22"/>
          <w:szCs w:val="22"/>
        </w:rPr>
        <w:t xml:space="preserve">The recommended price points are based on competitor analysis and value-based pricing principles:</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Starter at $149/mo positions below GageList Pro ($299/mo) and GAGEtrak Pro ($79/seat × typical 5 users = $395/mo), while offering a simpler all-inclusive value proposition</w:t>
      </w:r>
    </w:p>
    <w:p>
      <w:pPr>
        <w:pStyle w:val="ListParagraph"/>
        <w:numPr>
          <w:ilvl w:val="0"/>
          <w:numId w:val="2"/>
        </w:numPr>
        <w:spacing w:after="80"/>
      </w:pPr>
      <w:r>
        <w:rPr>
          <w:rFonts w:ascii="Arial" w:cs="Arial" w:eastAsia="Arial" w:hAnsi="Arial"/>
          <w:color w:val="64748B"/>
          <w:sz w:val="22"/>
          <w:szCs w:val="22"/>
        </w:rPr>
        <w:t xml:space="preserve">Professional at $349/mo captures the core maintenance team market and competes directly with GageList Max ($499/mo) at a lower price with a cleaner product</w:t>
      </w:r>
    </w:p>
    <w:p>
      <w:pPr>
        <w:pStyle w:val="ListParagraph"/>
        <w:numPr>
          <w:ilvl w:val="0"/>
          <w:numId w:val="2"/>
        </w:numPr>
        <w:spacing w:after="80"/>
      </w:pPr>
      <w:r>
        <w:rPr>
          <w:rFonts w:ascii="Arial" w:cs="Arial" w:eastAsia="Arial" w:hAnsi="Arial"/>
          <w:color w:val="64748B"/>
          <w:sz w:val="22"/>
          <w:szCs w:val="22"/>
        </w:rPr>
        <w:t xml:space="preserve">Enterprise from $799/mo targets multi-site and enterprise accounts where GageList has no offering and competitors charge $1,000–$3,000+ per month</w:t>
      </w:r>
    </w:p>
    <w:p>
      <w:pPr>
        <w:pStyle w:val="ListParagraph"/>
        <w:numPr>
          <w:ilvl w:val="0"/>
          <w:numId w:val="2"/>
        </w:numPr>
        <w:spacing w:after="80"/>
      </w:pPr>
      <w:r>
        <w:rPr>
          <w:rFonts w:ascii="Arial" w:cs="Arial" w:eastAsia="Arial" w:hAnsi="Arial"/>
          <w:color w:val="64748B"/>
          <w:sz w:val="22"/>
          <w:szCs w:val="22"/>
        </w:rPr>
        <w:t xml:space="preserve">Annual billing at ~17% discount is standard SaaS practice and improves cash flow significantly — the annual Starter plan at $1,490 is cheaper than a one-time legacy software licence</w:t>
      </w:r>
    </w:p>
    <w:p>
      <w:pPr>
        <w:spacing w:after="160"/>
      </w:pPr>
      <w:r>
        <w:t xml:space="preserve"/>
      </w:r>
    </w:p>
    <w:p>
      <w:pPr>
        <w:pStyle w:val="Heading2"/>
      </w:pPr>
      <w:r>
        <w:t xml:space="preserve">4.4 Early Access Strategy</w:t>
      </w:r>
    </w:p>
    <w:p>
      <w:pPr>
        <w:spacing w:after="120"/>
      </w:pPr>
      <w:r>
        <w:rPr>
          <w:rFonts w:ascii="Arial" w:cs="Arial" w:eastAsia="Arial" w:hAnsi="Arial"/>
          <w:color w:val="64748B"/>
          <w:sz w:val="22"/>
          <w:szCs w:val="22"/>
        </w:rPr>
        <w:t xml:space="preserve">During the current early access period, offer a founding customer discount of 30–40% off standard rates, locked in for the lifetime of the subscription (or a defined period of 2 years). This creates urgency, builds a core customer base, and generates valuable feedback.</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Target: 20 founding customers within the first 6 months</w:t>
      </w:r>
    </w:p>
    <w:p>
      <w:pPr>
        <w:pStyle w:val="ListParagraph"/>
        <w:numPr>
          <w:ilvl w:val="0"/>
          <w:numId w:val="2"/>
        </w:numPr>
        <w:spacing w:after="80"/>
      </w:pPr>
      <w:r>
        <w:rPr>
          <w:rFonts w:ascii="Arial" w:cs="Arial" w:eastAsia="Arial" w:hAnsi="Arial"/>
          <w:color w:val="64748B"/>
          <w:sz w:val="22"/>
          <w:szCs w:val="22"/>
        </w:rPr>
        <w:t xml:space="preserve">Offer: 40% off Professional plan = AUD $209/mo (instead of $349/mo), locked for 24 months</w:t>
      </w:r>
    </w:p>
    <w:p>
      <w:pPr>
        <w:pStyle w:val="ListParagraph"/>
        <w:numPr>
          <w:ilvl w:val="0"/>
          <w:numId w:val="2"/>
        </w:numPr>
        <w:spacing w:after="80"/>
      </w:pPr>
      <w:r>
        <w:rPr>
          <w:rFonts w:ascii="Arial" w:cs="Arial" w:eastAsia="Arial" w:hAnsi="Arial"/>
          <w:color w:val="64748B"/>
          <w:sz w:val="22"/>
          <w:szCs w:val="22"/>
        </w:rPr>
        <w:t xml:space="preserve">Condition: customer agrees to provide feedback and a testimonial after 60 days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100"/>
              <w:left w:type="dxa" w:w="180"/>
              <w:bottom w:type="dxa" w:w="80"/>
              <w:right w:type="dxa" w:w="180"/>
            </w:tcMar>
          </w:tcPr>
          <w:p>
            <w:r>
              <w:rPr>
                <w:rFonts w:ascii="Arial" w:cs="Arial" w:eastAsia="Arial" w:hAnsi="Arial"/>
                <w:b/>
                <w:bCs/>
                <w:color w:val="FFFFFF"/>
                <w:sz w:val="22"/>
                <w:szCs w:val="22"/>
              </w:rPr>
              <w:t xml:space="preserve">Free Trial Structure</w:t>
            </w:r>
          </w:p>
        </w:tc>
      </w:tr>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40"/>
              <w:right w:type="dxa" w:w="180"/>
            </w:tcMar>
          </w:tcPr>
          <w:p>
            <w:r>
              <w:rPr>
                <w:rFonts w:ascii="Arial" w:cs="Arial" w:eastAsia="Arial" w:hAnsi="Arial"/>
                <w:color w:val="64748B"/>
                <w:sz w:val="20"/>
                <w:szCs w:val="20"/>
              </w:rPr>
              <w:t xml:space="preserve">The live demo app is available at no cost with full functionality — this IS the trial</w:t>
            </w:r>
          </w:p>
        </w:tc>
      </w:tr>
      <w:tr>
        <w:tc>
          <w:tcPr>
            <w:tcW w:type="dxa" w:w="9360"/>
            <w:tcBorders>
              <w:top w:val="none" w:color="FFFFFF" w:sz="0"/>
              <w:left w:val="none" w:color="FFFFFF" w:sz="0"/>
              <w:bottom w:val="none" w:color="FFFFFF" w:sz="0"/>
              <w:right w:val="none" w:color="FFFFFF" w:sz="0"/>
            </w:tcBorders>
            <w:shd w:fill="FEF3C7" w:val="clear"/>
            <w:tcMar>
              <w:top w:type="dxa" w:w="40"/>
              <w:left w:type="dxa" w:w="180"/>
              <w:bottom w:type="dxa" w:w="40"/>
              <w:right w:type="dxa" w:w="180"/>
            </w:tcMar>
          </w:tcPr>
          <w:p>
            <w:r>
              <w:rPr>
                <w:rFonts w:ascii="Arial" w:cs="Arial" w:eastAsia="Arial" w:hAnsi="Arial"/>
                <w:color w:val="64748B"/>
                <w:sz w:val="20"/>
                <w:szCs w:val="20"/>
              </w:rPr>
              <w:t xml:space="preserve">All data in the demo app is shared (not isolated per visitor)</w:t>
            </w:r>
          </w:p>
        </w:tc>
      </w:tr>
      <w:tr>
        <w:tc>
          <w:tcPr>
            <w:tcW w:type="dxa" w:w="9360"/>
            <w:tcBorders>
              <w:top w:val="none" w:color="FFFFFF" w:sz="0"/>
              <w:left w:val="none" w:color="FFFFFF" w:sz="0"/>
              <w:bottom w:val="none" w:color="FFFFFF" w:sz="0"/>
              <w:right w:val="none" w:color="FFFFFF" w:sz="0"/>
            </w:tcBorders>
            <w:shd w:fill="FEF3C7" w:val="clear"/>
            <w:tcMar>
              <w:top w:type="dxa" w:w="40"/>
              <w:left w:type="dxa" w:w="180"/>
              <w:bottom w:type="dxa" w:w="40"/>
              <w:right w:type="dxa" w:w="180"/>
            </w:tcMar>
          </w:tcPr>
          <w:p>
            <w:r>
              <w:rPr>
                <w:rFonts w:ascii="Arial" w:cs="Arial" w:eastAsia="Arial" w:hAnsi="Arial"/>
                <w:color w:val="64748B"/>
                <w:sz w:val="20"/>
                <w:szCs w:val="20"/>
              </w:rPr>
              <w:t xml:space="preserve">Paying customers get their own isolated, password-protected site</w:t>
            </w:r>
          </w:p>
        </w:tc>
      </w:tr>
      <w:tr>
        <w:tc>
          <w:tcPr>
            <w:tcW w:type="dxa" w:w="9360"/>
            <w:tcBorders>
              <w:top w:val="none" w:color="FFFFFF" w:sz="0"/>
              <w:left w:val="none" w:color="FFFFFF" w:sz="0"/>
              <w:bottom w:val="none" w:color="FFFFFF" w:sz="0"/>
              <w:right w:val="none" w:color="FFFFFF" w:sz="0"/>
            </w:tcBorders>
            <w:shd w:fill="FEF3C7" w:val="clear"/>
            <w:tcMar>
              <w:top w:type="dxa" w:w="40"/>
              <w:left w:type="dxa" w:w="180"/>
              <w:bottom w:type="dxa" w:w="40"/>
              <w:right w:type="dxa" w:w="180"/>
            </w:tcMar>
          </w:tcPr>
          <w:p>
            <w:r>
              <w:rPr>
                <w:rFonts w:ascii="Arial" w:cs="Arial" w:eastAsia="Arial" w:hAnsi="Arial"/>
                <w:color w:val="64748B"/>
                <w:sz w:val="20"/>
                <w:szCs w:val="20"/>
              </w:rPr>
              <w:t xml:space="preserve">This removes friction: prospects see the full product immediately without signing up</w:t>
            </w:r>
          </w:p>
        </w:tc>
      </w:tr>
      <w:tr>
        <w:tc>
          <w:tcPr>
            <w:tcW w:type="dxa" w:w="9360"/>
            <w:tcBorders>
              <w:top w:val="none" w:color="FFFFFF" w:sz="0"/>
              <w:left w:val="none" w:color="FFFFFF" w:sz="0"/>
              <w:bottom w:val="none" w:color="FFFFFF" w:sz="0"/>
              <w:right w:val="none" w:color="FFFFFF" w:sz="0"/>
            </w:tcBorders>
            <w:shd w:fill="FEF3C7" w:val="clear"/>
            <w:tcMar>
              <w:top w:type="dxa" w:w="40"/>
              <w:left w:type="dxa" w:w="180"/>
              <w:bottom w:type="dxa" w:w="120"/>
              <w:right w:type="dxa" w:w="180"/>
            </w:tcMar>
          </w:tcPr>
          <w:p>
            <w:r>
              <w:rPr>
                <w:rFonts w:ascii="Arial" w:cs="Arial" w:eastAsia="Arial" w:hAnsi="Arial"/>
                <w:color w:val="64748B"/>
                <w:sz w:val="20"/>
                <w:szCs w:val="20"/>
              </w:rPr>
              <w:t xml:space="preserve">Convert to paid via the Contact / Pricing page when they want their own data and team access</w:t>
            </w:r>
          </w:p>
        </w:tc>
      </w:tr>
    </w:tbl>
    <w:p>
      <w:r>
        <w:br w:type="page"/>
      </w:r>
    </w:p>
    <w:p>
      <w:pPr>
        <w:pStyle w:val="Heading1"/>
      </w:pPr>
      <w:r>
        <w:t xml:space="preserve">5. Go-to-Market Strategy</w:t>
      </w:r>
    </w:p>
    <w:p>
      <w:pPr>
        <w:pStyle w:val="Heading2"/>
      </w:pPr>
      <w:r>
        <w:t xml:space="preserve">5.1 Phase 1: Founder-Led Sales (Months 1–6)</w:t>
      </w:r>
    </w:p>
    <w:p>
      <w:pPr>
        <w:spacing w:after="120"/>
      </w:pPr>
      <w:r>
        <w:rPr>
          <w:rFonts w:ascii="Arial" w:cs="Arial" w:eastAsia="Arial" w:hAnsi="Arial"/>
          <w:color w:val="64748B"/>
          <w:sz w:val="22"/>
          <w:szCs w:val="22"/>
        </w:rPr>
        <w:t xml:space="preserve">In the early stages, sales should be founder-led and direct. The goal is learning, not scale. Every conversation with a prospect reveals product gaps, objections, and the real language buyers use to describe their pain.</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Reach out directly to 50–100 targeted contacts via LinkedIn (Maintenance Superintendents, Instrument Engineers, HSE Managers at Australian industrial sites)</w:t>
      </w:r>
    </w:p>
    <w:p>
      <w:pPr>
        <w:pStyle w:val="ListParagraph"/>
        <w:numPr>
          <w:ilvl w:val="0"/>
          <w:numId w:val="2"/>
        </w:numPr>
        <w:spacing w:after="80"/>
      </w:pPr>
      <w:r>
        <w:rPr>
          <w:rFonts w:ascii="Arial" w:cs="Arial" w:eastAsia="Arial" w:hAnsi="Arial"/>
          <w:color w:val="64748B"/>
          <w:sz w:val="22"/>
          <w:szCs w:val="22"/>
        </w:rPr>
        <w:t xml:space="preserve">Offer a free 30-minute demo call with screen sharing — no slides, just the live product</w:t>
      </w:r>
    </w:p>
    <w:p>
      <w:pPr>
        <w:pStyle w:val="ListParagraph"/>
        <w:numPr>
          <w:ilvl w:val="0"/>
          <w:numId w:val="2"/>
        </w:numPr>
        <w:spacing w:after="80"/>
      </w:pPr>
      <w:r>
        <w:rPr>
          <w:rFonts w:ascii="Arial" w:cs="Arial" w:eastAsia="Arial" w:hAnsi="Arial"/>
          <w:color w:val="64748B"/>
          <w:sz w:val="22"/>
          <w:szCs w:val="22"/>
        </w:rPr>
        <w:t xml:space="preserve">Follow up every demo with a personalised email and a direct link to the pricing page</w:t>
      </w:r>
    </w:p>
    <w:p>
      <w:pPr>
        <w:pStyle w:val="ListParagraph"/>
        <w:numPr>
          <w:ilvl w:val="0"/>
          <w:numId w:val="2"/>
        </w:numPr>
        <w:spacing w:after="80"/>
      </w:pPr>
      <w:r>
        <w:rPr>
          <w:rFonts w:ascii="Arial" w:cs="Arial" w:eastAsia="Arial" w:hAnsi="Arial"/>
          <w:color w:val="64748B"/>
          <w:sz w:val="22"/>
          <w:szCs w:val="22"/>
        </w:rPr>
        <w:t xml:space="preserve">Join and post in relevant LinkedIn groups and communities (AMCA, Engineers Australia, industry associations)</w:t>
      </w:r>
    </w:p>
    <w:p>
      <w:pPr>
        <w:pStyle w:val="ListParagraph"/>
        <w:numPr>
          <w:ilvl w:val="0"/>
          <w:numId w:val="2"/>
        </w:numPr>
        <w:spacing w:after="80"/>
      </w:pPr>
      <w:r>
        <w:rPr>
          <w:rFonts w:ascii="Arial" w:cs="Arial" w:eastAsia="Arial" w:hAnsi="Arial"/>
          <w:color w:val="64748B"/>
          <w:sz w:val="22"/>
          <w:szCs w:val="22"/>
        </w:rPr>
        <w:t xml:space="preserve">Submit to niche industry publications (Manufacturers Monthly, Process Technology, AusOHS) for editorial coverage</w:t>
      </w:r>
    </w:p>
    <w:p>
      <w:pPr>
        <w:spacing w:after="160"/>
      </w:pPr>
      <w:r>
        <w:t xml:space="preserve"/>
      </w:r>
    </w:p>
    <w:p>
      <w:pPr>
        <w:pStyle w:val="Heading2"/>
      </w:pPr>
      <w:r>
        <w:t xml:space="preserve">5.2 Phase 2: Content &amp; Inbound (Months 3–12)</w:t>
      </w:r>
    </w:p>
    <w:p>
      <w:pPr>
        <w:spacing w:after="120"/>
      </w:pPr>
      <w:r>
        <w:rPr>
          <w:rFonts w:ascii="Arial" w:cs="Arial" w:eastAsia="Arial" w:hAnsi="Arial"/>
          <w:color w:val="64748B"/>
          <w:sz w:val="22"/>
          <w:szCs w:val="22"/>
        </w:rPr>
        <w:t xml:space="preserve">The blog and resource library are high-value SEO assets. Industrial buyers search for specific problems (‘ISO 17025 calibration records’, ‘instrument calibration software Australia’) before they search for product names.</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Publish 2–4 high-quality blog posts per month covering: compliance guides, case studies, feature deep dives, industry-specific calibration topics</w:t>
      </w:r>
    </w:p>
    <w:p>
      <w:pPr>
        <w:pStyle w:val="ListParagraph"/>
        <w:numPr>
          <w:ilvl w:val="0"/>
          <w:numId w:val="2"/>
        </w:numPr>
        <w:spacing w:after="80"/>
      </w:pPr>
      <w:r>
        <w:rPr>
          <w:rFonts w:ascii="Arial" w:cs="Arial" w:eastAsia="Arial" w:hAnsi="Arial"/>
          <w:color w:val="64748B"/>
          <w:sz w:val="22"/>
          <w:szCs w:val="22"/>
        </w:rPr>
        <w:t xml:space="preserve">Target long-tail SEO keywords: ‘calibration management software Australia’, ‘ISO 17025 calibration records’, ‘instrument calibration tracking software’</w:t>
      </w:r>
    </w:p>
    <w:p>
      <w:pPr>
        <w:pStyle w:val="ListParagraph"/>
        <w:numPr>
          <w:ilvl w:val="0"/>
          <w:numId w:val="2"/>
        </w:numPr>
        <w:spacing w:after="80"/>
      </w:pPr>
      <w:r>
        <w:rPr>
          <w:rFonts w:ascii="Arial" w:cs="Arial" w:eastAsia="Arial" w:hAnsi="Arial"/>
          <w:color w:val="64748B"/>
          <w:sz w:val="22"/>
          <w:szCs w:val="22"/>
        </w:rPr>
        <w:t xml:space="preserve">Create a free downloadable resource: ‘Calibration Management Audit Checklist’ in exchange for email sign-up</w:t>
      </w:r>
    </w:p>
    <w:p>
      <w:pPr>
        <w:pStyle w:val="ListParagraph"/>
        <w:numPr>
          <w:ilvl w:val="0"/>
          <w:numId w:val="2"/>
        </w:numPr>
        <w:spacing w:after="80"/>
      </w:pPr>
      <w:r>
        <w:rPr>
          <w:rFonts w:ascii="Arial" w:cs="Arial" w:eastAsia="Arial" w:hAnsi="Arial"/>
          <w:color w:val="64748B"/>
          <w:sz w:val="22"/>
          <w:szCs w:val="22"/>
        </w:rPr>
        <w:t xml:space="preserve">Set up a monthly email newsletter to keep warm leads engaged</w:t>
      </w:r>
    </w:p>
    <w:p>
      <w:pPr>
        <w:spacing w:after="160"/>
      </w:pPr>
      <w:r>
        <w:t xml:space="preserve"/>
      </w:r>
    </w:p>
    <w:p>
      <w:pPr>
        <w:pStyle w:val="Heading2"/>
      </w:pPr>
      <w:r>
        <w:t xml:space="preserve">5.3 Phase 3: Partnerships &amp; Channels (Month 6+)</w:t>
      </w:r>
    </w:p>
    <w:p>
      <w:pPr>
        <w:pStyle w:val="ListParagraph"/>
        <w:numPr>
          <w:ilvl w:val="0"/>
          <w:numId w:val="2"/>
        </w:numPr>
        <w:spacing w:after="80"/>
      </w:pPr>
      <w:r>
        <w:rPr>
          <w:rFonts w:ascii="Arial" w:cs="Arial" w:eastAsia="Arial" w:hAnsi="Arial"/>
          <w:color w:val="64748B"/>
          <w:sz w:val="22"/>
          <w:szCs w:val="22"/>
        </w:rPr>
        <w:t xml:space="preserve">Partner with calibration service contractors who could recommend or white-label CalTrack Pro to their clients</w:t>
      </w:r>
    </w:p>
    <w:p>
      <w:pPr>
        <w:pStyle w:val="ListParagraph"/>
        <w:numPr>
          <w:ilvl w:val="0"/>
          <w:numId w:val="2"/>
        </w:numPr>
        <w:spacing w:after="80"/>
      </w:pPr>
      <w:r>
        <w:rPr>
          <w:rFonts w:ascii="Arial" w:cs="Arial" w:eastAsia="Arial" w:hAnsi="Arial"/>
          <w:color w:val="64748B"/>
          <w:sz w:val="22"/>
          <w:szCs w:val="22"/>
        </w:rPr>
        <w:t xml:space="preserve">Approach industrial distributors (Blackwoods, RS Components, Rexel) about referral arrangements</w:t>
      </w:r>
    </w:p>
    <w:p>
      <w:pPr>
        <w:pStyle w:val="ListParagraph"/>
        <w:numPr>
          <w:ilvl w:val="0"/>
          <w:numId w:val="2"/>
        </w:numPr>
        <w:spacing w:after="80"/>
      </w:pPr>
      <w:r>
        <w:rPr>
          <w:rFonts w:ascii="Arial" w:cs="Arial" w:eastAsia="Arial" w:hAnsi="Arial"/>
          <w:color w:val="64748B"/>
          <w:sz w:val="22"/>
          <w:szCs w:val="22"/>
        </w:rPr>
        <w:t xml:space="preserve">Explore integration partnerships with CMMS vendors (Asset Panda, Limble, UpKeep) to create referral flows</w:t>
      </w:r>
    </w:p>
    <w:p>
      <w:pPr>
        <w:pStyle w:val="ListParagraph"/>
        <w:numPr>
          <w:ilvl w:val="0"/>
          <w:numId w:val="2"/>
        </w:numPr>
        <w:spacing w:after="80"/>
      </w:pPr>
      <w:r>
        <w:rPr>
          <w:rFonts w:ascii="Arial" w:cs="Arial" w:eastAsia="Arial" w:hAnsi="Arial"/>
          <w:color w:val="64748B"/>
          <w:sz w:val="22"/>
          <w:szCs w:val="22"/>
        </w:rPr>
        <w:t xml:space="preserve">Consider channel reseller program for instrumentation service companies</w:t>
      </w:r>
    </w:p>
    <w:p>
      <w:pPr>
        <w:spacing w:after="160"/>
      </w:pPr>
      <w:r>
        <w:t xml:space="preserve"/>
      </w:r>
    </w:p>
    <w:p>
      <w:pPr>
        <w:pStyle w:val="Heading2"/>
      </w:pPr>
      <w:r>
        <w:t xml:space="preserve">5.4 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 6</w:t>
            </w:r>
          </w:p>
        </w:tc>
        <w:tc>
          <w:tcPr>
            <w:tcW w:type="dxa" w:w="234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 12</w:t>
            </w:r>
          </w:p>
        </w:tc>
        <w:tc>
          <w:tcPr>
            <w:tcW w:type="dxa" w:w="234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 24</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Paying customers</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30</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100</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MRR (est.)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~$2,500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~$9,000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~$30,000</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ARR (est.)</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~$30,000</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~$108,000</w:t>
            </w:r>
          </w:p>
        </w:tc>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~$360,000</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Avg. plan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Starter/Pro mix</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Mostly Pro</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Pro + Enterprise</w:t>
            </w:r>
          </w:p>
        </w:tc>
      </w:tr>
    </w:tbl>
    <w:p>
      <w:pPr>
        <w:spacing w:after="160"/>
      </w:pPr>
      <w:r>
        <w:t xml:space="preserve"/>
      </w:r>
    </w:p>
    <w:p>
      <w:pPr>
        <w:spacing w:after="120"/>
      </w:pPr>
      <w:r>
        <w:rPr>
          <w:rFonts w:ascii="Arial" w:cs="Arial" w:eastAsia="Arial" w:hAnsi="Arial"/>
          <w:color w:val="64748B"/>
          <w:sz w:val="22"/>
          <w:szCs w:val="22"/>
        </w:rPr>
        <w:t xml:space="preserve">Note: These targets assume founder-led sales with no paid advertising budget. A modest Google Ads or LinkedIn spend of $1,000–$3,000/month in Year 2 could accelerate growth significantly.</w:t>
      </w:r>
    </w:p>
    <w:p>
      <w:r>
        <w:br w:type="page"/>
      </w:r>
    </w:p>
    <w:p>
      <w:pPr>
        <w:pStyle w:val="Heading1"/>
      </w:pPr>
      <w:r>
        <w:t xml:space="preserve">6. Legal &amp; Compliance Requirements</w:t>
      </w:r>
    </w:p>
    <w:p>
      <w:pPr>
        <w:pStyle w:val="Heading2"/>
      </w:pPr>
      <w:r>
        <w:t xml:space="preserve">6.1 Business Registration (Australia)</w:t>
      </w:r>
    </w:p>
    <w:p>
      <w:pPr>
        <w:pStyle w:val="ListParagraph"/>
        <w:numPr>
          <w:ilvl w:val="0"/>
          <w:numId w:val="2"/>
        </w:numPr>
        <w:spacing w:after="80"/>
      </w:pPr>
      <w:r>
        <w:rPr>
          <w:rFonts w:ascii="Arial" w:cs="Arial" w:eastAsia="Arial" w:hAnsi="Arial"/>
          <w:color w:val="64748B"/>
          <w:sz w:val="22"/>
          <w:szCs w:val="22"/>
        </w:rPr>
        <w:t xml:space="preserve">Register a legal business entity: Sole Trader (simplest), Company (Pty Ltd — recommended for scalability and liability protection), or Partnership</w:t>
      </w:r>
    </w:p>
    <w:p>
      <w:pPr>
        <w:pStyle w:val="ListParagraph"/>
        <w:numPr>
          <w:ilvl w:val="0"/>
          <w:numId w:val="2"/>
        </w:numPr>
        <w:spacing w:after="80"/>
      </w:pPr>
      <w:r>
        <w:rPr>
          <w:rFonts w:ascii="Arial" w:cs="Arial" w:eastAsia="Arial" w:hAnsi="Arial"/>
          <w:color w:val="64748B"/>
          <w:sz w:val="22"/>
          <w:szCs w:val="22"/>
        </w:rPr>
        <w:t xml:space="preserve">Obtain an Australian Business Number (ABN) via the Australian Business Register at register.business.gov.au</w:t>
      </w:r>
    </w:p>
    <w:p>
      <w:pPr>
        <w:pStyle w:val="ListParagraph"/>
        <w:numPr>
          <w:ilvl w:val="0"/>
          <w:numId w:val="2"/>
        </w:numPr>
        <w:spacing w:after="80"/>
      </w:pPr>
      <w:r>
        <w:rPr>
          <w:rFonts w:ascii="Arial" w:cs="Arial" w:eastAsia="Arial" w:hAnsi="Arial"/>
          <w:color w:val="64748B"/>
          <w:sz w:val="22"/>
          <w:szCs w:val="22"/>
        </w:rPr>
        <w:t xml:space="preserve">Register for Goods and Services Tax (GST) once annual turnover exceeds AUD $75,000. At $30k MRR ($360k/yr) this threshold will be hit in Year 1–Year 2. Recommended to register proactively</w:t>
      </w:r>
    </w:p>
    <w:p>
      <w:pPr>
        <w:pStyle w:val="ListParagraph"/>
        <w:numPr>
          <w:ilvl w:val="0"/>
          <w:numId w:val="2"/>
        </w:numPr>
        <w:spacing w:after="80"/>
      </w:pPr>
      <w:r>
        <w:rPr>
          <w:rFonts w:ascii="Arial" w:cs="Arial" w:eastAsia="Arial" w:hAnsi="Arial"/>
          <w:color w:val="64748B"/>
          <w:sz w:val="22"/>
          <w:szCs w:val="22"/>
        </w:rPr>
        <w:t xml:space="preserve">Consider registering ‘CalTrack Pro’ as a business name via ASIC if operating under that name as a sole trader or trust</w:t>
      </w:r>
    </w:p>
    <w:p>
      <w:pPr>
        <w:spacing w:after="160"/>
      </w:pPr>
      <w:r>
        <w:t xml:space="preserve"/>
      </w:r>
    </w:p>
    <w:p>
      <w:pPr>
        <w:pStyle w:val="Heading2"/>
      </w:pPr>
      <w:r>
        <w:t xml:space="preserve">6.2 SaaS Legal Documents (Mandatory)</w:t>
      </w:r>
    </w:p>
    <w:p>
      <w:pPr>
        <w:spacing w:after="120"/>
      </w:pPr>
      <w:r>
        <w:rPr>
          <w:rFonts w:ascii="Arial" w:cs="Arial" w:eastAsia="Arial" w:hAnsi="Arial"/>
          <w:color w:val="64748B"/>
          <w:sz w:val="22"/>
          <w:szCs w:val="22"/>
        </w:rPr>
        <w:t xml:space="preserve">The following legal documents must be in place before accepting paying customers: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Document</w:t>
            </w:r>
          </w:p>
        </w:tc>
        <w:tc>
          <w:tcPr>
            <w:tcW w:type="dxa" w:w="376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Clauses to Include</w:t>
            </w:r>
          </w:p>
        </w:tc>
        <w:tc>
          <w:tcPr>
            <w:tcW w:type="dxa" w:w="34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Terms of Service / Subscription Agreement</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Subscription fees and billing, acceptable use, data ownership, service availability (uptime), liability limits, termination and data export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 comply with Australian Consumer Law (ACL). Unfair contract terms provisions apply to standard form contracts with SMBs since 2022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Privacy Policy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What data is collected, how it is used, third-party sharing (Supabase, Stripe etc.), user rights, contact details for privacy enquiries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Mandatory under the Privacy Act 1988 (Cth). Must cover the 13 Australian Privacy Principles (APPs)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Data Processing Agreement (DPA)</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Role of CalTrack as data processor, security measures, breach notification, sub-processors (Supabase, etc.)</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Required by customers in regulated industries (pharma, food). Also required for EU customers under GDPR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Acceptable Use Policy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Prohibited uses, API usage limits, account sharing restrictions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Can be embedded within the Terms of Service</w:t>
            </w:r>
          </w:p>
        </w:tc>
      </w:tr>
    </w:tbl>
    <w:p>
      <w:pPr>
        <w:spacing w:after="200"/>
      </w:pPr>
      <w:r>
        <w:t xml:space="preserve"/>
      </w:r>
    </w:p>
    <w:p>
      <w:pPr>
        <w:spacing w:after="120"/>
      </w:pPr>
      <w:r>
        <w:rPr>
          <w:rFonts w:ascii="Arial" w:cs="Arial" w:eastAsia="Arial" w:hAnsi="Arial"/>
          <w:color w:val="64748B"/>
          <w:sz w:val="22"/>
          <w:szCs w:val="22"/>
        </w:rPr>
        <w:t xml:space="preserve">Recommended approach: Use an Australian-specific SaaS legal template service (Sprintlaw or LegalVision) to draft your initial Terms and Privacy Policy for approximately $500–$1,500. Do not use US templates without Australian law review.</w:t>
      </w:r>
    </w:p>
    <w:p>
      <w:pPr>
        <w:spacing w:after="160"/>
      </w:pPr>
      <w:r>
        <w:t xml:space="preserve"/>
      </w:r>
    </w:p>
    <w:p>
      <w:pPr>
        <w:pStyle w:val="Heading2"/>
      </w:pPr>
      <w:r>
        <w:t xml:space="preserve">6.3 Data Security &amp; Notifiable Data Breaches</w:t>
      </w:r>
    </w:p>
    <w:p>
      <w:pPr>
        <w:spacing w:after="120"/>
      </w:pPr>
      <w:r>
        <w:rPr>
          <w:rFonts w:ascii="Arial" w:cs="Arial" w:eastAsia="Arial" w:hAnsi="Arial"/>
          <w:color w:val="64748B"/>
          <w:sz w:val="22"/>
          <w:szCs w:val="22"/>
        </w:rPr>
        <w:t xml:space="preserve">Under the Privacy Act 1988, CalTrack Pro is subject to the Notifiable Data Breaches (NDB) scheme once it handles personal information (user names, email addresses). A data breach that is likely to cause serious harm must be notified to the Office of the Australian Information Commissioner (OAIC) and affected individuals.</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Ensure Supabase data is stored in an Australian data region (Sydney — ap-southeast-2) wherever possible, or disclose international data storage in your Privacy Policy</w:t>
      </w:r>
    </w:p>
    <w:p>
      <w:pPr>
        <w:pStyle w:val="ListParagraph"/>
        <w:numPr>
          <w:ilvl w:val="0"/>
          <w:numId w:val="2"/>
        </w:numPr>
        <w:spacing w:after="80"/>
      </w:pPr>
      <w:r>
        <w:rPr>
          <w:rFonts w:ascii="Arial" w:cs="Arial" w:eastAsia="Arial" w:hAnsi="Arial"/>
          <w:color w:val="64748B"/>
          <w:sz w:val="22"/>
          <w:szCs w:val="22"/>
        </w:rPr>
        <w:t xml:space="preserve">Enable two-factor authentication on the Supabase project and all production infrastructure</w:t>
      </w:r>
    </w:p>
    <w:p>
      <w:pPr>
        <w:pStyle w:val="ListParagraph"/>
        <w:numPr>
          <w:ilvl w:val="0"/>
          <w:numId w:val="2"/>
        </w:numPr>
        <w:spacing w:after="80"/>
      </w:pPr>
      <w:r>
        <w:rPr>
          <w:rFonts w:ascii="Arial" w:cs="Arial" w:eastAsia="Arial" w:hAnsi="Arial"/>
          <w:color w:val="64748B"/>
          <w:sz w:val="22"/>
          <w:szCs w:val="22"/>
        </w:rPr>
        <w:t xml:space="preserve">Maintain an internal data breach response plan before launching to paying customers</w:t>
      </w:r>
    </w:p>
    <w:p>
      <w:pPr>
        <w:pStyle w:val="ListParagraph"/>
        <w:numPr>
          <w:ilvl w:val="0"/>
          <w:numId w:val="2"/>
        </w:numPr>
        <w:spacing w:after="80"/>
      </w:pPr>
      <w:r>
        <w:rPr>
          <w:rFonts w:ascii="Arial" w:cs="Arial" w:eastAsia="Arial" w:hAnsi="Arial"/>
          <w:color w:val="64748B"/>
          <w:sz w:val="22"/>
          <w:szCs w:val="22"/>
        </w:rPr>
        <w:t xml:space="preserve">Review Supabase’s data processing and security certifications to include in your DPA</w:t>
      </w:r>
    </w:p>
    <w:p>
      <w:pPr>
        <w:spacing w:after="160"/>
      </w:pPr>
      <w:r>
        <w:t xml:space="preserve"/>
      </w:r>
    </w:p>
    <w:p>
      <w:pPr>
        <w:pStyle w:val="Heading2"/>
      </w:pPr>
      <w:r>
        <w:t xml:space="preserve">6.4 Industry-Specific Considerations</w:t>
      </w:r>
    </w:p>
    <w:p>
      <w:pPr>
        <w:pStyle w:val="ListParagraph"/>
        <w:numPr>
          <w:ilvl w:val="0"/>
          <w:numId w:val="2"/>
        </w:numPr>
        <w:spacing w:after="80"/>
      </w:pPr>
      <w:r>
        <w:rPr>
          <w:rFonts w:ascii="Arial" w:cs="Arial" w:eastAsia="Arial" w:hAnsi="Arial"/>
          <w:color w:val="64748B"/>
          <w:sz w:val="22"/>
          <w:szCs w:val="22"/>
        </w:rPr>
        <w:t xml:space="preserve">Pharmaceutical customers (21 CFR Part 11): Electronic records and signatures must be validated. Consider offering a formal validation documentation package as a paid add-on ($500–$2,000 one-time)</w:t>
      </w:r>
    </w:p>
    <w:p>
      <w:pPr>
        <w:pStyle w:val="ListParagraph"/>
        <w:numPr>
          <w:ilvl w:val="0"/>
          <w:numId w:val="2"/>
        </w:numPr>
        <w:spacing w:after="80"/>
      </w:pPr>
      <w:r>
        <w:rPr>
          <w:rFonts w:ascii="Arial" w:cs="Arial" w:eastAsia="Arial" w:hAnsi="Arial"/>
          <w:color w:val="64748B"/>
          <w:sz w:val="22"/>
          <w:szCs w:val="22"/>
        </w:rPr>
        <w:t xml:space="preserve">ISO/IEC 17025 accredited labs: Customers will expect your data retention and traceability model to meet accreditation body requirements. The current data model handles this well</w:t>
      </w:r>
    </w:p>
    <w:p>
      <w:pPr>
        <w:pStyle w:val="ListParagraph"/>
        <w:numPr>
          <w:ilvl w:val="0"/>
          <w:numId w:val="2"/>
        </w:numPr>
        <w:spacing w:after="80"/>
      </w:pPr>
      <w:r>
        <w:rPr>
          <w:rFonts w:ascii="Arial" w:cs="Arial" w:eastAsia="Arial" w:hAnsi="Arial"/>
          <w:color w:val="64748B"/>
          <w:sz w:val="22"/>
          <w:szCs w:val="22"/>
        </w:rPr>
        <w:t xml:space="preserve">Government / defence customers: May require data sovereignty guarantees (Australian-hosted data only) and potentially an IRAP assessment for cloud services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100"/>
              <w:left w:type="dxa" w:w="180"/>
              <w:bottom w:type="dxa" w:w="80"/>
              <w:right w:type="dxa" w:w="180"/>
            </w:tcMar>
          </w:tcPr>
          <w:p>
            <w:r>
              <w:rPr>
                <w:rFonts w:ascii="Arial" w:cs="Arial" w:eastAsia="Arial" w:hAnsi="Arial"/>
                <w:b/>
                <w:bCs/>
                <w:color w:val="FFFFFF"/>
                <w:sz w:val="22"/>
                <w:szCs w:val="22"/>
              </w:rPr>
              <w:t xml:space="preserve">Intellectual Property</w:t>
            </w:r>
          </w:p>
        </w:tc>
      </w:tr>
      <w:tr>
        <w:tc>
          <w:tcPr>
            <w:tcW w:type="dxa" w:w="9360"/>
            <w:tcBorders>
              <w:top w:val="none" w:color="FFFFFF" w:sz="0"/>
              <w:left w:val="none" w:color="FFFFFF" w:sz="0"/>
              <w:bottom w:val="none" w:color="FFFFFF" w:sz="0"/>
              <w:right w:val="none" w:color="FFFFFF" w:sz="0"/>
            </w:tcBorders>
            <w:shd w:fill="FEE2E2" w:val="clear"/>
            <w:tcMar>
              <w:top w:type="dxa" w:w="120"/>
              <w:left w:type="dxa" w:w="180"/>
              <w:bottom w:type="dxa" w:w="40"/>
              <w:right w:type="dxa" w:w="180"/>
            </w:tcMar>
          </w:tcPr>
          <w:p>
            <w:r>
              <w:rPr>
                <w:rFonts w:ascii="Arial" w:cs="Arial" w:eastAsia="Arial" w:hAnsi="Arial"/>
                <w:color w:val="64748B"/>
                <w:sz w:val="20"/>
                <w:szCs w:val="20"/>
              </w:rPr>
              <w:t xml:space="preserve">Register ‘CalTrack Pro’ as a trade mark with IP Australia (approx. $250 per class). Class 42 (Software as a Service) is the most relevant</w:t>
            </w:r>
          </w:p>
        </w:tc>
      </w:tr>
      <w:tr>
        <w:tc>
          <w:tcPr>
            <w:tcW w:type="dxa" w:w="9360"/>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64748B"/>
                <w:sz w:val="20"/>
                <w:szCs w:val="20"/>
              </w:rPr>
              <w:t xml:space="preserve">The source code is automatically protected by copyright under Australian law — no registration required</w:t>
            </w:r>
          </w:p>
        </w:tc>
      </w:tr>
      <w:tr>
        <w:tc>
          <w:tcPr>
            <w:tcW w:type="dxa" w:w="9360"/>
            <w:tcBorders>
              <w:top w:val="none" w:color="FFFFFF" w:sz="0"/>
              <w:left w:val="none" w:color="FFFFFF" w:sz="0"/>
              <w:bottom w:val="none" w:color="FFFFFF" w:sz="0"/>
              <w:right w:val="none" w:color="FFFFFF" w:sz="0"/>
            </w:tcBorders>
            <w:shd w:fill="FEE2E2" w:val="clear"/>
            <w:tcMar>
              <w:top w:type="dxa" w:w="40"/>
              <w:left w:type="dxa" w:w="180"/>
              <w:bottom w:type="dxa" w:w="40"/>
              <w:right w:type="dxa" w:w="180"/>
            </w:tcMar>
          </w:tcPr>
          <w:p>
            <w:r>
              <w:rPr>
                <w:rFonts w:ascii="Arial" w:cs="Arial" w:eastAsia="Arial" w:hAnsi="Arial"/>
                <w:color w:val="64748B"/>
                <w:sz w:val="20"/>
                <w:szCs w:val="20"/>
              </w:rPr>
              <w:t xml:space="preserve">If incorporating as a company, ensure IP ownership is formally assigned from any founders/contractors to the company entity</w:t>
            </w:r>
          </w:p>
        </w:tc>
      </w:tr>
      <w:tr>
        <w:tc>
          <w:tcPr>
            <w:tcW w:type="dxa" w:w="9360"/>
            <w:tcBorders>
              <w:top w:val="none" w:color="FFFFFF" w:sz="0"/>
              <w:left w:val="none" w:color="FFFFFF" w:sz="0"/>
              <w:bottom w:val="none" w:color="FFFFFF" w:sz="0"/>
              <w:right w:val="none" w:color="FFFFFF" w:sz="0"/>
            </w:tcBorders>
            <w:shd w:fill="FEE2E2" w:val="clear"/>
            <w:tcMar>
              <w:top w:type="dxa" w:w="40"/>
              <w:left w:type="dxa" w:w="180"/>
              <w:bottom w:type="dxa" w:w="120"/>
              <w:right w:type="dxa" w:w="180"/>
            </w:tcMar>
          </w:tcPr>
          <w:p>
            <w:r>
              <w:rPr>
                <w:rFonts w:ascii="Arial" w:cs="Arial" w:eastAsia="Arial" w:hAnsi="Arial"/>
                <w:color w:val="64748B"/>
                <w:sz w:val="20"/>
                <w:szCs w:val="20"/>
              </w:rPr>
              <w:t xml:space="preserve">Use written contracts with any developers or contractors that include IP assignment clauses</w:t>
            </w:r>
          </w:p>
        </w:tc>
      </w:tr>
    </w:tbl>
    <w:p>
      <w:r>
        <w:br w:type="page"/>
      </w:r>
    </w:p>
    <w:p>
      <w:pPr>
        <w:pStyle w:val="Heading1"/>
      </w:pPr>
      <w:r>
        <w:t xml:space="preserve">7. Monetisation Roadmap</w:t>
      </w:r>
    </w:p>
    <w:p>
      <w:pPr>
        <w:pStyle w:val="Heading2"/>
      </w:pPr>
      <w:r>
        <w:t xml:space="preserve">7.1 Payment Infrastructure</w:t>
      </w:r>
    </w:p>
    <w:p>
      <w:pPr>
        <w:spacing w:after="120"/>
      </w:pPr>
      <w:r>
        <w:rPr>
          <w:rFonts w:ascii="Arial" w:cs="Arial" w:eastAsia="Arial" w:hAnsi="Arial"/>
          <w:color w:val="64748B"/>
          <w:sz w:val="22"/>
          <w:szCs w:val="22"/>
        </w:rPr>
        <w:t xml:space="preserve">The current contact form collects enquiries but has no payment processing. To monetise, you will need to integrate a payment gateway. The recommended provider is Stripe.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351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c>
          <w:tcPr>
            <w:tcW w:type="dxa" w:w="351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1. Set up Stripe</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Create a Stripe account, enable Australian billing, configure products and prices for each plan tier</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Stripe supports AUD billing natively. GST handling can be configured in Stripe Tax</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2. Build billing flow</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Add a Stripe Checkout or Billing Portal integration to the CalTrack Pro frontend for self-serve sign-up</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Stripe’s hosted checkout handles PCI compliance, reduces development time significantly</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3. Account gating</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Add a ‘subscription status’ check on the backend — only allow API access if the site has an active paid subscription</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Store Stripe customer ID and subscription status in the database against each site record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4. Self-serve sign-up</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Allow new customers to sign up, choose a plan, and enter their site name directly — no manual intervention from you</w:t>
            </w:r>
          </w:p>
        </w:tc>
        <w:tc>
          <w:tcPr>
            <w:tcW w:type="dxa" w:w="351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This is the key to scaling beyond 20 customers without drowning in admin</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5. Billing portal</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Give customers access to Stripe’s hosted billing portal to manage their plan, update payment methods, download invoices</w:t>
            </w:r>
          </w:p>
        </w:tc>
        <w:tc>
          <w:tcPr>
            <w:tcW w:type="dxa" w:w="35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Stripe Billing Portal is pre-built and takes 1–2 days to integrate</w:t>
            </w:r>
          </w:p>
        </w:tc>
      </w:tr>
    </w:tbl>
    <w:p>
      <w:pPr>
        <w:spacing w:after="200"/>
      </w:pPr>
      <w:r>
        <w:t xml:space="preserve"/>
      </w:r>
    </w:p>
    <w:p>
      <w:pPr>
        <w:pStyle w:val="Heading2"/>
      </w:pPr>
      <w:r>
        <w:t xml:space="preserve">7.2 Business Email Setup</w:t>
      </w:r>
    </w:p>
    <w:p>
      <w:pPr>
        <w:spacing w:after="120"/>
      </w:pPr>
      <w:r>
        <w:rPr>
          <w:rFonts w:ascii="Arial" w:cs="Arial" w:eastAsia="Arial" w:hAnsi="Arial"/>
          <w:color w:val="64748B"/>
          <w:sz w:val="22"/>
          <w:szCs w:val="22"/>
        </w:rPr>
        <w:t xml:space="preserve">A professional email address (@caltrackpro.com) is essential for credibility and is required for business communication, billing notifications, and support. Below is the recommended setup:</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Domain: Ensure caltrackpro.com is registered and controlled by you (check with your registrar)</w:t>
      </w:r>
    </w:p>
    <w:p>
      <w:pPr>
        <w:pStyle w:val="ListParagraph"/>
        <w:numPr>
          <w:ilvl w:val="0"/>
          <w:numId w:val="2"/>
        </w:numPr>
        <w:spacing w:after="80"/>
      </w:pPr>
      <w:r>
        <w:rPr>
          <w:rFonts w:ascii="Arial" w:cs="Arial" w:eastAsia="Arial" w:hAnsi="Arial"/>
          <w:color w:val="64748B"/>
          <w:sz w:val="22"/>
          <w:szCs w:val="22"/>
        </w:rPr>
        <w:t xml:space="preserve">Email provider: Google Workspace (recommended) at $8.40 AUD/user/month for a professional Gmail interface with your domain. Alternatively, Microsoft 365 Business Basic at $7.90/user/month</w:t>
      </w:r>
    </w:p>
    <w:p>
      <w:pPr>
        <w:pStyle w:val="ListParagraph"/>
        <w:numPr>
          <w:ilvl w:val="0"/>
          <w:numId w:val="2"/>
        </w:numPr>
        <w:spacing w:after="80"/>
      </w:pPr>
      <w:r>
        <w:rPr>
          <w:rFonts w:ascii="Arial" w:cs="Arial" w:eastAsia="Arial" w:hAnsi="Arial"/>
          <w:color w:val="64748B"/>
          <w:sz w:val="22"/>
          <w:szCs w:val="22"/>
        </w:rPr>
        <w:t xml:space="preserve">Minimum mailboxes to set up:</w:t>
      </w:r>
    </w:p>
    <w:p>
      <w:pPr>
        <w:pStyle w:val="ListParagraph"/>
        <w:numPr>
          <w:ilvl w:val="0"/>
          <w:numId w:val="3"/>
        </w:numPr>
        <w:spacing w:after="60"/>
      </w:pPr>
      <w:r>
        <w:rPr>
          <w:rFonts w:ascii="Arial" w:cs="Arial" w:eastAsia="Arial" w:hAnsi="Arial"/>
          <w:color w:val="64748B"/>
          <w:sz w:val="20"/>
          <w:szCs w:val="20"/>
        </w:rPr>
        <w:t xml:space="preserve">info@caltrackpro.com — general enquiries (shown on the website Contact page)</w:t>
      </w:r>
    </w:p>
    <w:p>
      <w:pPr>
        <w:pStyle w:val="ListParagraph"/>
        <w:numPr>
          <w:ilvl w:val="0"/>
          <w:numId w:val="3"/>
        </w:numPr>
        <w:spacing w:after="60"/>
      </w:pPr>
      <w:r>
        <w:rPr>
          <w:rFonts w:ascii="Arial" w:cs="Arial" w:eastAsia="Arial" w:hAnsi="Arial"/>
          <w:color w:val="64748B"/>
          <w:sz w:val="20"/>
          <w:szCs w:val="20"/>
        </w:rPr>
        <w:t xml:space="preserve">support@caltrackpro.com — customer support requests</w:t>
      </w:r>
    </w:p>
    <w:p>
      <w:pPr>
        <w:pStyle w:val="ListParagraph"/>
        <w:numPr>
          <w:ilvl w:val="0"/>
          <w:numId w:val="3"/>
        </w:numPr>
        <w:spacing w:after="60"/>
      </w:pPr>
      <w:r>
        <w:rPr>
          <w:rFonts w:ascii="Arial" w:cs="Arial" w:eastAsia="Arial" w:hAnsi="Arial"/>
          <w:color w:val="64748B"/>
          <w:sz w:val="20"/>
          <w:szCs w:val="20"/>
        </w:rPr>
        <w:t xml:space="preserve">billing@caltrackpro.com — payment and invoice queries</w:t>
      </w:r>
    </w:p>
    <w:p>
      <w:pPr>
        <w:pStyle w:val="ListParagraph"/>
        <w:numPr>
          <w:ilvl w:val="0"/>
          <w:numId w:val="3"/>
        </w:numPr>
        <w:spacing w:after="60"/>
      </w:pPr>
      <w:r>
        <w:rPr>
          <w:rFonts w:ascii="Arial" w:cs="Arial" w:eastAsia="Arial" w:hAnsi="Arial"/>
          <w:color w:val="64748B"/>
          <w:sz w:val="20"/>
          <w:szCs w:val="20"/>
        </w:rPr>
        <w:t xml:space="preserve">noreply@caltrackpro.com — transactional emails (password resets, calibration alerts)</w:t>
      </w:r>
    </w:p>
    <w:p>
      <w:pPr>
        <w:pStyle w:val="ListParagraph"/>
        <w:numPr>
          <w:ilvl w:val="0"/>
          <w:numId w:val="2"/>
        </w:numPr>
        <w:spacing w:after="80"/>
      </w:pPr>
      <w:r>
        <w:rPr>
          <w:rFonts w:ascii="Arial" w:cs="Arial" w:eastAsia="Arial" w:hAnsi="Arial"/>
          <w:color w:val="64748B"/>
          <w:sz w:val="22"/>
          <w:szCs w:val="22"/>
        </w:rPr>
        <w:t xml:space="preserve">Configure SPF, DKIM, and DMARC DNS records to ensure emails are not flagged as spam — your domain registrar or Google Workspace setup wizard will guide you through this</w:t>
      </w:r>
    </w:p>
    <w:p>
      <w:pPr>
        <w:pStyle w:val="ListParagraph"/>
        <w:numPr>
          <w:ilvl w:val="0"/>
          <w:numId w:val="2"/>
        </w:numPr>
        <w:spacing w:after="80"/>
      </w:pPr>
      <w:r>
        <w:rPr>
          <w:rFonts w:ascii="Arial" w:cs="Arial" w:eastAsia="Arial" w:hAnsi="Arial"/>
          <w:color w:val="64748B"/>
          <w:sz w:val="22"/>
          <w:szCs w:val="22"/>
        </w:rPr>
        <w:t xml:space="preserve">Set up email forwarding rules so that all addresses forward to a single monitored inbox in the early stage when one person handles everything</w:t>
      </w:r>
    </w:p>
    <w:p>
      <w:pPr>
        <w:spacing w:after="160"/>
      </w:pPr>
      <w:r>
        <w:t xml:space="preserve"/>
      </w:r>
    </w:p>
    <w:p>
      <w:pPr>
        <w:pStyle w:val="Heading2"/>
      </w:pPr>
      <w:r>
        <w:t xml:space="preserve">7.3 Transactional Email (In-App Notifications)</w:t>
      </w:r>
    </w:p>
    <w:p>
      <w:pPr>
        <w:spacing w:after="120"/>
      </w:pPr>
      <w:r>
        <w:rPr>
          <w:rFonts w:ascii="Arial" w:cs="Arial" w:eastAsia="Arial" w:hAnsi="Arial"/>
          <w:color w:val="64748B"/>
          <w:sz w:val="22"/>
          <w:szCs w:val="22"/>
        </w:rPr>
        <w:t xml:space="preserve">As the product matures, you will want to send automated emails: overdue calibration alerts, approval notifications, account welcome emails, and password resets. The recommended provider is Resend or SendGrid.</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Resend: Modern developer-friendly API, free up to 3,000 emails/month. Ideal for a bootstrapped start</w:t>
      </w:r>
    </w:p>
    <w:p>
      <w:pPr>
        <w:pStyle w:val="ListParagraph"/>
        <w:numPr>
          <w:ilvl w:val="0"/>
          <w:numId w:val="2"/>
        </w:numPr>
        <w:spacing w:after="80"/>
      </w:pPr>
      <w:r>
        <w:rPr>
          <w:rFonts w:ascii="Arial" w:cs="Arial" w:eastAsia="Arial" w:hAnsi="Arial"/>
          <w:color w:val="64748B"/>
          <w:sz w:val="22"/>
          <w:szCs w:val="22"/>
        </w:rPr>
        <w:t xml:space="preserve">SendGrid: Industry standard, free tier available, extensive analytics</w:t>
      </w:r>
    </w:p>
    <w:p>
      <w:pPr>
        <w:pStyle w:val="ListParagraph"/>
        <w:numPr>
          <w:ilvl w:val="0"/>
          <w:numId w:val="2"/>
        </w:numPr>
        <w:spacing w:after="80"/>
      </w:pPr>
      <w:r>
        <w:rPr>
          <w:rFonts w:ascii="Arial" w:cs="Arial" w:eastAsia="Arial" w:hAnsi="Arial"/>
          <w:color w:val="64748B"/>
          <w:sz w:val="22"/>
          <w:szCs w:val="22"/>
        </w:rPr>
        <w:t xml:space="preserve">Both providers can send email from your @caltrackpro.com domain with proper DNS setup</w:t>
      </w:r>
    </w:p>
    <w:p>
      <w:pPr>
        <w:spacing w:after="160"/>
      </w:pPr>
      <w:r>
        <w:t xml:space="preserve"/>
      </w:r>
    </w:p>
    <w:p>
      <w:pPr>
        <w:pStyle w:val="Heading2"/>
      </w:pPr>
      <w:r>
        <w:t xml:space="preserve">7.4 Account Gating (App Access Control)</w:t>
      </w:r>
    </w:p>
    <w:p>
      <w:pPr>
        <w:spacing w:after="120"/>
      </w:pPr>
      <w:r>
        <w:rPr>
          <w:rFonts w:ascii="Arial" w:cs="Arial" w:eastAsia="Arial" w:hAnsi="Arial"/>
          <w:color w:val="64748B"/>
          <w:sz w:val="22"/>
          <w:szCs w:val="22"/>
        </w:rPr>
        <w:t xml:space="preserve">Currently, the CalTrack Pro app is freely accessible to anyone who visits /app. For a paid product, access should be gated. The recommended implementation sequence is:</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Phase 1 (Now — manual gate): Contact form enquiries are reviewed manually, and only confirmed customers receive a site name and password. The demo app remains public</w:t>
      </w:r>
    </w:p>
    <w:p>
      <w:pPr>
        <w:pStyle w:val="ListParagraph"/>
        <w:numPr>
          <w:ilvl w:val="0"/>
          <w:numId w:val="2"/>
        </w:numPr>
        <w:spacing w:after="80"/>
      </w:pPr>
      <w:r>
        <w:rPr>
          <w:rFonts w:ascii="Arial" w:cs="Arial" w:eastAsia="Arial" w:hAnsi="Arial"/>
          <w:color w:val="64748B"/>
          <w:sz w:val="22"/>
          <w:szCs w:val="22"/>
        </w:rPr>
        <w:t xml:space="preserve">Phase 2 (Month 2–3): Build a registration page where customers choose a plan, pay via Stripe, and get a site automatically created. Backend checks subscription status before returning data</w:t>
      </w:r>
    </w:p>
    <w:p>
      <w:pPr>
        <w:pStyle w:val="ListParagraph"/>
        <w:numPr>
          <w:ilvl w:val="0"/>
          <w:numId w:val="2"/>
        </w:numPr>
        <w:spacing w:after="80"/>
      </w:pPr>
      <w:r>
        <w:rPr>
          <w:rFonts w:ascii="Arial" w:cs="Arial" w:eastAsia="Arial" w:hAnsi="Arial"/>
          <w:color w:val="64748B"/>
          <w:sz w:val="22"/>
          <w:szCs w:val="22"/>
        </w:rPr>
        <w:t xml:space="preserve">Phase 3 (Month 4–6): Full self-serve onboarding — sign up, choose plan, pay, set up site, invite team, go live — with no manual intervention</w:t>
      </w:r>
    </w:p>
    <w:p>
      <w:pPr>
        <w:spacing w:after="160"/>
      </w:pPr>
      <w:r>
        <w:t xml:space="preserve"/>
      </w:r>
    </w:p>
    <w:p>
      <w:pPr>
        <w:pStyle w:val="Heading2"/>
      </w:pPr>
      <w:r>
        <w:t xml:space="preserve">7.5 Additional Revenue Streams</w:t>
      </w:r>
    </w:p>
    <w:p>
      <w:pPr>
        <w:spacing w:after="120"/>
      </w:pPr>
      <w:r>
        <w:rPr>
          <w:rFonts w:ascii="Arial" w:cs="Arial" w:eastAsia="Arial" w:hAnsi="Arial"/>
          <w:color w:val="64748B"/>
          <w:sz w:val="22"/>
          <w:szCs w:val="22"/>
        </w:rPr>
        <w:t xml:space="preserve">Beyond core subscriptions, the following revenue streams are worth exploring as the product matures:</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Professional services: Instrument data migration, site setup, and onboarding for larger customers ($500–$2,000 one-time)</w:t>
      </w:r>
    </w:p>
    <w:p>
      <w:pPr>
        <w:pStyle w:val="ListParagraph"/>
        <w:numPr>
          <w:ilvl w:val="0"/>
          <w:numId w:val="2"/>
        </w:numPr>
        <w:spacing w:after="80"/>
      </w:pPr>
      <w:r>
        <w:rPr>
          <w:rFonts w:ascii="Arial" w:cs="Arial" w:eastAsia="Arial" w:hAnsi="Arial"/>
          <w:color w:val="64748B"/>
          <w:sz w:val="22"/>
          <w:szCs w:val="22"/>
        </w:rPr>
        <w:t xml:space="preserve">Validation packages: Formal IQ/OQ/PQ validation documentation for pharmaceutical customers ($1,500–3,000)</w:t>
      </w:r>
    </w:p>
    <w:p>
      <w:pPr>
        <w:pStyle w:val="ListParagraph"/>
        <w:numPr>
          <w:ilvl w:val="0"/>
          <w:numId w:val="2"/>
        </w:numPr>
        <w:spacing w:after="80"/>
      </w:pPr>
      <w:r>
        <w:rPr>
          <w:rFonts w:ascii="Arial" w:cs="Arial" w:eastAsia="Arial" w:hAnsi="Arial"/>
          <w:color w:val="64748B"/>
          <w:sz w:val="22"/>
          <w:szCs w:val="22"/>
        </w:rPr>
        <w:t xml:space="preserve">Training: Online training modules or on-site workshops for maintenance teams</w:t>
      </w:r>
    </w:p>
    <w:p>
      <w:pPr>
        <w:pStyle w:val="ListParagraph"/>
        <w:numPr>
          <w:ilvl w:val="0"/>
          <w:numId w:val="2"/>
        </w:numPr>
        <w:spacing w:after="80"/>
      </w:pPr>
      <w:r>
        <w:rPr>
          <w:rFonts w:ascii="Arial" w:cs="Arial" w:eastAsia="Arial" w:hAnsi="Arial"/>
          <w:color w:val="64748B"/>
          <w:sz w:val="22"/>
          <w:szCs w:val="22"/>
        </w:rPr>
        <w:t xml:space="preserve">API access: Paid API access tier for customers who want to integrate CalTrack Pro with their CMMS or ERP systems</w:t>
      </w:r>
    </w:p>
    <w:p>
      <w:pPr>
        <w:pStyle w:val="ListParagraph"/>
        <w:numPr>
          <w:ilvl w:val="0"/>
          <w:numId w:val="2"/>
        </w:numPr>
        <w:spacing w:after="80"/>
      </w:pPr>
      <w:r>
        <w:rPr>
          <w:rFonts w:ascii="Arial" w:cs="Arial" w:eastAsia="Arial" w:hAnsi="Arial"/>
          <w:color w:val="64748B"/>
          <w:sz w:val="22"/>
          <w:szCs w:val="22"/>
        </w:rPr>
        <w:t xml:space="preserve">Custom reports: Bespoke report development for large Enterprise customers</w:t>
      </w:r>
    </w:p>
    <w:p>
      <w:r>
        <w:br w:type="page"/>
      </w:r>
    </w:p>
    <w:p>
      <w:pPr>
        <w:pStyle w:val="Heading1"/>
      </w:pPr>
      <w:r>
        <w:t xml:space="preserve">8. Technology &amp; Infrastructure</w:t>
      </w:r>
    </w:p>
    <w:p>
      <w:pPr>
        <w:pStyle w:val="Heading2"/>
      </w:pPr>
      <w:r>
        <w:t xml:space="preserve">8.1 Current Stack</w:t>
      </w:r>
    </w:p>
    <w:p>
      <w:pPr>
        <w:spacing w:after="120"/>
      </w:pPr>
      <w:r>
        <w:rPr>
          <w:rFonts w:ascii="Arial" w:cs="Arial" w:eastAsia="Arial" w:hAnsi="Arial"/>
          <w:color w:val="64748B"/>
          <w:sz w:val="22"/>
          <w:szCs w:val="22"/>
        </w:rPr>
        <w:t xml:space="preserve">CalTrack Pro is built on a modern, well-chosen technology stack that is appropriate for a SaaS product at this stage: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256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46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Frontend</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React 18 + Vite + Tailwind CSS</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Modern, fast, widely supported. Tailwind enables rapid UI iteration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Backend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Python FastAPI</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Performant, async-first, excellent for API development. Great ecosystem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Database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PostgreSQL via Supabase</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Managed Postgres with built-in auth, row-level security, daily backups, and a generous free tier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Auth</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Supabase Auth (JWT)</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Current implementation uses localStorage for user context — should be migrated to Supabase Auth for production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Hosting</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Railway.app (planned)</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Simple deployment for Python backends. Frontend can be deployed to Vercel or Railway. Both have generous free tiers</w:t>
            </w:r>
          </w:p>
        </w:tc>
      </w:tr>
    </w:tbl>
    <w:p>
      <w:pPr>
        <w:spacing w:after="200"/>
      </w:pPr>
      <w:r>
        <w:t xml:space="preserve"/>
      </w:r>
    </w:p>
    <w:p>
      <w:pPr>
        <w:pStyle w:val="Heading2"/>
      </w:pPr>
      <w:r>
        <w:t xml:space="preserve">8.2 Pre-Launch Technical Priorities</w:t>
      </w:r>
    </w:p>
    <w:p>
      <w:pPr>
        <w:pStyle w:val="ListParagraph"/>
        <w:numPr>
          <w:ilvl w:val="0"/>
          <w:numId w:val="2"/>
        </w:numPr>
        <w:spacing w:after="80"/>
      </w:pPr>
      <w:r>
        <w:rPr>
          <w:rFonts w:ascii="Arial" w:cs="Arial" w:eastAsia="Arial" w:hAnsi="Arial"/>
          <w:color w:val="64748B"/>
          <w:sz w:val="22"/>
          <w:szCs w:val="22"/>
        </w:rPr>
        <w:t xml:space="preserve">Migrate user authentication from localStorage to Supabase Auth with proper JWT handling — this is critical before any paying customer data exists</w:t>
      </w:r>
    </w:p>
    <w:p>
      <w:pPr>
        <w:pStyle w:val="ListParagraph"/>
        <w:numPr>
          <w:ilvl w:val="0"/>
          <w:numId w:val="2"/>
        </w:numPr>
        <w:spacing w:after="80"/>
      </w:pPr>
      <w:r>
        <w:rPr>
          <w:rFonts w:ascii="Arial" w:cs="Arial" w:eastAsia="Arial" w:hAnsi="Arial"/>
          <w:color w:val="64748B"/>
          <w:sz w:val="22"/>
          <w:szCs w:val="22"/>
        </w:rPr>
        <w:t xml:space="preserve">Implement row-level security (RLS) in Supabase to enforce site isolation at the database layer, not just the application layer</w:t>
      </w:r>
    </w:p>
    <w:p>
      <w:pPr>
        <w:pStyle w:val="ListParagraph"/>
        <w:numPr>
          <w:ilvl w:val="0"/>
          <w:numId w:val="2"/>
        </w:numPr>
        <w:spacing w:after="80"/>
      </w:pPr>
      <w:r>
        <w:rPr>
          <w:rFonts w:ascii="Arial" w:cs="Arial" w:eastAsia="Arial" w:hAnsi="Arial"/>
          <w:color w:val="64748B"/>
          <w:sz w:val="22"/>
          <w:szCs w:val="22"/>
        </w:rPr>
        <w:t xml:space="preserve">Set up automated database backups with point-in-time recovery</w:t>
      </w:r>
    </w:p>
    <w:p>
      <w:pPr>
        <w:pStyle w:val="ListParagraph"/>
        <w:numPr>
          <w:ilvl w:val="0"/>
          <w:numId w:val="2"/>
        </w:numPr>
        <w:spacing w:after="80"/>
      </w:pPr>
      <w:r>
        <w:rPr>
          <w:rFonts w:ascii="Arial" w:cs="Arial" w:eastAsia="Arial" w:hAnsi="Arial"/>
          <w:color w:val="64748B"/>
          <w:sz w:val="22"/>
          <w:szCs w:val="22"/>
        </w:rPr>
        <w:t xml:space="preserve">Implement production logging and error monitoring (Sentry is free for small projects)</w:t>
      </w:r>
    </w:p>
    <w:p>
      <w:pPr>
        <w:pStyle w:val="ListParagraph"/>
        <w:numPr>
          <w:ilvl w:val="0"/>
          <w:numId w:val="2"/>
        </w:numPr>
        <w:spacing w:after="80"/>
      </w:pPr>
      <w:r>
        <w:rPr>
          <w:rFonts w:ascii="Arial" w:cs="Arial" w:eastAsia="Arial" w:hAnsi="Arial"/>
          <w:color w:val="64748B"/>
          <w:sz w:val="22"/>
          <w:szCs w:val="22"/>
        </w:rPr>
        <w:t xml:space="preserve">Configure a staging environment separate from production</w:t>
      </w:r>
    </w:p>
    <w:p>
      <w:pPr>
        <w:pStyle w:val="ListParagraph"/>
        <w:numPr>
          <w:ilvl w:val="0"/>
          <w:numId w:val="2"/>
        </w:numPr>
        <w:spacing w:after="80"/>
      </w:pPr>
      <w:r>
        <w:rPr>
          <w:rFonts w:ascii="Arial" w:cs="Arial" w:eastAsia="Arial" w:hAnsi="Arial"/>
          <w:color w:val="64748B"/>
          <w:sz w:val="22"/>
          <w:szCs w:val="22"/>
        </w:rPr>
        <w:t xml:space="preserve">Set up CI/CD pipeline (GitHub Actions) to automate testing and deployment</w:t>
      </w:r>
    </w:p>
    <w:p>
      <w:pPr>
        <w:spacing w:after="160"/>
      </w:pPr>
      <w:r>
        <w:t xml:space="preserve"/>
      </w:r>
    </w:p>
    <w:p>
      <w:pPr>
        <w:pStyle w:val="Heading2"/>
      </w:pPr>
      <w:r>
        <w:t xml:space="preserve">8.3 Scaling Considerations</w:t>
      </w:r>
    </w:p>
    <w:p>
      <w:pPr>
        <w:spacing w:after="120"/>
      </w:pPr>
      <w:r>
        <w:rPr>
          <w:rFonts w:ascii="Arial" w:cs="Arial" w:eastAsia="Arial" w:hAnsi="Arial"/>
          <w:color w:val="64748B"/>
          <w:sz w:val="22"/>
          <w:szCs w:val="22"/>
        </w:rPr>
        <w:t xml:space="preserve">The current architecture can comfortably support 100–500 customers on a single Supabase project and Railway deployment. When approaching 500+ customers or high-frequency usage:</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Enable Supabase connection pooling (PgBouncer — already referenced in the codebase)</w:t>
      </w:r>
    </w:p>
    <w:p>
      <w:pPr>
        <w:pStyle w:val="ListParagraph"/>
        <w:numPr>
          <w:ilvl w:val="0"/>
          <w:numId w:val="2"/>
        </w:numPr>
        <w:spacing w:after="80"/>
      </w:pPr>
      <w:r>
        <w:rPr>
          <w:rFonts w:ascii="Arial" w:cs="Arial" w:eastAsia="Arial" w:hAnsi="Arial"/>
          <w:color w:val="64748B"/>
          <w:sz w:val="22"/>
          <w:szCs w:val="22"/>
        </w:rPr>
        <w:t xml:space="preserve">Consider a read replica for dashboard and reporting queries to reduce load on the primary</w:t>
      </w:r>
    </w:p>
    <w:p>
      <w:pPr>
        <w:pStyle w:val="ListParagraph"/>
        <w:numPr>
          <w:ilvl w:val="0"/>
          <w:numId w:val="2"/>
        </w:numPr>
        <w:spacing w:after="80"/>
      </w:pPr>
      <w:r>
        <w:rPr>
          <w:rFonts w:ascii="Arial" w:cs="Arial" w:eastAsia="Arial" w:hAnsi="Arial"/>
          <w:color w:val="64748B"/>
          <w:sz w:val="22"/>
          <w:szCs w:val="22"/>
        </w:rPr>
        <w:t xml:space="preserve">Evaluate moving to a dedicated VPC deployment for Enterprise customers with data sovereignty requirements</w:t>
      </w:r>
    </w:p>
    <w:p>
      <w:r>
        <w:br w:type="page"/>
      </w:r>
    </w:p>
    <w:p>
      <w:pPr>
        <w:pStyle w:val="Heading1"/>
      </w:pPr>
      <w:r>
        <w:t xml:space="preserve">9. Financial Overview</w:t>
      </w:r>
    </w:p>
    <w:p>
      <w:pPr>
        <w:pStyle w:val="Heading2"/>
      </w:pPr>
      <w:r>
        <w:t xml:space="preserve">9.1 Cost Structure</w:t>
      </w:r>
    </w:p>
    <w:p>
      <w:pPr>
        <w:spacing w:after="120"/>
      </w:pPr>
      <w:r>
        <w:rPr>
          <w:rFonts w:ascii="Arial" w:cs="Arial" w:eastAsia="Arial" w:hAnsi="Arial"/>
          <w:color w:val="64748B"/>
          <w:sz w:val="22"/>
          <w:szCs w:val="22"/>
        </w:rPr>
        <w:t xml:space="preserve">CalTrack Pro is a low-overhead SaaS business. The primary ongoing costs at launch are: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200"/>
        <w:gridCol w:w="3400"/>
      </w:tblGrid>
      <w:tr>
        <w:tc>
          <w:tcPr>
            <w:tcW w:type="dxa" w:w="376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Cost Item</w:t>
            </w:r>
          </w:p>
        </w:tc>
        <w:tc>
          <w:tcPr>
            <w:tcW w:type="dxa" w:w="22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 Monthly Cost</w:t>
            </w:r>
          </w:p>
        </w:tc>
        <w:tc>
          <w:tcPr>
            <w:tcW w:type="dxa" w:w="34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Supabase (Pro plan)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~$32 AUD/mo</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Covers 8GB DB, daily backups, 50k monthly active users</w:t>
            </w:r>
          </w:p>
        </w:tc>
      </w:tr>
      <w:tr>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Railway.app (Hobby/Pro)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$10–$25 AUD/mo</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Backend hosting, scales with usage</w:t>
            </w:r>
          </w:p>
        </w:tc>
      </w:tr>
      <w:tr>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Vercel (frontend hosting)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Free–$25 AUD/mo</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Free tier is sufficient for early stage</w:t>
            </w:r>
          </w:p>
        </w:tc>
      </w:tr>
      <w:tr>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Domain (caltrackpro.com)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 AUD/mo</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~$25/yr at a standard registrar</w:t>
            </w:r>
          </w:p>
        </w:tc>
      </w:tr>
      <w:tr>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Google Workspace email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 AUD/mo</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Per user; 1–2 mailboxes initially</w:t>
            </w:r>
          </w:p>
        </w:tc>
      </w:tr>
      <w:tr>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Stripe payment processing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1.7% + $0.30/txn</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monthly fee; charges apply per transaction</w:t>
            </w:r>
          </w:p>
        </w:tc>
      </w:tr>
      <w:tr>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Resend / SendGrid (email)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Free–$20 AUD/mo</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Free tier sufficient until ~10,000 emails/month</w:t>
            </w:r>
          </w:p>
        </w:tc>
      </w:tr>
      <w:tr>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Legal documents (one-time)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~$1,000–1,500 one-time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Terms of Service + Privacy Policy via Sprintlaw</w:t>
            </w:r>
          </w:p>
        </w:tc>
      </w:tr>
      <w:tr>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TOTAL RECURRING (excl. Stripe txns)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0"/>
                <w:szCs w:val="20"/>
              </w:rPr>
              <w:t xml:space="preserve">~$80–$90 AUD/mo</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20"/>
                <w:szCs w:val="20"/>
              </w:rPr>
              <w:t xml:space="preserve">Break-even at just 1 paying Starter customer</w:t>
            </w:r>
          </w:p>
        </w:tc>
      </w:tr>
    </w:tbl>
    <w:p>
      <w:pPr>
        <w:spacing w:after="200"/>
      </w:pPr>
      <w:r>
        <w:t xml:space="preserve"/>
      </w:r>
    </w:p>
    <w:p>
      <w:pPr>
        <w:pStyle w:val="Heading2"/>
      </w:pPr>
      <w:r>
        <w:t xml:space="preserve">9.2 Unit Economics</w:t>
      </w:r>
    </w:p>
    <w:p>
      <w:pPr>
        <w:spacing w:after="120"/>
      </w:pPr>
      <w:r>
        <w:rPr>
          <w:rFonts w:ascii="Arial" w:cs="Arial" w:eastAsia="Arial" w:hAnsi="Arial"/>
          <w:color w:val="64748B"/>
          <w:sz w:val="22"/>
          <w:szCs w:val="22"/>
        </w:rPr>
        <w:t xml:space="preserve">The unit economics of a per-site SaaS model are excellent at these price points:</w:t>
      </w:r>
    </w:p>
    <w:p>
      <w:pPr>
        <w:spacing w:after="160"/>
      </w:pPr>
      <w:r>
        <w:t xml:space="preserve"/>
      </w:r>
    </w:p>
    <w:p>
      <w:pPr>
        <w:pStyle w:val="ListParagraph"/>
        <w:numPr>
          <w:ilvl w:val="0"/>
          <w:numId w:val="2"/>
        </w:numPr>
        <w:spacing w:after="80"/>
      </w:pPr>
      <w:r>
        <w:rPr>
          <w:rFonts w:ascii="Arial" w:cs="Arial" w:eastAsia="Arial" w:hAnsi="Arial"/>
          <w:color w:val="64748B"/>
          <w:sz w:val="22"/>
          <w:szCs w:val="22"/>
        </w:rPr>
        <w:t xml:space="preserve">Gross margin: ~95% (infrastructure cost is minimal relative to revenue)</w:t>
      </w:r>
    </w:p>
    <w:p>
      <w:pPr>
        <w:pStyle w:val="ListParagraph"/>
        <w:numPr>
          <w:ilvl w:val="0"/>
          <w:numId w:val="2"/>
        </w:numPr>
        <w:spacing w:after="80"/>
      </w:pPr>
      <w:r>
        <w:rPr>
          <w:rFonts w:ascii="Arial" w:cs="Arial" w:eastAsia="Arial" w:hAnsi="Arial"/>
          <w:color w:val="64748B"/>
          <w:sz w:val="22"/>
          <w:szCs w:val="22"/>
        </w:rPr>
        <w:t xml:space="preserve">Average contract value (ACV): ~$3,500/yr blended (mix of Starter and Professional)</w:t>
      </w:r>
    </w:p>
    <w:p>
      <w:pPr>
        <w:pStyle w:val="ListParagraph"/>
        <w:numPr>
          <w:ilvl w:val="0"/>
          <w:numId w:val="2"/>
        </w:numPr>
        <w:spacing w:after="80"/>
      </w:pPr>
      <w:r>
        <w:rPr>
          <w:rFonts w:ascii="Arial" w:cs="Arial" w:eastAsia="Arial" w:hAnsi="Arial"/>
          <w:color w:val="64748B"/>
          <w:sz w:val="22"/>
          <w:szCs w:val="22"/>
        </w:rPr>
        <w:t xml:space="preserve">Customer acquisition cost (CAC) — founder-led sales phase: estimated $0–$500 per customer</w:t>
      </w:r>
    </w:p>
    <w:p>
      <w:pPr>
        <w:pStyle w:val="ListParagraph"/>
        <w:numPr>
          <w:ilvl w:val="0"/>
          <w:numId w:val="2"/>
        </w:numPr>
        <w:spacing w:after="80"/>
      </w:pPr>
      <w:r>
        <w:rPr>
          <w:rFonts w:ascii="Arial" w:cs="Arial" w:eastAsia="Arial" w:hAnsi="Arial"/>
          <w:color w:val="64748B"/>
          <w:sz w:val="22"/>
          <w:szCs w:val="22"/>
        </w:rPr>
        <w:t xml:space="preserve">Payback period: Less than 2 months in founder-led phase</w:t>
      </w:r>
    </w:p>
    <w:p>
      <w:pPr>
        <w:pStyle w:val="ListParagraph"/>
        <w:numPr>
          <w:ilvl w:val="0"/>
          <w:numId w:val="2"/>
        </w:numPr>
        <w:spacing w:after="80"/>
      </w:pPr>
      <w:r>
        <w:rPr>
          <w:rFonts w:ascii="Arial" w:cs="Arial" w:eastAsia="Arial" w:hAnsi="Arial"/>
          <w:color w:val="64748B"/>
          <w:sz w:val="22"/>
          <w:szCs w:val="22"/>
        </w:rPr>
        <w:t xml:space="preserve">LTV (assuming 3-year average retention): ~$10,500 per customer at blended ACV</w:t>
      </w:r>
    </w:p>
    <w:p>
      <w:pPr>
        <w:pStyle w:val="ListParagraph"/>
        <w:numPr>
          <w:ilvl w:val="0"/>
          <w:numId w:val="2"/>
        </w:numPr>
        <w:spacing w:after="80"/>
      </w:pPr>
      <w:r>
        <w:rPr>
          <w:rFonts w:ascii="Arial" w:cs="Arial" w:eastAsia="Arial" w:hAnsi="Arial"/>
          <w:color w:val="64748B"/>
          <w:sz w:val="22"/>
          <w:szCs w:val="22"/>
        </w:rPr>
        <w:t xml:space="preserve">LTV:CAC ratio target: &gt;10:1 (achievable given the low CAC in early stage)</w:t>
      </w:r>
    </w:p>
    <w:p>
      <w:r>
        <w:br w:type="page"/>
      </w:r>
    </w:p>
    <w:p>
      <w:pPr>
        <w:pStyle w:val="Heading1"/>
      </w:pPr>
      <w:r>
        <w:t xml:space="preserve">10. Immediate Action Plan</w:t>
      </w:r>
    </w:p>
    <w:p>
      <w:pPr>
        <w:spacing w:after="120"/>
      </w:pPr>
      <w:r>
        <w:rPr>
          <w:rFonts w:ascii="Arial" w:cs="Arial" w:eastAsia="Arial" w:hAnsi="Arial"/>
          <w:color w:val="64748B"/>
          <w:sz w:val="22"/>
          <w:szCs w:val="22"/>
        </w:rPr>
        <w:t xml:space="preserve">The following table summarises the concrete next steps to move CalTrack Pro from its current state to a revenue-generating product. Items are ordered by priority.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1800"/>
        <w:gridCol w:w="3600"/>
      </w:tblGrid>
      <w:tr>
        <w:tc>
          <w:tcPr>
            <w:tcW w:type="dxa" w:w="36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36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c>
          <w:tcPr>
            <w:tcW w:type="dxa" w:w="18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Timeline</w:t>
            </w:r>
          </w:p>
        </w:tc>
        <w:tc>
          <w:tcPr>
            <w:tcW w:type="dxa" w:w="36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1</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Register ABN (if not already done)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This week</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Required before issuing any invoices. apply.business.gov.au</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2</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Set up Google Workspace email (@caltrackpro.com)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This week</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info@, support@, billing@ as minimum. Configure SPF/DKIM/DMARC</w:t>
            </w:r>
          </w:p>
        </w:tc>
      </w:tr>
      <w:tr>
        <w:tc>
          <w:tcPr>
            <w:tcW w:type="dxa" w:w="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3</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Commission Terms of Service + Privacy Policy</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Weeks 1-2</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Sprintlaw or LegalVision. ~$1,000-$1,500. Must be live before first paying customer</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4</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Migrate auth from localStorage to Supabase Auth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Weeks 2-4</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Critical for data security. Existing site isolation logic can be preserved</w:t>
            </w:r>
          </w:p>
        </w:tc>
      </w:tr>
      <w:tr>
        <w:tc>
          <w:tcPr>
            <w:tcW w:type="dxa" w:w="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5</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Set up Stripe account and configure subscription products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Weeks 2-3</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Starter, Professional, and Enterprise plans. Enable AUD + GST via Stripe Tax</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Build payment and subscription flow in app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Weeks 3-6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Checkout page, post-payment site provisioning, Stripe webhook handling</w:t>
            </w:r>
          </w:p>
        </w:tc>
      </w:tr>
      <w:tr>
        <w:tc>
          <w:tcPr>
            <w:tcW w:type="dxa" w:w="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7</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Deploy to production (Railway + Vercel)</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Weeks 3-5</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Staging environment first, then production. Set up custom domain</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8</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Reach out to 20 prospective customers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Weeks 2-6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LinkedIn outreach to Maintenance Superintendents and Instrument Engineers in Australia</w:t>
            </w:r>
          </w:p>
        </w:tc>
      </w:tr>
      <w:tr>
        <w:tc>
          <w:tcPr>
            <w:tcW w:type="dxa" w:w="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9</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Publish first 4 blog posts (SEO foundations)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Weeks 3-8</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 ISO 17025, instrument calibration Australia, paper vs digital calibration</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10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Register CalTrack Pro trade mark (IP Australia)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Month 2</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Class 42 (SaaS). Apply online at ipaustralia.gov.au. ~$250</w:t>
            </w:r>
          </w:p>
        </w:tc>
      </w:tr>
      <w:tr>
        <w:tc>
          <w:tcPr>
            <w:tcW w:type="dxa" w:w="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11</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Close first 3 paying customers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Months 1-3</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 founding customer rate: 40% off Professional for 24 months</w:t>
            </w:r>
          </w:p>
        </w:tc>
      </w:tr>
      <w:tr>
        <w:tc>
          <w:tcPr>
            <w:tcW w:type="dxa" w:w="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12</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Collect testimonials and publish first case study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Month 3-4</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Social proof is essential for converting subsequent prospects</w:t>
            </w:r>
          </w:p>
        </w:tc>
      </w:tr>
    </w:tbl>
    <w:p>
      <w:r>
        <w:br w:type="page"/>
      </w:r>
    </w:p>
    <w:p>
      <w:pPr>
        <w:pStyle w:val="Heading1"/>
      </w:pPr>
      <w:r>
        <w:t xml:space="preserve">11.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20"/>
        <w:gridCol w:w="720"/>
        <w:gridCol w:w="4920"/>
      </w:tblGrid>
      <w:tr>
        <w:tc>
          <w:tcPr>
            <w:tcW w:type="dxa" w:w="30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w:t>
            </w:r>
          </w:p>
        </w:tc>
        <w:tc>
          <w:tcPr>
            <w:tcW w:type="dxa" w:w="72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Likelihood</w:t>
            </w:r>
          </w:p>
        </w:tc>
        <w:tc>
          <w:tcPr>
            <w:tcW w:type="dxa" w:w="72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w:t>
            </w:r>
          </w:p>
        </w:tc>
        <w:tc>
          <w:tcPr>
            <w:tcW w:type="dxa" w:w="492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Mitigation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Sales cycles too long — industrial buyers are cautious and slow to commit</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w:t>
            </w:r>
          </w:p>
        </w:tc>
        <w:tc>
          <w:tcPr>
            <w:tcW w:type="dxa" w:w="4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Lead with the free demo app to reduce perceived risk. Offer monthly billing (no lock-in) initially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Established competitors (GageList, GAGEtrak) price-compete aggressively</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Low</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w:t>
            </w:r>
          </w:p>
        </w:tc>
        <w:tc>
          <w:tcPr>
            <w:tcW w:type="dxa" w:w="4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Compete on UX, ease of use, and modern architecture — not just price. Build loyalty through fast iteration on customer feedback</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security incident or breach</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Low</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High</w:t>
            </w:r>
          </w:p>
        </w:tc>
        <w:tc>
          <w:tcPr>
            <w:tcW w:type="dxa" w:w="4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Implement Supabase Auth + RLS immediately. Enable MFA on all infrastructure. Draft and test a breach response plan before launch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Regulatory compliance claim from a customer</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Low</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w:t>
            </w:r>
          </w:p>
        </w:tc>
        <w:tc>
          <w:tcPr>
            <w:tcW w:type="dxa" w:w="4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Terms of Service must explicitly state that CalTrack Pro is a tool to assist compliance, not a guarantee of compliance. Standard SaaS liability limitation clauses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Slow initial user growth (single founder bandwidth)</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w:t>
            </w:r>
          </w:p>
        </w:tc>
        <w:tc>
          <w:tcPr>
            <w:tcW w:type="dxa" w:w="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w:t>
            </w:r>
          </w:p>
        </w:tc>
        <w:tc>
          <w:tcPr>
            <w:tcW w:type="dxa" w:w="49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Content marketing and SEO compound over time. Focus on 1-2 industry verticals initially rather than spreading thin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Supabase service disruption</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Low</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High</w:t>
            </w:r>
          </w:p>
        </w:tc>
        <w:tc>
          <w:tcPr>
            <w:tcW w:type="dxa" w:w="4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Ensure regular offsite backups. Document a failover procedure. Consider multi-region backup for Enterprise tier</w:t>
            </w:r>
          </w:p>
        </w:tc>
      </w:tr>
    </w:tbl>
    <w:p>
      <w:pPr>
        <w:spacing w:after="400"/>
      </w:pPr>
      <w:r>
        <w:t xml:space="preserve"/>
      </w:r>
    </w:p>
    <w:p>
      <w:pPr>
        <w:pBdr>
          <w:bottom w:val="single" w:color="E2E8F0" w:sz="4" w:space="1"/>
        </w:pBdr>
        <w:spacing w:after="200"/>
      </w:pPr>
      <w:r>
        <w:t xml:space="preserve"/>
      </w:r>
    </w:p>
    <w:p>
      <w:pPr>
        <w:pStyle w:val="Heading1"/>
      </w:pPr>
      <w:r>
        <w:t xml:space="preserve">Appendix: Useful Resources</w:t>
      </w:r>
    </w:p>
    <w:p>
      <w:pPr>
        <w:pStyle w:val="ListParagraph"/>
        <w:numPr>
          <w:ilvl w:val="0"/>
          <w:numId w:val="2"/>
        </w:numPr>
        <w:spacing w:after="80"/>
      </w:pPr>
      <w:r>
        <w:rPr>
          <w:rFonts w:ascii="Arial" w:cs="Arial" w:eastAsia="Arial" w:hAnsi="Arial"/>
          <w:color w:val="64748B"/>
          <w:sz w:val="22"/>
          <w:szCs w:val="22"/>
        </w:rPr>
        <w:t xml:space="preserve">Business registration: register.business.gov.au</w:t>
      </w:r>
    </w:p>
    <w:p>
      <w:pPr>
        <w:pStyle w:val="ListParagraph"/>
        <w:numPr>
          <w:ilvl w:val="0"/>
          <w:numId w:val="2"/>
        </w:numPr>
        <w:spacing w:after="80"/>
      </w:pPr>
      <w:r>
        <w:rPr>
          <w:rFonts w:ascii="Arial" w:cs="Arial" w:eastAsia="Arial" w:hAnsi="Arial"/>
          <w:color w:val="64748B"/>
          <w:sz w:val="22"/>
          <w:szCs w:val="22"/>
        </w:rPr>
        <w:t xml:space="preserve">IP Australia (trade marks): ipaustralia.gov.au</w:t>
      </w:r>
    </w:p>
    <w:p>
      <w:pPr>
        <w:pStyle w:val="ListParagraph"/>
        <w:numPr>
          <w:ilvl w:val="0"/>
          <w:numId w:val="2"/>
        </w:numPr>
        <w:spacing w:after="80"/>
      </w:pPr>
      <w:r>
        <w:rPr>
          <w:rFonts w:ascii="Arial" w:cs="Arial" w:eastAsia="Arial" w:hAnsi="Arial"/>
          <w:color w:val="64748B"/>
          <w:sz w:val="22"/>
          <w:szCs w:val="22"/>
        </w:rPr>
        <w:t xml:space="preserve">OAIC (Privacy): oaic.gov.au</w:t>
      </w:r>
    </w:p>
    <w:p>
      <w:pPr>
        <w:pStyle w:val="ListParagraph"/>
        <w:numPr>
          <w:ilvl w:val="0"/>
          <w:numId w:val="2"/>
        </w:numPr>
        <w:spacing w:after="80"/>
      </w:pPr>
      <w:r>
        <w:rPr>
          <w:rFonts w:ascii="Arial" w:cs="Arial" w:eastAsia="Arial" w:hAnsi="Arial"/>
          <w:color w:val="64748B"/>
          <w:sz w:val="22"/>
          <w:szCs w:val="22"/>
        </w:rPr>
        <w:t xml:space="preserve">ASIC (company registration): asic.gov.au</w:t>
      </w:r>
    </w:p>
    <w:p>
      <w:pPr>
        <w:pStyle w:val="ListParagraph"/>
        <w:numPr>
          <w:ilvl w:val="0"/>
          <w:numId w:val="2"/>
        </w:numPr>
        <w:spacing w:after="80"/>
      </w:pPr>
      <w:r>
        <w:rPr>
          <w:rFonts w:ascii="Arial" w:cs="Arial" w:eastAsia="Arial" w:hAnsi="Arial"/>
          <w:color w:val="64748B"/>
          <w:sz w:val="22"/>
          <w:szCs w:val="22"/>
        </w:rPr>
        <w:t xml:space="preserve">Stripe payments: stripe.com/au</w:t>
      </w:r>
    </w:p>
    <w:p>
      <w:pPr>
        <w:pStyle w:val="ListParagraph"/>
        <w:numPr>
          <w:ilvl w:val="0"/>
          <w:numId w:val="2"/>
        </w:numPr>
        <w:spacing w:after="80"/>
      </w:pPr>
      <w:r>
        <w:rPr>
          <w:rFonts w:ascii="Arial" w:cs="Arial" w:eastAsia="Arial" w:hAnsi="Arial"/>
          <w:color w:val="64748B"/>
          <w:sz w:val="22"/>
          <w:szCs w:val="22"/>
        </w:rPr>
        <w:t xml:space="preserve">Sprintlaw legal documents: sprintlaw.com.au</w:t>
      </w:r>
    </w:p>
    <w:p>
      <w:pPr>
        <w:pStyle w:val="ListParagraph"/>
        <w:numPr>
          <w:ilvl w:val="0"/>
          <w:numId w:val="2"/>
        </w:numPr>
        <w:spacing w:after="80"/>
      </w:pPr>
      <w:r>
        <w:rPr>
          <w:rFonts w:ascii="Arial" w:cs="Arial" w:eastAsia="Arial" w:hAnsi="Arial"/>
          <w:color w:val="64748B"/>
          <w:sz w:val="22"/>
          <w:szCs w:val="22"/>
        </w:rPr>
        <w:t xml:space="preserve">LegalVision: legalvision.com.au</w:t>
      </w:r>
    </w:p>
    <w:p>
      <w:pPr>
        <w:pStyle w:val="ListParagraph"/>
        <w:numPr>
          <w:ilvl w:val="0"/>
          <w:numId w:val="2"/>
        </w:numPr>
        <w:spacing w:after="80"/>
      </w:pPr>
      <w:r>
        <w:rPr>
          <w:rFonts w:ascii="Arial" w:cs="Arial" w:eastAsia="Arial" w:hAnsi="Arial"/>
          <w:color w:val="64748B"/>
          <w:sz w:val="22"/>
          <w:szCs w:val="22"/>
        </w:rPr>
        <w:t xml:space="preserve">Google Workspace: workspace.google.com</w:t>
      </w:r>
    </w:p>
    <w:p>
      <w:pPr>
        <w:pStyle w:val="ListParagraph"/>
        <w:numPr>
          <w:ilvl w:val="0"/>
          <w:numId w:val="2"/>
        </w:numPr>
        <w:spacing w:after="80"/>
      </w:pPr>
      <w:r>
        <w:rPr>
          <w:rFonts w:ascii="Arial" w:cs="Arial" w:eastAsia="Arial" w:hAnsi="Arial"/>
          <w:color w:val="64748B"/>
          <w:sz w:val="22"/>
          <w:szCs w:val="22"/>
        </w:rPr>
        <w:t xml:space="preserve">Railway deployment: railway.app</w:t>
      </w:r>
    </w:p>
    <w:p>
      <w:pPr>
        <w:pStyle w:val="ListParagraph"/>
        <w:numPr>
          <w:ilvl w:val="0"/>
          <w:numId w:val="2"/>
        </w:numPr>
        <w:spacing w:after="80"/>
      </w:pPr>
      <w:r>
        <w:rPr>
          <w:rFonts w:ascii="Arial" w:cs="Arial" w:eastAsia="Arial" w:hAnsi="Arial"/>
          <w:color w:val="64748B"/>
          <w:sz w:val="22"/>
          <w:szCs w:val="22"/>
        </w:rPr>
        <w:t xml:space="preserve">Supabase: supabase.com</w:t>
      </w:r>
    </w:p>
    <w:p>
      <w:pPr>
        <w:pStyle w:val="ListParagraph"/>
        <w:numPr>
          <w:ilvl w:val="0"/>
          <w:numId w:val="2"/>
        </w:numPr>
        <w:spacing w:after="80"/>
      </w:pPr>
      <w:r>
        <w:rPr>
          <w:rFonts w:ascii="Arial" w:cs="Arial" w:eastAsia="Arial" w:hAnsi="Arial"/>
          <w:color w:val="64748B"/>
          <w:sz w:val="22"/>
          <w:szCs w:val="22"/>
        </w:rPr>
        <w:t xml:space="preserve">Resend transactional email: resend.com</w:t>
      </w:r>
    </w:p>
    <w:p>
      <w:pPr>
        <w:spacing w:after="400"/>
      </w:pPr>
      <w:r>
        <w:t xml:space="preserve"/>
      </w:r>
    </w:p>
    <w:p>
      <w:pPr>
        <w:jc w:val="center"/>
      </w:pPr>
      <w:r>
        <w:rPr>
          <w:rFonts w:ascii="Arial" w:cs="Arial" w:eastAsia="Arial" w:hAnsi="Arial"/>
          <w:i/>
          <w:iCs/>
          <w:color w:val="64748B"/>
          <w:sz w:val="18"/>
          <w:szCs w:val="18"/>
        </w:rPr>
        <w:t xml:space="preserve">Document prepared April 2026. Confidential — not for 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120"/>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     caltrackpro.com     ·     info@caltrackpro.com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120"/>
    </w:pPr>
    <w:r>
      <w:rPr>
        <w:rFonts w:ascii="Arial" w:cs="Arial" w:eastAsia="Arial" w:hAnsi="Arial"/>
        <w:b/>
        <w:bCs/>
        <w:color w:val="1E40AF"/>
        <w:sz w:val="18"/>
        <w:szCs w:val="18"/>
      </w:rPr>
      <w:t xml:space="preserve">CalTrack Pro</w:t>
    </w:r>
    <w:r>
      <w:rPr>
        <w:rFonts w:ascii="Arial" w:cs="Arial" w:eastAsia="Arial" w:hAnsi="Arial"/>
        <w:color w:val="64748B"/>
        <w:sz w:val="18"/>
        <w:szCs w:val="18"/>
      </w:rPr>
      <w:t xml:space="preserve">  —  Business Plan &amp; Commercialisation Roadmap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93B"/>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E40AF"/>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2026-04-06T04:02:23.224Z</dcterms:created>
  <dcterms:modified xsi:type="dcterms:W3CDTF">2026-04-06T04:02:23.225Z</dcterms:modified>
</cp:coreProperties>
</file>

<file path=docProps/custom.xml><?xml version="1.0" encoding="utf-8"?>
<Properties xmlns="http://schemas.openxmlformats.org/officeDocument/2006/custom-properties" xmlns:vt="http://schemas.openxmlformats.org/officeDocument/2006/docPropsVTypes"/>
</file>