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0B1F3A"/>
          </w:tcPr>
          <w:p>
            <w:pPr>
              <w:spacing w:before="160" w:after="160"/>
              <w:ind w:left="200"/>
            </w:pPr>
            <w:r>
              <w:rPr>
                <w:rFonts w:ascii="Calibri" w:hAnsi="Calibri"/>
                <w:b/>
                <w:color w:val="FFFFFF"/>
                <w:sz w:val="26"/>
              </w:rPr>
              <w:t>CalCheq — Mobile &amp; Field Access Investigation</w:t>
            </w:r>
          </w:p>
        </w:tc>
      </w:tr>
    </w:tbl>
    <w:p/>
    <w:p>
      <w:pPr>
        <w:spacing w:after="160"/>
      </w:pPr>
      <w:r>
        <w:rPr>
          <w:rFonts w:ascii="Calibri" w:hAnsi="Calibri"/>
          <w:color w:val="5A6B7B"/>
          <w:sz w:val="20"/>
        </w:rPr>
        <w:t>Document Type: Product Strategy &amp; Research Report</w:t>
        <w:br/>
        <w:t>Topic: Field Data Collection Alternatives for Hazardous Area Processing Plants</w:t>
        <w:br/>
        <w:t>Date: April 2026</w:t>
      </w:r>
    </w:p>
    <w:p/>
    <w:tbl>
      <w:tblPr>
        <w:tblW w:type="auto" w:w="0"/>
        <w:tblLook w:firstColumn="1" w:firstRow="1" w:lastColumn="0" w:lastRow="0" w:noHBand="0" w:noVBand="1" w:val="04A0"/>
      </w:tblPr>
      <w:tblGrid>
        <w:gridCol w:w="9072"/>
      </w:tblGrid>
      <w:tr>
        <w:tc>
          <w:tcPr>
            <w:tcW w:type="dxa" w:w="9072"/>
            <w:shd w:val="clear" w:color="auto" w:fill="E3EAF4"/>
          </w:tcPr>
          <w:p>
            <w:pPr>
              <w:spacing w:before="160" w:after="160"/>
              <w:ind w:left="200" w:right="200"/>
            </w:pPr>
            <w:r>
              <w:rPr>
                <w:rFonts w:ascii="Calibri" w:hAnsi="Calibri"/>
                <w:b/>
                <w:color w:val="0B1F3A"/>
                <w:sz w:val="22"/>
              </w:rPr>
              <w:t xml:space="preserve">Purpose: </w:t>
            </w:r>
            <w:r>
              <w:rPr>
                <w:rFonts w:ascii="Calibri" w:hAnsi="Calibri"/>
                <w:color w:val="0B1F3A"/>
                <w:sz w:val="22"/>
              </w:rPr>
              <w:t>This document investigates the field data entry challenge for calibration technicians in Australian processing plants. Most instrumentation work occurs in hazardous areas (Zone 1 or Zone 2 classified atmospheres) where standard consumer electronics cannot be used. This analysis covers five primary approaches and makes a recommendation on the most practical solution for CalCheq to support.</w:t>
            </w:r>
          </w:p>
        </w:tc>
      </w:tr>
    </w:tbl>
    <w:p/>
    <w:p>
      <w:pPr>
        <w:spacing w:before="280" w:after="80"/>
      </w:pPr>
      <w:r>
        <w:rPr>
          <w:rFonts w:ascii="Calibri" w:hAnsi="Calibri"/>
          <w:b/>
          <w:color w:val="1565C0"/>
          <w:sz w:val="26"/>
        </w:rPr>
        <w:t>1. The Problem — Calibration Data Entry in the Field</w:t>
      </w:r>
    </w:p>
    <w:p>
      <w:pPr>
        <w:spacing w:after="160"/>
      </w:pPr>
      <w:r>
        <w:rPr>
          <w:rFonts w:ascii="Calibri" w:hAnsi="Calibri"/>
          <w:sz w:val="22"/>
        </w:rPr>
        <w:t>Instrumentation technicians calibrate instruments in the field — often in classified hazardous areas (IECEx Zone 1 or Zone 2, or equivalent ATEX zones). The challenge is getting calibration results from the field into CalCheq without introducing errors from manual transcription or delays from batching paper records at the end of a shift.</w:t>
      </w:r>
    </w:p>
    <w:p>
      <w:pPr>
        <w:spacing w:after="160"/>
      </w:pPr>
      <w:r>
        <w:rPr>
          <w:rFonts w:ascii="Calibri" w:hAnsi="Calibri"/>
          <w:sz w:val="22"/>
        </w:rPr>
        <w:t>The standard workflow today at most Australian sites is:</w:t>
      </w:r>
    </w:p>
    <w:p>
      <w:pPr>
        <w:pStyle w:val="ListBullet"/>
        <w:spacing w:after="80"/>
      </w:pPr>
      <w:r>
        <w:rPr>
          <w:rFonts w:ascii="Calibri" w:hAnsi="Calibri"/>
          <w:sz w:val="20"/>
        </w:rPr>
        <w:t>Technician calibrates instrument in field using a calibrator (Beamex, Fluke, Druck, etc.)</w:t>
      </w:r>
    </w:p>
    <w:p>
      <w:pPr>
        <w:pStyle w:val="ListBullet"/>
        <w:spacing w:after="80"/>
      </w:pPr>
      <w:r>
        <w:rPr>
          <w:rFonts w:ascii="Calibri" w:hAnsi="Calibri"/>
          <w:sz w:val="20"/>
        </w:rPr>
        <w:t>Calibration results are printed from the calibrator or written on a paper docket</w:t>
      </w:r>
    </w:p>
    <w:p>
      <w:pPr>
        <w:pStyle w:val="ListBullet"/>
        <w:spacing w:after="80"/>
      </w:pPr>
      <w:r>
        <w:rPr>
          <w:rFonts w:ascii="Calibri" w:hAnsi="Calibri"/>
          <w:sz w:val="20"/>
        </w:rPr>
        <w:t>At the end of shift, technician returns to the instrument shop and manually enters results into a spreadsheet or CMMS</w:t>
      </w:r>
    </w:p>
    <w:p>
      <w:pPr>
        <w:pStyle w:val="ListBullet"/>
        <w:spacing w:after="80"/>
      </w:pPr>
      <w:r>
        <w:rPr>
          <w:rFonts w:ascii="Calibri" w:hAnsi="Calibri"/>
          <w:sz w:val="20"/>
        </w:rPr>
        <w:t>Data entry errors occur. Results get delayed. Overdue instruments may not be updated until next day.</w:t>
      </w:r>
    </w:p>
    <w:tbl>
      <w:tblPr>
        <w:tblW w:type="auto" w:w="0"/>
        <w:tblLook w:firstColumn="1" w:firstRow="1" w:lastColumn="0" w:lastRow="0" w:noHBand="0" w:noVBand="1" w:val="04A0"/>
      </w:tblPr>
      <w:tblGrid>
        <w:gridCol w:w="9072"/>
      </w:tblGrid>
      <w:tr>
        <w:tc>
          <w:tcPr>
            <w:tcW w:type="dxa" w:w="9072"/>
            <w:shd w:val="clear" w:color="auto" w:fill="FFEBEE"/>
          </w:tcPr>
          <w:p>
            <w:pPr>
              <w:spacing w:before="160" w:after="160"/>
              <w:ind w:left="200" w:right="200"/>
            </w:pPr>
            <w:r>
              <w:rPr>
                <w:rFonts w:ascii="Calibri" w:hAnsi="Calibri"/>
                <w:b/>
                <w:color w:val="C62828"/>
                <w:sz w:val="22"/>
              </w:rPr>
              <w:t xml:space="preserve">RISK: </w:t>
            </w:r>
            <w:r>
              <w:rPr>
                <w:rFonts w:ascii="Calibri" w:hAnsi="Calibri"/>
                <w:color w:val="C62828"/>
                <w:sz w:val="22"/>
              </w:rPr>
              <w:t>This workflow introduces 4-8 hours of delay between calibration completion and system update. In a compliance context, this means your dashboard may show instruments as overdue when they have actually been calibrated. It also means errors from manual transcription are common.</w:t>
            </w:r>
          </w:p>
        </w:tc>
      </w:tr>
    </w:tbl>
    <w:p/>
    <w:p>
      <w:pPr>
        <w:spacing w:before="280" w:after="80"/>
      </w:pPr>
      <w:r>
        <w:rPr>
          <w:rFonts w:ascii="Calibri" w:hAnsi="Calibri"/>
          <w:b/>
          <w:color w:val="1565C0"/>
          <w:sz w:val="26"/>
        </w:rPr>
        <w:t>2. Option 1 — Intrinsically Safe Tablets (Current Recommendation)</w:t>
      </w:r>
    </w:p>
    <w:p>
      <w:pPr>
        <w:spacing w:after="160"/>
      </w:pPr>
      <w:r>
        <w:rPr>
          <w:rFonts w:ascii="Calibri" w:hAnsi="Calibri"/>
          <w:sz w:val="22"/>
        </w:rPr>
        <w:t>Intrinsically safe (IS) tablets are commercially available devices certified for use in classified hazardous areas (Zone 1, Zone 2, Zone 21, Zone 22). They allow technicians to access CalCheq directly in the field via the mobile-optimised web interface.</w:t>
      </w:r>
    </w:p>
    <w:p>
      <w:pPr>
        <w:spacing w:after="160"/>
      </w:pPr>
      <w:r>
        <w:rPr>
          <w:rFonts w:ascii="Calibri" w:hAnsi="Calibri"/>
          <w:sz w:val="22"/>
        </w:rPr>
        <w:t>Key IS Tablet Suppliers (2025–2026):</w:t>
      </w:r>
    </w:p>
    <w:p>
      <w:pPr>
        <w:pStyle w:val="ListBullet"/>
        <w:spacing w:after="80"/>
      </w:pPr>
      <w:r>
        <w:rPr>
          <w:rFonts w:ascii="Calibri" w:hAnsi="Calibri"/>
          <w:b/>
          <w:sz w:val="20"/>
        </w:rPr>
        <w:t xml:space="preserve">Ecom Instruments (Germany): </w:t>
      </w:r>
      <w:r>
        <w:rPr>
          <w:rFonts w:ascii="Calibri" w:hAnsi="Calibri"/>
          <w:sz w:val="20"/>
        </w:rPr>
        <w:t>Tab-Ex 02 / Tab-Ex 04 series. Android-based. IECEx/ATEX Zone 1 certified. Well-regarded in Australian mining and processing industry. Broad accessory range.</w:t>
      </w:r>
    </w:p>
    <w:p>
      <w:pPr>
        <w:pStyle w:val="ListBullet"/>
        <w:spacing w:after="80"/>
      </w:pPr>
      <w:r>
        <w:rPr>
          <w:rFonts w:ascii="Calibri" w:hAnsi="Calibri"/>
          <w:b/>
          <w:sz w:val="20"/>
        </w:rPr>
        <w:t xml:space="preserve">Bartec (Germany): </w:t>
      </w:r>
      <w:r>
        <w:rPr>
          <w:rFonts w:ascii="Calibri" w:hAnsi="Calibri"/>
          <w:sz w:val="20"/>
        </w:rPr>
        <w:t>ZONE 1 series tablets. Windows-based — advantage for sites already using Windows-based systems. Strong enterprise IT integration.</w:t>
      </w:r>
    </w:p>
    <w:p>
      <w:pPr>
        <w:pStyle w:val="ListBullet"/>
        <w:spacing w:after="80"/>
      </w:pPr>
      <w:r>
        <w:rPr>
          <w:rFonts w:ascii="Calibri" w:hAnsi="Calibri"/>
          <w:b/>
          <w:sz w:val="20"/>
        </w:rPr>
        <w:t xml:space="preserve">Atexxo (Netherlands): </w:t>
      </w:r>
      <w:r>
        <w:rPr>
          <w:rFonts w:ascii="Calibri" w:hAnsi="Calibri"/>
          <w:sz w:val="20"/>
        </w:rPr>
        <w:t>Converts commercial iPads and iPhones to IECEx/ATEX certified devices using a certified housing. Preserves iOS UI quality.</w:t>
      </w:r>
    </w:p>
    <w:p>
      <w:pPr>
        <w:pStyle w:val="ListBullet"/>
        <w:spacing w:after="80"/>
      </w:pPr>
      <w:r>
        <w:rPr>
          <w:rFonts w:ascii="Calibri" w:hAnsi="Calibri"/>
          <w:b/>
          <w:sz w:val="20"/>
        </w:rPr>
        <w:t xml:space="preserve">Getac (Taiwan): </w:t>
      </w:r>
      <w:r>
        <w:rPr>
          <w:rFonts w:ascii="Calibri" w:hAnsi="Calibri"/>
          <w:sz w:val="20"/>
        </w:rPr>
        <w:t>High-end rugged performance with military-grade durability. Windows-based. Very high IP rating for wet/dusty environments common in mineral processing.</w:t>
      </w:r>
    </w:p>
    <w:p>
      <w:pPr>
        <w:pStyle w:val="ListBullet"/>
        <w:spacing w:after="80"/>
      </w:pPr>
      <w:r>
        <w:rPr>
          <w:rFonts w:ascii="Calibri" w:hAnsi="Calibri"/>
          <w:b/>
          <w:sz w:val="20"/>
        </w:rPr>
        <w:t xml:space="preserve">Samsung (via certified housing): </w:t>
      </w:r>
      <w:r>
        <w:rPr>
          <w:rFonts w:ascii="Calibri" w:hAnsi="Calibri"/>
          <w:sz w:val="20"/>
        </w:rPr>
        <w:t>Samsung Galaxy XCover models with Zone 2 certified housings available from multiple suppliers. Lower cost for Zone 2 environments.</w:t>
      </w:r>
    </w:p>
    <w:p/>
    <w:p>
      <w:pPr>
        <w:spacing w:after="160"/>
      </w:pPr>
      <w:r>
        <w:rPr>
          <w:rFonts w:ascii="Calibri" w:hAnsi="Calibri"/>
          <w:color w:val="5A6B7B"/>
          <w:sz w:val="20"/>
        </w:rPr>
        <w:t>Cost Range: AUD $2,500–$8,000 per device depending on zone rating and model. Zone 2 devices are significantly cheaper than Zone 1.</w:t>
      </w:r>
    </w:p>
    <w:p>
      <w:pPr>
        <w:spacing w:after="160"/>
      </w:pPr>
      <w:r>
        <w:rPr>
          <w:rFonts w:ascii="Calibri" w:hAnsi="Calibri"/>
          <w:sz w:val="22"/>
        </w:rPr>
        <w:t>CalCheq Compatibility:</w:t>
      </w:r>
    </w:p>
    <w:p>
      <w:pPr>
        <w:pStyle w:val="ListBullet"/>
        <w:spacing w:after="80"/>
      </w:pPr>
      <w:r>
        <w:rPr>
          <w:rFonts w:ascii="Calibri" w:hAnsi="Calibri"/>
          <w:sz w:val="20"/>
        </w:rPr>
        <w:t>CalCheq is mobile browser-compatible (responsive design). IS tablets running Chrome/Firefox can access CalCheq exactly as a desktop user would.</w:t>
      </w:r>
    </w:p>
    <w:p>
      <w:pPr>
        <w:pStyle w:val="ListBullet"/>
        <w:spacing w:after="80"/>
      </w:pPr>
      <w:r>
        <w:rPr>
          <w:rFonts w:ascii="Calibri" w:hAnsi="Calibri"/>
          <w:sz w:val="20"/>
        </w:rPr>
        <w:t>No native app installation required — this is an advantage in hazardous areas where IT approval for software installs can be slow.</w:t>
      </w:r>
    </w:p>
    <w:p>
      <w:pPr>
        <w:pStyle w:val="ListBullet"/>
        <w:spacing w:after="80"/>
      </w:pPr>
      <w:r>
        <w:rPr>
          <w:rFonts w:ascii="Calibri" w:hAnsi="Calibri"/>
          <w:sz w:val="20"/>
        </w:rPr>
        <w:t>Recommend testing CalCheq on the Ecom Tab-Ex 02 (most common IS tablet on Australian processing sites) as the primary target device.</w:t>
      </w:r>
    </w:p>
    <w:p>
      <w:pPr>
        <w:pStyle w:val="ListBullet"/>
        <w:spacing w:after="80"/>
      </w:pPr>
      <w:r>
        <w:rPr>
          <w:rFonts w:ascii="Calibri" w:hAnsi="Calibri"/>
          <w:sz w:val="20"/>
        </w:rPr>
        <w:t>Wi-Fi connectivity in process plants can be patchy — consider offline capability as a future feature (save calibration locally, sync when back in range).</w:t>
      </w:r>
    </w:p>
    <w:tbl>
      <w:tblPr>
        <w:tblW w:type="auto" w:w="0"/>
        <w:tblLook w:firstColumn="1" w:firstRow="1" w:lastColumn="0" w:lastRow="0" w:noHBand="0" w:noVBand="1" w:val="04A0"/>
      </w:tblPr>
      <w:tblGrid>
        <w:gridCol w:w="9072"/>
      </w:tblGrid>
      <w:tr>
        <w:tc>
          <w:tcPr>
            <w:tcW w:type="dxa" w:w="9072"/>
            <w:shd w:val="clear" w:color="auto" w:fill="E8F5E9"/>
          </w:tcPr>
          <w:p>
            <w:pPr>
              <w:spacing w:before="160" w:after="160"/>
              <w:ind w:left="200" w:right="200"/>
            </w:pPr>
            <w:r>
              <w:rPr>
                <w:rFonts w:ascii="Calibri" w:hAnsi="Calibri"/>
                <w:b/>
                <w:color w:val="2E7D32"/>
                <w:sz w:val="22"/>
              </w:rPr>
              <w:t xml:space="preserve">VERDICT: </w:t>
            </w:r>
            <w:r>
              <w:rPr>
                <w:rFonts w:ascii="Calibri" w:hAnsi="Calibri"/>
                <w:color w:val="2E7D32"/>
                <w:sz w:val="22"/>
              </w:rPr>
              <w:t>VERDICT: IS tablets are the most complete solution — they allow technicians to record calibrations, view schedules, and generate certificates from the field. The barrier is cost ($2,500–$8,000/device) and Wi-Fi coverage. Recommend CalCheq officially supports and recommends Ecom Tab-Ex 02 as the validated field device.</w:t>
            </w:r>
          </w:p>
        </w:tc>
      </w:tr>
    </w:tbl>
    <w:p/>
    <w:p>
      <w:pPr>
        <w:spacing w:before="280" w:after="80"/>
      </w:pPr>
      <w:r>
        <w:rPr>
          <w:rFonts w:ascii="Calibri" w:hAnsi="Calibri"/>
          <w:b/>
          <w:color w:val="1565C0"/>
          <w:sz w:val="26"/>
        </w:rPr>
        <w:t>3. Option 2 — Beamex Calibrator Integration (High Priority)</w:t>
      </w:r>
    </w:p>
    <w:p>
      <w:pPr>
        <w:spacing w:after="160"/>
      </w:pPr>
      <w:r>
        <w:rPr>
          <w:rFonts w:ascii="Calibri" w:hAnsi="Calibri"/>
          <w:sz w:val="22"/>
        </w:rPr>
        <w:t>Beamex is the dominant high-end documenting calibrator brand in Australian processing plants. The Beamex MC4, MC5, MC6, and newer models are documenting calibrators — they record as-found and as-left readings digitally during the calibration.</w:t>
      </w:r>
    </w:p>
    <w:p>
      <w:pPr>
        <w:spacing w:after="160"/>
      </w:pPr>
      <w:r>
        <w:rPr>
          <w:rFonts w:ascii="Calibri" w:hAnsi="Calibri"/>
          <w:sz w:val="22"/>
        </w:rPr>
        <w:t>How the Beamex Data Flow Works:</w:t>
      </w:r>
    </w:p>
    <w:p>
      <w:pPr>
        <w:pStyle w:val="ListBullet"/>
        <w:spacing w:after="80"/>
      </w:pPr>
      <w:r>
        <w:rPr>
          <w:rFonts w:ascii="Calibri" w:hAnsi="Calibri"/>
          <w:sz w:val="20"/>
        </w:rPr>
        <w:t>Instrument data (tag number, range, tolerance) is downloaded from the Beamex CMX software to the MC calibrator before going to the field.</w:t>
      </w:r>
    </w:p>
    <w:p>
      <w:pPr>
        <w:pStyle w:val="ListBullet"/>
        <w:spacing w:after="80"/>
      </w:pPr>
      <w:r>
        <w:rPr>
          <w:rFonts w:ascii="Calibri" w:hAnsi="Calibri"/>
          <w:sz w:val="20"/>
        </w:rPr>
        <w:t>Technician calibrates the instrument in the field. MC records the as-found reading, any adjustments, and the as-left reading automatically.</w:t>
      </w:r>
    </w:p>
    <w:p>
      <w:pPr>
        <w:pStyle w:val="ListBullet"/>
        <w:spacing w:after="80"/>
      </w:pPr>
      <w:r>
        <w:rPr>
          <w:rFonts w:ascii="Calibri" w:hAnsi="Calibri"/>
          <w:sz w:val="20"/>
        </w:rPr>
        <w:t>Back at the workshop, the MC uploads the calibration results to Beamex CMX software via USB or Bluetooth.</w:t>
      </w:r>
    </w:p>
    <w:p>
      <w:pPr>
        <w:pStyle w:val="ListBullet"/>
        <w:spacing w:after="80"/>
      </w:pPr>
      <w:r>
        <w:rPr>
          <w:rFonts w:ascii="Calibri" w:hAnsi="Calibri"/>
          <w:sz w:val="20"/>
        </w:rPr>
        <w:t>Data can then be exported from CMX as a CSV or XML file.</w:t>
      </w:r>
    </w:p>
    <w:p>
      <w:pPr>
        <w:spacing w:after="160"/>
      </w:pPr>
      <w:r>
        <w:rPr>
          <w:rFonts w:ascii="Calibri" w:hAnsi="Calibri"/>
          <w:sz w:val="22"/>
        </w:rPr>
        <w:t>CSV Export Capability:</w:t>
      </w:r>
    </w:p>
    <w:p>
      <w:pPr>
        <w:pStyle w:val="ListBullet"/>
        <w:spacing w:after="80"/>
      </w:pPr>
      <w:r>
        <w:rPr>
          <w:rFonts w:ascii="Calibri" w:hAnsi="Calibri"/>
          <w:sz w:val="20"/>
        </w:rPr>
        <w:t>Beamex CMX does support CSV export of calibration results — this is confirmed from Beamex product documentation.</w:t>
      </w:r>
    </w:p>
    <w:p>
      <w:pPr>
        <w:pStyle w:val="ListBullet"/>
        <w:spacing w:after="80"/>
      </w:pPr>
      <w:r>
        <w:rPr>
          <w:rFonts w:ascii="Calibri" w:hAnsi="Calibri"/>
          <w:sz w:val="20"/>
        </w:rPr>
        <w:t>The CSV includes: tag number, as-found reading, as-left reading, pass/fail status, calibration date, technician ID, and calibrator serial number.</w:t>
      </w:r>
    </w:p>
    <w:p>
      <w:pPr>
        <w:pStyle w:val="ListBullet"/>
        <w:spacing w:after="80"/>
      </w:pPr>
      <w:r>
        <w:rPr>
          <w:rFonts w:ascii="Calibri" w:hAnsi="Calibri"/>
          <w:sz w:val="20"/>
        </w:rPr>
        <w:t>CalCheq could accept this CSV as an import to automatically update calibration records — eliminating manual data entry entirely.</w:t>
      </w:r>
    </w:p>
    <w:p>
      <w:pPr>
        <w:pStyle w:val="ListBullet"/>
        <w:spacing w:after="80"/>
      </w:pPr>
      <w:r>
        <w:rPr>
          <w:rFonts w:ascii="Calibri" w:hAnsi="Calibri"/>
          <w:sz w:val="20"/>
        </w:rPr>
        <w:t>This is a "paperless calibration" workflow: calibrator → CMX → CSV export → CalCheq import. Zero manual transcription.</w:t>
      </w:r>
    </w:p>
    <w:tbl>
      <w:tblPr>
        <w:tblW w:type="auto" w:w="0"/>
        <w:tblLook w:firstColumn="1" w:firstRow="1" w:lastColumn="0" w:lastRow="0" w:noHBand="0" w:noVBand="1" w:val="04A0"/>
      </w:tblPr>
      <w:tblGrid>
        <w:gridCol w:w="9072"/>
      </w:tblGrid>
      <w:tr>
        <w:tc>
          <w:tcPr>
            <w:tcW w:type="dxa" w:w="9072"/>
            <w:shd w:val="clear" w:color="auto" w:fill="FFFDE7"/>
          </w:tcPr>
          <w:p>
            <w:pPr>
              <w:spacing w:before="160" w:after="160"/>
              <w:ind w:left="200" w:right="200"/>
            </w:pPr>
            <w:r>
              <w:rPr>
                <w:rFonts w:ascii="Calibri" w:hAnsi="Calibri"/>
                <w:b/>
                <w:color w:val="F57C00"/>
                <w:sz w:val="22"/>
              </w:rPr>
              <w:t xml:space="preserve">ACTION REQUIRED: </w:t>
            </w:r>
            <w:r>
              <w:rPr>
                <w:rFonts w:ascii="Calibri" w:hAnsi="Calibri"/>
                <w:color w:val="F57C00"/>
                <w:sz w:val="22"/>
              </w:rPr>
              <w:t>ACTION REQUIRED: Build a Beamex CSV import function into CalCheq. Map the Beamex CMX CSV column headers to CalCheq's internal fields. This is likely a 1-2 week development task and would be a major competitive differentiator. Almost no competing calibration SaaS products offer this integration in the Australian market.</w:t>
            </w:r>
          </w:p>
        </w:tc>
      </w:tr>
    </w:tbl>
    <w:p/>
    <w:p>
      <w:pPr>
        <w:spacing w:before="280" w:after="80"/>
      </w:pPr>
      <w:r>
        <w:rPr>
          <w:rFonts w:ascii="Calibri" w:hAnsi="Calibri"/>
          <w:b/>
          <w:color w:val="1565C0"/>
          <w:sz w:val="26"/>
        </w:rPr>
        <w:t>4. Option 3 — Fluke Calibrator Integration</w:t>
      </w:r>
    </w:p>
    <w:p>
      <w:pPr>
        <w:spacing w:after="160"/>
      </w:pPr>
      <w:r>
        <w:rPr>
          <w:rFonts w:ascii="Calibri" w:hAnsi="Calibri"/>
          <w:sz w:val="22"/>
        </w:rPr>
        <w:t>Fluke documenting calibrators (Fluke 753, 754, 729 series) are also widely used in Australian processing plants, particularly in less rigorous environments or as backup to Beamex primary standards.</w:t>
      </w:r>
    </w:p>
    <w:p>
      <w:pPr>
        <w:pStyle w:val="ListBullet"/>
        <w:spacing w:after="80"/>
      </w:pPr>
      <w:r>
        <w:rPr>
          <w:rFonts w:ascii="Calibri" w:hAnsi="Calibri"/>
          <w:sz w:val="20"/>
        </w:rPr>
        <w:t>Fluke's MET/CONNECT software provides API connection and automated CSV data exports from Fluke calibrators.</w:t>
      </w:r>
    </w:p>
    <w:p>
      <w:pPr>
        <w:pStyle w:val="ListBullet"/>
        <w:spacing w:after="80"/>
      </w:pPr>
      <w:r>
        <w:rPr>
          <w:rFonts w:ascii="Calibri" w:hAnsi="Calibri"/>
          <w:sz w:val="20"/>
        </w:rPr>
        <w:t>Fluke calibrators store calibration results digitally and can transfer data to MET/CONNECT via USB.</w:t>
      </w:r>
    </w:p>
    <w:p>
      <w:pPr>
        <w:pStyle w:val="ListBullet"/>
        <w:spacing w:after="80"/>
      </w:pPr>
      <w:r>
        <w:rPr>
          <w:rFonts w:ascii="Calibri" w:hAnsi="Calibri"/>
          <w:sz w:val="20"/>
        </w:rPr>
        <w:t>MET/CONNECT CSV exports include: instrument tag, as-found, as-left, date/time, technician, pass/fail.</w:t>
      </w:r>
    </w:p>
    <w:p>
      <w:pPr>
        <w:pStyle w:val="ListBullet"/>
        <w:spacing w:after="80"/>
      </w:pPr>
      <w:r>
        <w:rPr>
          <w:rFonts w:ascii="Calibri" w:hAnsi="Calibri"/>
          <w:sz w:val="20"/>
        </w:rPr>
        <w:t>CSV format differs from Beamex but the import concept is identical — build a Fluke import alongside the Beamex import.</w:t>
      </w:r>
    </w:p>
    <w:p>
      <w:pPr>
        <w:pStyle w:val="ListBullet"/>
        <w:spacing w:after="80"/>
      </w:pPr>
      <w:r>
        <w:rPr>
          <w:rFonts w:ascii="Calibri" w:hAnsi="Calibri"/>
          <w:sz w:val="20"/>
        </w:rPr>
        <w:t>Fluke MET/CONNECT also supports pre-built adapters for some CMMS/CCMS systems — CalCheq could eventually develop a pre-built Fluke adapter.</w:t>
      </w:r>
    </w:p>
    <w:tbl>
      <w:tblPr>
        <w:tblW w:type="auto" w:w="0"/>
        <w:tblLook w:firstColumn="1" w:firstRow="1" w:lastColumn="0" w:lastRow="0" w:noHBand="0" w:noVBand="1" w:val="04A0"/>
      </w:tblPr>
      <w:tblGrid>
        <w:gridCol w:w="9072"/>
      </w:tblGrid>
      <w:tr>
        <w:tc>
          <w:tcPr>
            <w:tcW w:type="dxa" w:w="9072"/>
            <w:shd w:val="clear" w:color="auto" w:fill="E8F5E9"/>
          </w:tcPr>
          <w:p>
            <w:pPr>
              <w:spacing w:before="160" w:after="160"/>
              <w:ind w:left="200" w:right="200"/>
            </w:pPr>
            <w:r>
              <w:rPr>
                <w:rFonts w:ascii="Calibri" w:hAnsi="Calibri"/>
                <w:b/>
                <w:color w:val="2E7D32"/>
                <w:sz w:val="22"/>
              </w:rPr>
              <w:t xml:space="preserve">VERDICT: </w:t>
            </w:r>
            <w:r>
              <w:rPr>
                <w:rFonts w:ascii="Calibri" w:hAnsi="Calibri"/>
                <w:color w:val="2E7D32"/>
                <w:sz w:val="22"/>
              </w:rPr>
              <w:t>VERDICT: Fluke CSV import should be built in parallel with Beamex import. Both follow the same logic — import a CSV of completed calibrations from the calibrator software and map to CalCheq records. The effort to build both is marginally higher than building one.</w:t>
            </w:r>
          </w:p>
        </w:tc>
      </w:tr>
    </w:tbl>
    <w:p/>
    <w:p>
      <w:pPr>
        <w:spacing w:before="280" w:after="80"/>
      </w:pPr>
      <w:r>
        <w:rPr>
          <w:rFonts w:ascii="Calibri" w:hAnsi="Calibri"/>
          <w:b/>
          <w:color w:val="1565C0"/>
          <w:sz w:val="26"/>
        </w:rPr>
        <w:t>5. Option 4 — Smartphone / Standard Tablet (Zone 2 Areas Only)</w:t>
      </w:r>
    </w:p>
    <w:p>
      <w:pPr>
        <w:spacing w:after="160"/>
      </w:pPr>
      <w:r>
        <w:rPr>
          <w:rFonts w:ascii="Calibri" w:hAnsi="Calibri"/>
          <w:sz w:val="22"/>
        </w:rPr>
        <w:t>Not all areas of a processing plant are classified as Zone 1. Many instrumentation access areas are Zone 2 (less hazardous — explosive atmosphere unlikely in normal operation). In Zone 2, standard smartphones and tablets may be used with appropriate risk assessment.</w:t>
      </w:r>
    </w:p>
    <w:p>
      <w:pPr>
        <w:pStyle w:val="ListBullet"/>
        <w:spacing w:after="80"/>
      </w:pPr>
      <w:r>
        <w:rPr>
          <w:rFonts w:ascii="Calibri" w:hAnsi="Calibri"/>
          <w:sz w:val="20"/>
        </w:rPr>
        <w:t>A standard iPhone or Android smartphone with a rugged case can be used in Zone 2 areas with site management approval.</w:t>
      </w:r>
    </w:p>
    <w:p>
      <w:pPr>
        <w:pStyle w:val="ListBullet"/>
        <w:spacing w:after="80"/>
      </w:pPr>
      <w:r>
        <w:rPr>
          <w:rFonts w:ascii="Calibri" w:hAnsi="Calibri"/>
          <w:sz w:val="20"/>
        </w:rPr>
        <w:t>CalCheq's mobile-responsive web interface works on any modern smartphone browser — no app installation required.</w:t>
      </w:r>
    </w:p>
    <w:p>
      <w:pPr>
        <w:pStyle w:val="ListBullet"/>
        <w:spacing w:after="80"/>
      </w:pPr>
      <w:r>
        <w:rPr>
          <w:rFonts w:ascii="Calibri" w:hAnsi="Calibri"/>
          <w:sz w:val="20"/>
        </w:rPr>
        <w:t>For sites where most instruments are in Zone 2 areas, this is effectively free — technicians already have smartphones.</w:t>
      </w:r>
    </w:p>
    <w:p>
      <w:pPr>
        <w:pStyle w:val="ListBullet"/>
        <w:spacing w:after="80"/>
      </w:pPr>
      <w:r>
        <w:rPr>
          <w:rFonts w:ascii="Calibri" w:hAnsi="Calibri"/>
          <w:sz w:val="20"/>
        </w:rPr>
        <w:t>Zone 1 instruments (pressure vessels, confined spaces near flammable gases) still require IS-rated devices.</w:t>
      </w:r>
    </w:p>
    <w:p>
      <w:pPr>
        <w:pStyle w:val="ListBullet"/>
        <w:spacing w:after="80"/>
      </w:pPr>
      <w:r>
        <w:rPr>
          <w:rFonts w:ascii="Calibri" w:hAnsi="Calibri"/>
          <w:sz w:val="20"/>
        </w:rPr>
        <w:t>Recommend CalCheq creates a "Mobile Mode" interface — simplified screen optimised for one-handed entry of as-found/as-left readings.</w:t>
      </w:r>
    </w:p>
    <w:p>
      <w:pPr>
        <w:spacing w:before="280" w:after="80"/>
      </w:pPr>
      <w:r>
        <w:rPr>
          <w:rFonts w:ascii="Calibri" w:hAnsi="Calibri"/>
          <w:b/>
          <w:color w:val="1565C0"/>
          <w:sz w:val="26"/>
        </w:rPr>
        <w:t>6. Option 5 — Offline-First Progressive Web App (PWA)</w:t>
      </w:r>
    </w:p>
    <w:p>
      <w:pPr>
        <w:spacing w:after="160"/>
      </w:pPr>
      <w:r>
        <w:rPr>
          <w:rFonts w:ascii="Calibri" w:hAnsi="Calibri"/>
          <w:sz w:val="22"/>
        </w:rPr>
        <w:t>Wi-Fi coverage in process plants — especially in older facilities or remote locations — can be inconsistent. An offline-capable Progressive Web App (PWA) would allow technicians to enter calibration data in the field even without connectivity, then sync when they return to a Wi-Fi area.</w:t>
      </w:r>
    </w:p>
    <w:p>
      <w:pPr>
        <w:pStyle w:val="ListBullet"/>
        <w:spacing w:after="80"/>
      </w:pPr>
      <w:r>
        <w:rPr>
          <w:rFonts w:ascii="Calibri" w:hAnsi="Calibri"/>
          <w:sz w:val="20"/>
        </w:rPr>
        <w:t>CalCheq could be built as a PWA — a web app that installs to the home screen and works offline.</w:t>
      </w:r>
    </w:p>
    <w:p>
      <w:pPr>
        <w:pStyle w:val="ListBullet"/>
        <w:spacing w:after="80"/>
      </w:pPr>
      <w:r>
        <w:rPr>
          <w:rFonts w:ascii="Calibri" w:hAnsi="Calibri"/>
          <w:sz w:val="20"/>
        </w:rPr>
        <w:t>Calibrations entered offline would be stored locally on the device and synced to CalCheq when connectivity is restored.</w:t>
      </w:r>
    </w:p>
    <w:p>
      <w:pPr>
        <w:pStyle w:val="ListBullet"/>
        <w:spacing w:after="80"/>
      </w:pPr>
      <w:r>
        <w:rPr>
          <w:rFonts w:ascii="Calibri" w:hAnsi="Calibri"/>
          <w:sz w:val="20"/>
        </w:rPr>
        <w:t>This removes the dependency on plant Wi-Fi coverage for field data entry.</w:t>
      </w:r>
    </w:p>
    <w:p>
      <w:pPr>
        <w:pStyle w:val="ListBullet"/>
        <w:spacing w:after="80"/>
      </w:pPr>
      <w:r>
        <w:rPr>
          <w:rFonts w:ascii="Calibri" w:hAnsi="Calibri"/>
          <w:sz w:val="20"/>
        </w:rPr>
        <w:t>Development effort is moderate — likely 4-8 weeks of focused development. Consider as a roadmap item for v2.</w:t>
      </w:r>
    </w:p>
    <w:p>
      <w:pPr>
        <w:pStyle w:val="ListBullet"/>
        <w:spacing w:after="80"/>
      </w:pPr>
      <w:r>
        <w:rPr>
          <w:rFonts w:ascii="Calibri" w:hAnsi="Calibri"/>
          <w:sz w:val="20"/>
        </w:rPr>
        <w:t>This would be a significant competitive advantage — no other calibration SaaS product in Australia currently offers offline PWA capability.</w:t>
      </w:r>
    </w:p>
    <w:p>
      <w:pPr>
        <w:spacing w:before="280" w:after="80"/>
      </w:pPr>
      <w:r>
        <w:rPr>
          <w:rFonts w:ascii="Calibri" w:hAnsi="Calibri"/>
          <w:b/>
          <w:color w:val="1565C0"/>
          <w:sz w:val="26"/>
        </w:rPr>
        <w:t>7. Recommended Approach — Priority Order</w:t>
      </w:r>
    </w:p>
    <w:p>
      <w:pPr>
        <w:spacing w:before="160" w:after="40"/>
      </w:pPr>
      <w:r>
        <w:rPr>
          <w:rFonts w:ascii="Calibri" w:hAnsi="Calibri"/>
          <w:b/>
          <w:color w:val="1565C0"/>
          <w:sz w:val="22"/>
        </w:rPr>
        <w:t>► IMMEDIATE (0-30 days)</w:t>
      </w:r>
    </w:p>
    <w:p>
      <w:pPr>
        <w:spacing w:after="120"/>
        <w:ind w:left="280"/>
      </w:pPr>
      <w:r>
        <w:rPr>
          <w:rFonts w:ascii="Calibri" w:hAnsi="Calibri"/>
          <w:color w:val="5A6B7B"/>
          <w:sz w:val="20"/>
        </w:rPr>
        <w:t>Optimise CalCheq's mobile browser experience. Ensure the calibration recording screen works cleanly on a 6" smartphone screen. Test on Android Chrome and iOS Safari. Announce mobile browser compatibility on the website.</w:t>
      </w:r>
    </w:p>
    <w:p>
      <w:pPr>
        <w:spacing w:before="160" w:after="40"/>
      </w:pPr>
      <w:r>
        <w:rPr>
          <w:rFonts w:ascii="Calibri" w:hAnsi="Calibri"/>
          <w:b/>
          <w:color w:val="1565C0"/>
          <w:sz w:val="22"/>
        </w:rPr>
        <w:t>► SHORT-TERM (1-3 months)</w:t>
      </w:r>
    </w:p>
    <w:p>
      <w:pPr>
        <w:spacing w:after="120"/>
        <w:ind w:left="280"/>
      </w:pPr>
      <w:r>
        <w:rPr>
          <w:rFonts w:ascii="Calibri" w:hAnsi="Calibri"/>
          <w:color w:val="5A6B7B"/>
          <w:sz w:val="20"/>
        </w:rPr>
        <w:t>Build Beamex CSV import and Fluke CSV import. This eliminates manual data entry for sites using documenting calibrators — the majority of Australian processing plants.</w:t>
      </w:r>
    </w:p>
    <w:p>
      <w:pPr>
        <w:spacing w:before="160" w:after="40"/>
      </w:pPr>
      <w:r>
        <w:rPr>
          <w:rFonts w:ascii="Calibri" w:hAnsi="Calibri"/>
          <w:b/>
          <w:color w:val="1565C0"/>
          <w:sz w:val="22"/>
        </w:rPr>
        <w:t>► MEDIUM-TERM (3-6 months)</w:t>
      </w:r>
    </w:p>
    <w:p>
      <w:pPr>
        <w:spacing w:after="120"/>
        <w:ind w:left="280"/>
      </w:pPr>
      <w:r>
        <w:rPr>
          <w:rFonts w:ascii="Calibri" w:hAnsi="Calibri"/>
          <w:color w:val="5A6B7B"/>
          <w:sz w:val="20"/>
        </w:rPr>
        <w:t>Validate and document CalCheq on Ecom Tab-Ex 02 IS tablet. Create a "CalCheq Field Setup Guide" for IS tablet users. Offer this as a value-add to Professional and Enterprise tier customers.</w:t>
      </w:r>
    </w:p>
    <w:p>
      <w:pPr>
        <w:spacing w:before="160" w:after="40"/>
      </w:pPr>
      <w:r>
        <w:rPr>
          <w:rFonts w:ascii="Calibri" w:hAnsi="Calibri"/>
          <w:b/>
          <w:color w:val="1565C0"/>
          <w:sz w:val="22"/>
        </w:rPr>
        <w:t>► LONG-TERM (6-12 months)</w:t>
      </w:r>
    </w:p>
    <w:p>
      <w:pPr>
        <w:spacing w:after="120"/>
        <w:ind w:left="280"/>
      </w:pPr>
      <w:r>
        <w:rPr>
          <w:rFonts w:ascii="Calibri" w:hAnsi="Calibri"/>
          <w:color w:val="5A6B7B"/>
          <w:sz w:val="20"/>
        </w:rPr>
        <w:t>Build offline PWA capability. This addresses the Wi-Fi coverage gap and enables truly paperless field calibration workflows.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1F3A"/>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1F3A"/>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0B1F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