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2"/>
            <w:shd w:val="clear" w:color="auto" w:fill="0B1F3A"/>
          </w:tcPr>
          <w:p>
            <w:pPr>
              <w:spacing w:before="160" w:after="160"/>
              <w:ind w:left="200"/>
            </w:pPr>
            <w:r>
              <w:rPr>
                <w:rFonts w:ascii="Calibri" w:hAnsi="Calibri"/>
                <w:b/>
                <w:color w:val="FFFFFF"/>
                <w:sz w:val="26"/>
              </w:rPr>
              <w:t>CalCheq — Compliance Certificates &amp; Instrument Criticality Ranking</w:t>
            </w:r>
          </w:p>
        </w:tc>
      </w:tr>
    </w:tbl>
    <w:p/>
    <w:p>
      <w:pPr>
        <w:spacing w:after="160"/>
      </w:pPr>
      <w:r>
        <w:rPr>
          <w:rFonts w:ascii="Calibri" w:hAnsi="Calibri"/>
          <w:color w:val="5A6B7B"/>
          <w:sz w:val="20"/>
        </w:rPr>
        <w:t>Document Type: Compliance Analysis &amp; Feature Specification</w:t>
        <w:br/>
        <w:t>Topics: (A) Calibration Certificate Compliance Standards | (B) Instrument Criticality Ranking Feature Spec</w:t>
        <w:br/>
        <w:t>Date: April 2026</w:t>
      </w:r>
    </w:p>
    <w:p/>
    <w:tbl>
      <w:tblPr>
        <w:tblW w:type="auto" w:w="0"/>
        <w:jc w:val="left"/>
        <w:tblLook w:firstColumn="1" w:firstRow="1" w:lastColumn="0" w:lastRow="0" w:noHBand="0" w:noVBand="1" w:val="04A0"/>
      </w:tblPr>
      <w:tblGrid>
        <w:gridCol w:w="9072"/>
      </w:tblGrid>
      <w:tr>
        <w:tc>
          <w:tcPr>
            <w:tcW w:type="dxa" w:w="9072"/>
            <w:shd w:val="clear" w:color="auto" w:fill="0B1F3A"/>
          </w:tcPr>
          <w:p>
            <w:pPr>
              <w:spacing w:before="160" w:after="160"/>
              <w:ind w:left="200"/>
            </w:pPr>
            <w:r>
              <w:rPr>
                <w:rFonts w:ascii="Calibri" w:hAnsi="Calibri"/>
                <w:b/>
                <w:color w:val="FFFFFF"/>
                <w:sz w:val="26"/>
              </w:rPr>
              <w:t>Part A: Calibration Certificate Compliance Analysis</w:t>
            </w:r>
          </w:p>
        </w:tc>
      </w:tr>
    </w:tbl>
    <w:p/>
    <w:p>
      <w:pPr>
        <w:spacing w:after="160"/>
      </w:pPr>
      <w:r>
        <w:rPr>
          <w:rFonts w:ascii="Calibri" w:hAnsi="Calibri"/>
          <w:sz w:val="22"/>
        </w:rPr>
        <w:t>CalCheq generates calibration certificates on demand. This section confirms the compliance standards that apply to Australian processing plant calibration and verifies that CalCheq certificates meet or exceed those requirements.</w:t>
      </w:r>
    </w:p>
    <w:p>
      <w:pPr>
        <w:spacing w:before="280" w:after="80"/>
      </w:pPr>
      <w:r>
        <w:rPr>
          <w:rFonts w:ascii="Calibri" w:hAnsi="Calibri"/>
          <w:b/>
          <w:color w:val="1565C0"/>
          <w:sz w:val="26"/>
        </w:rPr>
        <w:t>A1. Applicable Australian &amp; International Standards</w:t>
      </w:r>
    </w:p>
    <w:p>
      <w:pPr>
        <w:spacing w:before="200" w:after="40"/>
      </w:pPr>
      <w:r>
        <w:rPr>
          <w:rFonts w:ascii="Calibri" w:hAnsi="Calibri"/>
          <w:b/>
          <w:color w:val="0B1F3A"/>
          <w:sz w:val="22"/>
        </w:rPr>
        <w:t>► AS/NZS ISO/IEC 17025:2017</w:t>
      </w:r>
      <w:r>
        <w:rPr>
          <w:rFonts w:ascii="Calibri" w:hAnsi="Calibri"/>
          <w:b/>
          <w:color w:val="C62828"/>
          <w:sz w:val="18"/>
        </w:rPr>
        <w:t xml:space="preserve">  [CRITICAL]</w:t>
      </w:r>
    </w:p>
    <w:p>
      <w:pPr>
        <w:spacing w:after="120"/>
        <w:ind w:left="280"/>
      </w:pPr>
      <w:r>
        <w:rPr>
          <w:rFonts w:ascii="Calibri" w:hAnsi="Calibri"/>
          <w:color w:val="5A6B7B"/>
          <w:sz w:val="20"/>
        </w:rPr>
        <w:t>The primary standard. "General requirements for the competence of testing and calibration laboratories." Mandates requirements for calibration records including: identification of the item calibrated, calibration date, results obtained (as-found and as-left), uncertainty of measurement, calibration standards used, and identification of the calibration technician. CRITICAL: This is the standard that NATA accreditation is based on.</w:t>
      </w:r>
    </w:p>
    <w:p>
      <w:pPr>
        <w:spacing w:before="200" w:after="40"/>
      </w:pPr>
      <w:r>
        <w:rPr>
          <w:rFonts w:ascii="Calibri" w:hAnsi="Calibri"/>
          <w:b/>
          <w:color w:val="0B1F3A"/>
          <w:sz w:val="22"/>
        </w:rPr>
        <w:t>► NATA (National Association of Testing Authorities)</w:t>
      </w:r>
      <w:r>
        <w:rPr>
          <w:rFonts w:ascii="Calibri" w:hAnsi="Calibri"/>
          <w:b/>
          <w:color w:val="C62828"/>
          <w:sz w:val="18"/>
        </w:rPr>
        <w:t xml:space="preserve">  [CRITICAL]</w:t>
      </w:r>
    </w:p>
    <w:p>
      <w:pPr>
        <w:spacing w:after="120"/>
        <w:ind w:left="280"/>
      </w:pPr>
      <w:r>
        <w:rPr>
          <w:rFonts w:ascii="Calibri" w:hAnsi="Calibri"/>
          <w:color w:val="5A6B7B"/>
          <w:sz w:val="20"/>
        </w:rPr>
        <w:t>NATA is Australia's national accreditation body for laboratories and calibration services. NATA accreditation requires compliance with ISO/IEC 17025. For in-house calibration (not NATA-accredited labs), certificates must still demonstrate traceability to NATA-accredited or NMI (National Measurement Institute) reference standards.</w:t>
      </w:r>
    </w:p>
    <w:p>
      <w:pPr>
        <w:spacing w:before="200" w:after="40"/>
      </w:pPr>
      <w:r>
        <w:rPr>
          <w:rFonts w:ascii="Calibri" w:hAnsi="Calibri"/>
          <w:b/>
          <w:color w:val="0B1F3A"/>
          <w:sz w:val="22"/>
        </w:rPr>
        <w:t>► ILAC-G24 / OIML D 10</w:t>
      </w:r>
    </w:p>
    <w:p>
      <w:pPr>
        <w:spacing w:after="120"/>
        <w:ind w:left="280"/>
      </w:pPr>
      <w:r>
        <w:rPr>
          <w:rFonts w:ascii="Calibri" w:hAnsi="Calibri"/>
          <w:color w:val="5A6B7B"/>
          <w:sz w:val="20"/>
        </w:rPr>
        <w:t>International Laboratory Accreditation Cooperation guidelines on the selection and use of reference standards and the decision rules for conformity assessment. Provides guidance on measurement uncertainty reporting and conformity decisions (pass/fail). Specifically covers how to declare pass/fail when the measured uncertainty overlaps the tolerance band.</w:t>
      </w:r>
    </w:p>
    <w:p>
      <w:pPr>
        <w:spacing w:before="200" w:after="40"/>
      </w:pPr>
      <w:r>
        <w:rPr>
          <w:rFonts w:ascii="Calibri" w:hAnsi="Calibri"/>
          <w:b/>
          <w:color w:val="0B1F3A"/>
          <w:sz w:val="22"/>
        </w:rPr>
        <w:t>► IEC 61511 / AS 61511 — Functional Safety</w:t>
      </w:r>
      <w:r>
        <w:rPr>
          <w:rFonts w:ascii="Calibri" w:hAnsi="Calibri"/>
          <w:b/>
          <w:color w:val="C62828"/>
          <w:sz w:val="18"/>
        </w:rPr>
        <w:t xml:space="preserve">  [CRITICAL]</w:t>
      </w:r>
    </w:p>
    <w:p>
      <w:pPr>
        <w:spacing w:after="120"/>
        <w:ind w:left="280"/>
      </w:pPr>
      <w:r>
        <w:rPr>
          <w:rFonts w:ascii="Calibri" w:hAnsi="Calibri"/>
          <w:color w:val="5A6B7B"/>
          <w:sz w:val="20"/>
        </w:rPr>
        <w:t>Applies to Safety Instrumented Systems (SIS) — the instruments CalCheq marks as "Red" in the criticality ranking. IEC 61511 requires that SIS instruments are proof-tested at defined intervals. Calibration records for SIS instruments must be traceable and demonstrate that the instrument meets its Safety Integrity Level (SIL) requirements. CalCheq certificates for Red-rated instruments should specifically reference IEC 61511.</w:t>
      </w:r>
    </w:p>
    <w:p>
      <w:pPr>
        <w:spacing w:before="200" w:after="40"/>
      </w:pPr>
      <w:r>
        <w:rPr>
          <w:rFonts w:ascii="Calibri" w:hAnsi="Calibri"/>
          <w:b/>
          <w:color w:val="0B1F3A"/>
          <w:sz w:val="22"/>
        </w:rPr>
        <w:t>► ISO 9001:2015 — Quality Management Systems</w:t>
      </w:r>
    </w:p>
    <w:p>
      <w:pPr>
        <w:spacing w:after="120"/>
        <w:ind w:left="280"/>
      </w:pPr>
      <w:r>
        <w:rPr>
          <w:rFonts w:ascii="Calibri" w:hAnsi="Calibri"/>
          <w:color w:val="5A6B7B"/>
          <w:sz w:val="20"/>
        </w:rPr>
        <w:t>Many processing plants operate under ISO 9001 QMS. ISO 9001 Clause 7.1.5 requires calibration of measuring equipment: records must include identification, calibration date, criteria for calibration, and results of calibration. CalCheq certificates satisfy this requirement.</w:t>
      </w:r>
    </w:p>
    <w:p>
      <w:pPr>
        <w:spacing w:before="200" w:after="40"/>
      </w:pPr>
      <w:r>
        <w:rPr>
          <w:rFonts w:ascii="Calibri" w:hAnsi="Calibri"/>
          <w:b/>
          <w:color w:val="0B1F3A"/>
          <w:sz w:val="22"/>
        </w:rPr>
        <w:t>► Work Health &amp; Safety (WHS) Act — National</w:t>
      </w:r>
    </w:p>
    <w:p>
      <w:pPr>
        <w:spacing w:after="120"/>
        <w:ind w:left="280"/>
      </w:pPr>
      <w:r>
        <w:rPr>
          <w:rFonts w:ascii="Calibri" w:hAnsi="Calibri"/>
          <w:color w:val="5A6B7B"/>
          <w:sz w:val="20"/>
        </w:rPr>
        <w:t>Under Australian WHS legislation, plant operators have a duty of care to ensure measurement devices used in safety-critical applications are maintained in a reliable and accurate state. Calibration records are part of the evidence of compliance with this duty. CalCheq provides an auditable, timestamped record of all calibration activity.</w:t>
      </w:r>
    </w:p>
    <w:p>
      <w:pPr>
        <w:spacing w:before="200" w:after="40"/>
      </w:pPr>
      <w:r>
        <w:rPr>
          <w:rFonts w:ascii="Calibri" w:hAnsi="Calibri"/>
          <w:b/>
          <w:color w:val="0B1F3A"/>
          <w:sz w:val="22"/>
        </w:rPr>
        <w:t>► NMI (National Measurement Institute)</w:t>
      </w:r>
    </w:p>
    <w:p>
      <w:pPr>
        <w:spacing w:after="120"/>
        <w:ind w:left="280"/>
      </w:pPr>
      <w:r>
        <w:rPr>
          <w:rFonts w:ascii="Calibri" w:hAnsi="Calibri"/>
          <w:color w:val="5A6B7B"/>
          <w:sz w:val="20"/>
        </w:rPr>
        <w:t>NMI maintains Australia's national measurement standards. Calibration traceability means that the calibration standards used can be traced back to NMI reference standards. CalCheq certificates should include a field for the calibration standard used and its NATA/NMI traceable certificate number.</w:t>
      </w:r>
    </w:p>
    <w:p>
      <w:pPr>
        <w:spacing w:before="280" w:after="80"/>
      </w:pPr>
      <w:r>
        <w:rPr>
          <w:rFonts w:ascii="Calibri" w:hAnsi="Calibri"/>
          <w:b/>
          <w:color w:val="1565C0"/>
          <w:sz w:val="26"/>
        </w:rPr>
        <w:t>A2. Required Fields on a Compliant Calibration Certificate</w:t>
      </w:r>
    </w:p>
    <w:p>
      <w:pPr>
        <w:spacing w:after="160"/>
      </w:pPr>
      <w:r>
        <w:rPr>
          <w:rFonts w:ascii="Calibri" w:hAnsi="Calibri"/>
          <w:sz w:val="22"/>
        </w:rPr>
        <w:t>The following fields are required on a CalCheq calibration certificate to satisfy AS/NZS ISO/IEC 17025:2017, ISO 9001:2015, and NATA traceability requirements: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B1F3A"/>
          </w:tcPr>
          <w:p>
            <w:pPr>
              <w:spacing w:before="80" w:after="80"/>
              <w:ind w:left="80"/>
            </w:pPr>
            <w:r>
              <w:rPr>
                <w:rFonts w:ascii="Calibri" w:hAnsi="Calibri"/>
                <w:b/>
                <w:color w:val="FFFFFF"/>
                <w:sz w:val="18"/>
              </w:rPr>
              <w:t>Certificate Field</w:t>
            </w:r>
          </w:p>
        </w:tc>
        <w:tc>
          <w:tcPr>
            <w:tcW w:type="dxa" w:w="3024"/>
            <w:shd w:val="clear" w:color="auto" w:fill="0B1F3A"/>
          </w:tcPr>
          <w:p>
            <w:pPr>
              <w:spacing w:before="80" w:after="80"/>
              <w:ind w:left="80"/>
            </w:pPr>
            <w:r>
              <w:rPr>
                <w:rFonts w:ascii="Calibri" w:hAnsi="Calibri"/>
                <w:b/>
                <w:color w:val="FFFFFF"/>
                <w:sz w:val="18"/>
              </w:rPr>
              <w:t>Status</w:t>
            </w:r>
          </w:p>
        </w:tc>
        <w:tc>
          <w:tcPr>
            <w:tcW w:type="dxa" w:w="3024"/>
            <w:shd w:val="clear" w:color="auto" w:fill="0B1F3A"/>
          </w:tcPr>
          <w:p>
            <w:pPr>
              <w:spacing w:before="80" w:after="80"/>
              <w:ind w:left="80"/>
            </w:pPr>
            <w:r>
              <w:rPr>
                <w:rFonts w:ascii="Calibri" w:hAnsi="Calibri"/>
                <w:b/>
                <w:color w:val="FFFFFF"/>
                <w:sz w:val="18"/>
              </w:rPr>
              <w:t>Compliance Reference &amp; Notes</w:t>
            </w:r>
          </w:p>
        </w:tc>
      </w:tr>
      <w:tr>
        <w:tc>
          <w:tcPr>
            <w:tcW w:type="dxa" w:w="3024"/>
            <w:shd w:val="clear" w:color="auto" w:fill="FFFFFF"/>
          </w:tcPr>
          <w:p>
            <w:pPr>
              <w:spacing w:before="60" w:after="60"/>
              <w:ind w:left="80"/>
            </w:pPr>
            <w:r>
              <w:rPr>
                <w:rFonts w:ascii="Calibri" w:hAnsi="Calibri"/>
                <w:b/>
                <w:sz w:val="18"/>
              </w:rPr>
              <w:t>Certificate Title &amp; Number</w:t>
            </w:r>
          </w:p>
        </w:tc>
        <w:tc>
          <w:tcPr>
            <w:tcW w:type="dxa" w:w="3024"/>
            <w:shd w:val="clear" w:color="auto" w:fill="FFFFFF"/>
          </w:tcPr>
          <w:p>
            <w:pPr>
              <w:spacing w:before="60" w:after="60"/>
              <w:ind w:left="80"/>
            </w:pPr>
            <w:r>
              <w:rPr>
                <w:rFonts w:ascii="Calibri" w:hAnsi="Calibri"/>
                <w:b/>
                <w:color w:val="2E7D32"/>
                <w:sz w:val="18"/>
              </w:rPr>
              <w:t>REQUIRED</w:t>
            </w:r>
          </w:p>
        </w:tc>
        <w:tc>
          <w:tcPr>
            <w:tcW w:type="dxa" w:w="3024"/>
            <w:shd w:val="clear" w:color="auto" w:fill="FFFFFF"/>
          </w:tcPr>
          <w:p>
            <w:pPr>
              <w:spacing w:before="60" w:after="60"/>
              <w:ind w:left="80"/>
            </w:pPr>
            <w:r>
              <w:rPr>
                <w:rFonts w:ascii="Calibri" w:hAnsi="Calibri"/>
                <w:sz w:val="18"/>
              </w:rPr>
              <w:t>"Calibration Certificate" heading with a unique reference number (e.g. CAL-2026-047). ISO 17025 Cl. 7.8.2</w:t>
            </w:r>
          </w:p>
        </w:tc>
      </w:tr>
      <w:tr>
        <w:tc>
          <w:tcPr>
            <w:tcW w:type="dxa" w:w="3024"/>
            <w:shd w:val="clear" w:color="auto" w:fill="F4F7FC"/>
          </w:tcPr>
          <w:p>
            <w:pPr>
              <w:spacing w:before="60" w:after="60"/>
              <w:ind w:left="80"/>
            </w:pPr>
            <w:r>
              <w:rPr>
                <w:rFonts w:ascii="Calibri" w:hAnsi="Calibri"/>
                <w:b/>
                <w:sz w:val="18"/>
              </w:rPr>
              <w:t>Page Numbering</w:t>
            </w:r>
          </w:p>
        </w:tc>
        <w:tc>
          <w:tcPr>
            <w:tcW w:type="dxa" w:w="3024"/>
            <w:shd w:val="clear" w:color="auto" w:fill="F4F7FC"/>
          </w:tcPr>
          <w:p>
            <w:pPr>
              <w:spacing w:before="60" w:after="60"/>
              <w:ind w:left="80"/>
            </w:pPr>
            <w:r>
              <w:rPr>
                <w:rFonts w:ascii="Calibri" w:hAnsi="Calibri"/>
                <w:b/>
                <w:color w:val="2E7D32"/>
                <w:sz w:val="18"/>
              </w:rPr>
              <w:t>REQUIRED</w:t>
            </w:r>
          </w:p>
        </w:tc>
        <w:tc>
          <w:tcPr>
            <w:tcW w:type="dxa" w:w="3024"/>
            <w:shd w:val="clear" w:color="auto" w:fill="F4F7FC"/>
          </w:tcPr>
          <w:p>
            <w:pPr>
              <w:spacing w:before="60" w:after="60"/>
              <w:ind w:left="80"/>
            </w:pPr>
            <w:r>
              <w:rPr>
                <w:rFonts w:ascii="Calibri" w:hAnsi="Calibri"/>
                <w:sz w:val="18"/>
              </w:rPr>
              <w:t>"Page X of Y" on every page. ISO 17025 Cl. 7.8.2(a)</w:t>
            </w:r>
          </w:p>
        </w:tc>
      </w:tr>
      <w:tr>
        <w:tc>
          <w:tcPr>
            <w:tcW w:type="dxa" w:w="3024"/>
            <w:shd w:val="clear" w:color="auto" w:fill="FFFFFF"/>
          </w:tcPr>
          <w:p>
            <w:pPr>
              <w:spacing w:before="60" w:after="60"/>
              <w:ind w:left="80"/>
            </w:pPr>
            <w:r>
              <w:rPr>
                <w:rFonts w:ascii="Calibri" w:hAnsi="Calibri"/>
                <w:b/>
                <w:sz w:val="18"/>
              </w:rPr>
              <w:t>Issuing Organisation</w:t>
            </w:r>
          </w:p>
        </w:tc>
        <w:tc>
          <w:tcPr>
            <w:tcW w:type="dxa" w:w="3024"/>
            <w:shd w:val="clear" w:color="auto" w:fill="FFFFFF"/>
          </w:tcPr>
          <w:p>
            <w:pPr>
              <w:spacing w:before="60" w:after="60"/>
              <w:ind w:left="80"/>
            </w:pPr>
            <w:r>
              <w:rPr>
                <w:rFonts w:ascii="Calibri" w:hAnsi="Calibri"/>
                <w:b/>
                <w:color w:val="2E7D32"/>
                <w:sz w:val="18"/>
              </w:rPr>
              <w:t>REQUIRED</w:t>
            </w:r>
          </w:p>
        </w:tc>
        <w:tc>
          <w:tcPr>
            <w:tcW w:type="dxa" w:w="3024"/>
            <w:shd w:val="clear" w:color="auto" w:fill="FFFFFF"/>
          </w:tcPr>
          <w:p>
            <w:pPr>
              <w:spacing w:before="60" w:after="60"/>
              <w:ind w:left="80"/>
            </w:pPr>
            <w:r>
              <w:rPr>
                <w:rFonts w:ascii="Calibri" w:hAnsi="Calibri"/>
                <w:sz w:val="18"/>
              </w:rPr>
              <w:t>Company name and site performing the calibration. ISO 17025 Cl. 7.8.2(b)</w:t>
            </w:r>
          </w:p>
        </w:tc>
      </w:tr>
      <w:tr>
        <w:tc>
          <w:tcPr>
            <w:tcW w:type="dxa" w:w="3024"/>
            <w:shd w:val="clear" w:color="auto" w:fill="F4F7FC"/>
          </w:tcPr>
          <w:p>
            <w:pPr>
              <w:spacing w:before="60" w:after="60"/>
              <w:ind w:left="80"/>
            </w:pPr>
            <w:r>
              <w:rPr>
                <w:rFonts w:ascii="Calibri" w:hAnsi="Calibri"/>
                <w:b/>
                <w:sz w:val="18"/>
              </w:rPr>
              <w:t>Instrument Identification</w:t>
            </w:r>
          </w:p>
        </w:tc>
        <w:tc>
          <w:tcPr>
            <w:tcW w:type="dxa" w:w="3024"/>
            <w:shd w:val="clear" w:color="auto" w:fill="F4F7FC"/>
          </w:tcPr>
          <w:p>
            <w:pPr>
              <w:spacing w:before="60" w:after="60"/>
              <w:ind w:left="80"/>
            </w:pPr>
            <w:r>
              <w:rPr>
                <w:rFonts w:ascii="Calibri" w:hAnsi="Calibri"/>
                <w:b/>
                <w:color w:val="2E7D32"/>
                <w:sz w:val="18"/>
              </w:rPr>
              <w:t>REQUIRED</w:t>
            </w:r>
          </w:p>
        </w:tc>
        <w:tc>
          <w:tcPr>
            <w:tcW w:type="dxa" w:w="3024"/>
            <w:shd w:val="clear" w:color="auto" w:fill="F4F7FC"/>
          </w:tcPr>
          <w:p>
            <w:pPr>
              <w:spacing w:before="60" w:after="60"/>
              <w:ind w:left="80"/>
            </w:pPr>
            <w:r>
              <w:rPr>
                <w:rFonts w:ascii="Calibri" w:hAnsi="Calibri"/>
                <w:sz w:val="18"/>
              </w:rPr>
              <w:t>Tag number, description, manufacturer, model, serial number, and any unique identifier. ISO 17025 Cl. 7.8.4(a)</w:t>
            </w:r>
          </w:p>
        </w:tc>
      </w:tr>
      <w:tr>
        <w:tc>
          <w:tcPr>
            <w:tcW w:type="dxa" w:w="3024"/>
            <w:shd w:val="clear" w:color="auto" w:fill="FFFFFF"/>
          </w:tcPr>
          <w:p>
            <w:pPr>
              <w:spacing w:before="60" w:after="60"/>
              <w:ind w:left="80"/>
            </w:pPr>
            <w:r>
              <w:rPr>
                <w:rFonts w:ascii="Calibri" w:hAnsi="Calibri"/>
                <w:b/>
                <w:sz w:val="18"/>
              </w:rPr>
              <w:t>Calibration Date</w:t>
            </w:r>
          </w:p>
        </w:tc>
        <w:tc>
          <w:tcPr>
            <w:tcW w:type="dxa" w:w="3024"/>
            <w:shd w:val="clear" w:color="auto" w:fill="FFFFFF"/>
          </w:tcPr>
          <w:p>
            <w:pPr>
              <w:spacing w:before="60" w:after="60"/>
              <w:ind w:left="80"/>
            </w:pPr>
            <w:r>
              <w:rPr>
                <w:rFonts w:ascii="Calibri" w:hAnsi="Calibri"/>
                <w:b/>
                <w:color w:val="2E7D32"/>
                <w:sz w:val="18"/>
              </w:rPr>
              <w:t>REQUIRED</w:t>
            </w:r>
          </w:p>
        </w:tc>
        <w:tc>
          <w:tcPr>
            <w:tcW w:type="dxa" w:w="3024"/>
            <w:shd w:val="clear" w:color="auto" w:fill="FFFFFF"/>
          </w:tcPr>
          <w:p>
            <w:pPr>
              <w:spacing w:before="60" w:after="60"/>
              <w:ind w:left="80"/>
            </w:pPr>
            <w:r>
              <w:rPr>
                <w:rFonts w:ascii="Calibri" w:hAnsi="Calibri"/>
                <w:sz w:val="18"/>
              </w:rPr>
              <w:t>Date calibration was performed. ISO 17025 Cl. 7.8.4(d)</w:t>
            </w:r>
          </w:p>
        </w:tc>
      </w:tr>
      <w:tr>
        <w:tc>
          <w:tcPr>
            <w:tcW w:type="dxa" w:w="3024"/>
            <w:shd w:val="clear" w:color="auto" w:fill="F4F7FC"/>
          </w:tcPr>
          <w:p>
            <w:pPr>
              <w:spacing w:before="60" w:after="60"/>
              <w:ind w:left="80"/>
            </w:pPr>
            <w:r>
              <w:rPr>
                <w:rFonts w:ascii="Calibri" w:hAnsi="Calibri"/>
                <w:b/>
                <w:sz w:val="18"/>
              </w:rPr>
              <w:t>Next Calibration Due Date</w:t>
            </w:r>
          </w:p>
        </w:tc>
        <w:tc>
          <w:tcPr>
            <w:tcW w:type="dxa" w:w="3024"/>
            <w:shd w:val="clear" w:color="auto" w:fill="F4F7FC"/>
          </w:tcPr>
          <w:p>
            <w:pPr>
              <w:spacing w:before="60" w:after="60"/>
              <w:ind w:left="80"/>
            </w:pPr>
            <w:r>
              <w:rPr>
                <w:rFonts w:ascii="Calibri" w:hAnsi="Calibri"/>
                <w:b/>
                <w:color w:val="2E7D32"/>
                <w:sz w:val="18"/>
              </w:rPr>
              <w:t>REQUIRED</w:t>
            </w:r>
          </w:p>
        </w:tc>
        <w:tc>
          <w:tcPr>
            <w:tcW w:type="dxa" w:w="3024"/>
            <w:shd w:val="clear" w:color="auto" w:fill="F4F7FC"/>
          </w:tcPr>
          <w:p>
            <w:pPr>
              <w:spacing w:before="60" w:after="60"/>
              <w:ind w:left="80"/>
            </w:pPr>
            <w:r>
              <w:rPr>
                <w:rFonts w:ascii="Calibri" w:hAnsi="Calibri"/>
                <w:sz w:val="18"/>
              </w:rPr>
              <w:t>Calculated from interval. ISO 17025 Cl. 7.8.4(e) [if applicable]</w:t>
            </w:r>
          </w:p>
        </w:tc>
      </w:tr>
      <w:tr>
        <w:tc>
          <w:tcPr>
            <w:tcW w:type="dxa" w:w="3024"/>
            <w:shd w:val="clear" w:color="auto" w:fill="FFFFFF"/>
          </w:tcPr>
          <w:p>
            <w:pPr>
              <w:spacing w:before="60" w:after="60"/>
              <w:ind w:left="80"/>
            </w:pPr>
            <w:r>
              <w:rPr>
                <w:rFonts w:ascii="Calibri" w:hAnsi="Calibri"/>
                <w:b/>
                <w:sz w:val="18"/>
              </w:rPr>
              <w:t>As-Found Reading(s)</w:t>
            </w:r>
          </w:p>
        </w:tc>
        <w:tc>
          <w:tcPr>
            <w:tcW w:type="dxa" w:w="3024"/>
            <w:shd w:val="clear" w:color="auto" w:fill="FFFFFF"/>
          </w:tcPr>
          <w:p>
            <w:pPr>
              <w:spacing w:before="60" w:after="60"/>
              <w:ind w:left="80"/>
            </w:pPr>
            <w:r>
              <w:rPr>
                <w:rFonts w:ascii="Calibri" w:hAnsi="Calibri"/>
                <w:b/>
                <w:color w:val="2E7D32"/>
                <w:sz w:val="18"/>
              </w:rPr>
              <w:t>REQUIRED</w:t>
            </w:r>
          </w:p>
        </w:tc>
        <w:tc>
          <w:tcPr>
            <w:tcW w:type="dxa" w:w="3024"/>
            <w:shd w:val="clear" w:color="auto" w:fill="FFFFFF"/>
          </w:tcPr>
          <w:p>
            <w:pPr>
              <w:spacing w:before="60" w:after="60"/>
              <w:ind w:left="80"/>
            </w:pPr>
            <w:r>
              <w:rPr>
                <w:rFonts w:ascii="Calibri" w:hAnsi="Calibri"/>
                <w:sz w:val="18"/>
              </w:rPr>
              <w:t>Readings recorded before any adjustment was made. Required to show instrument state before intervention.</w:t>
            </w:r>
          </w:p>
        </w:tc>
      </w:tr>
      <w:tr>
        <w:tc>
          <w:tcPr>
            <w:tcW w:type="dxa" w:w="3024"/>
            <w:shd w:val="clear" w:color="auto" w:fill="F4F7FC"/>
          </w:tcPr>
          <w:p>
            <w:pPr>
              <w:spacing w:before="60" w:after="60"/>
              <w:ind w:left="80"/>
            </w:pPr>
            <w:r>
              <w:rPr>
                <w:rFonts w:ascii="Calibri" w:hAnsi="Calibri"/>
                <w:b/>
                <w:sz w:val="18"/>
              </w:rPr>
              <w:t>As-Left Reading(s)</w:t>
            </w:r>
          </w:p>
        </w:tc>
        <w:tc>
          <w:tcPr>
            <w:tcW w:type="dxa" w:w="3024"/>
            <w:shd w:val="clear" w:color="auto" w:fill="F4F7FC"/>
          </w:tcPr>
          <w:p>
            <w:pPr>
              <w:spacing w:before="60" w:after="60"/>
              <w:ind w:left="80"/>
            </w:pPr>
            <w:r>
              <w:rPr>
                <w:rFonts w:ascii="Calibri" w:hAnsi="Calibri"/>
                <w:b/>
                <w:color w:val="2E7D32"/>
                <w:sz w:val="18"/>
              </w:rPr>
              <w:t>REQUIRED</w:t>
            </w:r>
          </w:p>
        </w:tc>
        <w:tc>
          <w:tcPr>
            <w:tcW w:type="dxa" w:w="3024"/>
            <w:shd w:val="clear" w:color="auto" w:fill="F4F7FC"/>
          </w:tcPr>
          <w:p>
            <w:pPr>
              <w:spacing w:before="60" w:after="60"/>
              <w:ind w:left="80"/>
            </w:pPr>
            <w:r>
              <w:rPr>
                <w:rFonts w:ascii="Calibri" w:hAnsi="Calibri"/>
                <w:sz w:val="18"/>
              </w:rPr>
              <w:t>Readings recorded after adjustment. Must show instrument is within tolerance.</w:t>
            </w:r>
          </w:p>
        </w:tc>
      </w:tr>
      <w:tr>
        <w:tc>
          <w:tcPr>
            <w:tcW w:type="dxa" w:w="3024"/>
            <w:shd w:val="clear" w:color="auto" w:fill="FFFFFF"/>
          </w:tcPr>
          <w:p>
            <w:pPr>
              <w:spacing w:before="60" w:after="60"/>
              <w:ind w:left="80"/>
            </w:pPr>
            <w:r>
              <w:rPr>
                <w:rFonts w:ascii="Calibri" w:hAnsi="Calibri"/>
                <w:b/>
                <w:sz w:val="18"/>
              </w:rPr>
              <w:t>Calibration Standard(s) Used</w:t>
            </w:r>
          </w:p>
        </w:tc>
        <w:tc>
          <w:tcPr>
            <w:tcW w:type="dxa" w:w="3024"/>
            <w:shd w:val="clear" w:color="auto" w:fill="FFFFFF"/>
          </w:tcPr>
          <w:p>
            <w:pPr>
              <w:spacing w:before="60" w:after="60"/>
              <w:ind w:left="80"/>
            </w:pPr>
            <w:r>
              <w:rPr>
                <w:rFonts w:ascii="Calibri" w:hAnsi="Calibri"/>
                <w:b/>
                <w:color w:val="2E7D32"/>
                <w:sz w:val="18"/>
              </w:rPr>
              <w:t>REQUIRED</w:t>
            </w:r>
          </w:p>
        </w:tc>
        <w:tc>
          <w:tcPr>
            <w:tcW w:type="dxa" w:w="3024"/>
            <w:shd w:val="clear" w:color="auto" w:fill="FFFFFF"/>
          </w:tcPr>
          <w:p>
            <w:pPr>
              <w:spacing w:before="60" w:after="60"/>
              <w:ind w:left="80"/>
            </w:pPr>
            <w:r>
              <w:rPr>
                <w:rFonts w:ascii="Calibri" w:hAnsi="Calibri"/>
                <w:sz w:val="18"/>
              </w:rPr>
              <w:t>Reference standard used, including its serial number and NATA certificate reference. ISO 17025 Cl. 7.8.4(h)</w:t>
            </w:r>
          </w:p>
        </w:tc>
      </w:tr>
      <w:tr>
        <w:tc>
          <w:tcPr>
            <w:tcW w:type="dxa" w:w="3024"/>
            <w:shd w:val="clear" w:color="auto" w:fill="F4F7FC"/>
          </w:tcPr>
          <w:p>
            <w:pPr>
              <w:spacing w:before="60" w:after="60"/>
              <w:ind w:left="80"/>
            </w:pPr>
            <w:r>
              <w:rPr>
                <w:rFonts w:ascii="Calibri" w:hAnsi="Calibri"/>
                <w:b/>
                <w:sz w:val="18"/>
              </w:rPr>
              <w:t>Measurement Uncertainty</w:t>
            </w:r>
          </w:p>
        </w:tc>
        <w:tc>
          <w:tcPr>
            <w:tcW w:type="dxa" w:w="3024"/>
            <w:shd w:val="clear" w:color="auto" w:fill="F4F7FC"/>
          </w:tcPr>
          <w:p>
            <w:pPr>
              <w:spacing w:before="60" w:after="60"/>
              <w:ind w:left="80"/>
            </w:pPr>
            <w:r>
              <w:rPr>
                <w:rFonts w:ascii="Calibri" w:hAnsi="Calibri"/>
                <w:b/>
                <w:color w:val="2E7D32"/>
                <w:sz w:val="18"/>
              </w:rPr>
              <w:t>REQUIRED</w:t>
            </w:r>
          </w:p>
        </w:tc>
        <w:tc>
          <w:tcPr>
            <w:tcW w:type="dxa" w:w="3024"/>
            <w:shd w:val="clear" w:color="auto" w:fill="F4F7FC"/>
          </w:tcPr>
          <w:p>
            <w:pPr>
              <w:spacing w:before="60" w:after="60"/>
              <w:ind w:left="80"/>
            </w:pPr>
            <w:r>
              <w:rPr>
                <w:rFonts w:ascii="Calibri" w:hAnsi="Calibri"/>
                <w:sz w:val="18"/>
              </w:rPr>
              <w:t>Expanded uncertainty of measurement at stated coverage factor (typically k=2, ~95% confidence). ILAC-G24 / ISO 17025 Cl. 7.8.4(i)</w:t>
            </w:r>
          </w:p>
        </w:tc>
      </w:tr>
      <w:tr>
        <w:tc>
          <w:tcPr>
            <w:tcW w:type="dxa" w:w="3024"/>
            <w:shd w:val="clear" w:color="auto" w:fill="FFFFFF"/>
          </w:tcPr>
          <w:p>
            <w:pPr>
              <w:spacing w:before="60" w:after="60"/>
              <w:ind w:left="80"/>
            </w:pPr>
            <w:r>
              <w:rPr>
                <w:rFonts w:ascii="Calibri" w:hAnsi="Calibri"/>
                <w:b/>
                <w:sz w:val="18"/>
              </w:rPr>
              <w:t>Pass / Fail Declaration</w:t>
            </w:r>
          </w:p>
        </w:tc>
        <w:tc>
          <w:tcPr>
            <w:tcW w:type="dxa" w:w="3024"/>
            <w:shd w:val="clear" w:color="auto" w:fill="FFFFFF"/>
          </w:tcPr>
          <w:p>
            <w:pPr>
              <w:spacing w:before="60" w:after="60"/>
              <w:ind w:left="80"/>
            </w:pPr>
            <w:r>
              <w:rPr>
                <w:rFonts w:ascii="Calibri" w:hAnsi="Calibri"/>
                <w:b/>
                <w:color w:val="2E7D32"/>
                <w:sz w:val="18"/>
              </w:rPr>
              <w:t>REQUIRED</w:t>
            </w:r>
          </w:p>
        </w:tc>
        <w:tc>
          <w:tcPr>
            <w:tcW w:type="dxa" w:w="3024"/>
            <w:shd w:val="clear" w:color="auto" w:fill="FFFFFF"/>
          </w:tcPr>
          <w:p>
            <w:pPr>
              <w:spacing w:before="60" w:after="60"/>
              <w:ind w:left="80"/>
            </w:pPr>
            <w:r>
              <w:rPr>
                <w:rFonts w:ascii="Calibri" w:hAnsi="Calibri"/>
                <w:sz w:val="18"/>
              </w:rPr>
              <w:t>Clear statement that the instrument passed or failed calibration. ILAC-G24 decision rule must be applied when uncertainty overlaps tolerance.</w:t>
            </w:r>
          </w:p>
        </w:tc>
      </w:tr>
      <w:tr>
        <w:tc>
          <w:tcPr>
            <w:tcW w:type="dxa" w:w="3024"/>
            <w:shd w:val="clear" w:color="auto" w:fill="F4F7FC"/>
          </w:tcPr>
          <w:p>
            <w:pPr>
              <w:spacing w:before="60" w:after="60"/>
              <w:ind w:left="80"/>
            </w:pPr>
            <w:r>
              <w:rPr>
                <w:rFonts w:ascii="Calibri" w:hAnsi="Calibri"/>
                <w:b/>
                <w:sz w:val="18"/>
              </w:rPr>
              <w:t>Technician Signature &amp; ID</w:t>
            </w:r>
          </w:p>
        </w:tc>
        <w:tc>
          <w:tcPr>
            <w:tcW w:type="dxa" w:w="3024"/>
            <w:shd w:val="clear" w:color="auto" w:fill="F4F7FC"/>
          </w:tcPr>
          <w:p>
            <w:pPr>
              <w:spacing w:before="60" w:after="60"/>
              <w:ind w:left="80"/>
            </w:pPr>
            <w:r>
              <w:rPr>
                <w:rFonts w:ascii="Calibri" w:hAnsi="Calibri"/>
                <w:b/>
                <w:color w:val="2E7D32"/>
                <w:sz w:val="18"/>
              </w:rPr>
              <w:t>REQUIRED</w:t>
            </w:r>
          </w:p>
        </w:tc>
        <w:tc>
          <w:tcPr>
            <w:tcW w:type="dxa" w:w="3024"/>
            <w:shd w:val="clear" w:color="auto" w:fill="F4F7FC"/>
          </w:tcPr>
          <w:p>
            <w:pPr>
              <w:spacing w:before="60" w:after="60"/>
              <w:ind w:left="80"/>
            </w:pPr>
            <w:r>
              <w:rPr>
                <w:rFonts w:ascii="Calibri" w:hAnsi="Calibri"/>
                <w:sz w:val="18"/>
              </w:rPr>
              <w:t>Name and identifier of the calibrating technician. ISO 17025 Cl. 7.8.2(l)</w:t>
            </w:r>
          </w:p>
        </w:tc>
      </w:tr>
      <w:tr>
        <w:tc>
          <w:tcPr>
            <w:tcW w:type="dxa" w:w="3024"/>
            <w:shd w:val="clear" w:color="auto" w:fill="FFFFFF"/>
          </w:tcPr>
          <w:p>
            <w:pPr>
              <w:spacing w:before="60" w:after="60"/>
              <w:ind w:left="80"/>
            </w:pPr>
            <w:r>
              <w:rPr>
                <w:rFonts w:ascii="Calibri" w:hAnsi="Calibri"/>
                <w:b/>
                <w:sz w:val="18"/>
              </w:rPr>
              <w:t>Supervisor Review (if applicable)</w:t>
            </w:r>
          </w:p>
        </w:tc>
        <w:tc>
          <w:tcPr>
            <w:tcW w:type="dxa" w:w="3024"/>
            <w:shd w:val="clear" w:color="auto" w:fill="FFFFFF"/>
          </w:tcPr>
          <w:p>
            <w:pPr>
              <w:spacing w:before="60" w:after="60"/>
              <w:ind w:left="80"/>
            </w:pPr>
            <w:r>
              <w:rPr>
                <w:rFonts w:ascii="Calibri" w:hAnsi="Calibri"/>
                <w:b/>
                <w:color w:val="F57C00"/>
                <w:sz w:val="18"/>
              </w:rPr>
              <w:t>RECOMMENDED</w:t>
            </w:r>
          </w:p>
        </w:tc>
        <w:tc>
          <w:tcPr>
            <w:tcW w:type="dxa" w:w="3024"/>
            <w:shd w:val="clear" w:color="auto" w:fill="FFFFFF"/>
          </w:tcPr>
          <w:p>
            <w:pPr>
              <w:spacing w:before="60" w:after="60"/>
              <w:ind w:left="80"/>
            </w:pPr>
            <w:r>
              <w:rPr>
                <w:rFonts w:ascii="Calibri" w:hAnsi="Calibri"/>
                <w:sz w:val="18"/>
              </w:rPr>
              <w:t>For safety-critical instruments — a supervisor review and counter-signature is best practice.</w:t>
            </w:r>
          </w:p>
        </w:tc>
      </w:tr>
      <w:tr>
        <w:tc>
          <w:tcPr>
            <w:tcW w:type="dxa" w:w="3024"/>
            <w:shd w:val="clear" w:color="auto" w:fill="F4F7FC"/>
          </w:tcPr>
          <w:p>
            <w:pPr>
              <w:spacing w:before="60" w:after="60"/>
              <w:ind w:left="80"/>
            </w:pPr>
            <w:r>
              <w:rPr>
                <w:rFonts w:ascii="Calibri" w:hAnsi="Calibri"/>
                <w:b/>
                <w:sz w:val="18"/>
              </w:rPr>
              <w:t>Environmental Conditions</w:t>
            </w:r>
          </w:p>
        </w:tc>
        <w:tc>
          <w:tcPr>
            <w:tcW w:type="dxa" w:w="3024"/>
            <w:shd w:val="clear" w:color="auto" w:fill="F4F7FC"/>
          </w:tcPr>
          <w:p>
            <w:pPr>
              <w:spacing w:before="60" w:after="60"/>
              <w:ind w:left="80"/>
            </w:pPr>
            <w:r>
              <w:rPr>
                <w:rFonts w:ascii="Calibri" w:hAnsi="Calibri"/>
                <w:b/>
                <w:color w:val="F57C00"/>
                <w:sz w:val="18"/>
              </w:rPr>
              <w:t>RECOMMENDED</w:t>
            </w:r>
          </w:p>
        </w:tc>
        <w:tc>
          <w:tcPr>
            <w:tcW w:type="dxa" w:w="3024"/>
            <w:shd w:val="clear" w:color="auto" w:fill="F4F7FC"/>
          </w:tcPr>
          <w:p>
            <w:pPr>
              <w:spacing w:before="60" w:after="60"/>
              <w:ind w:left="80"/>
            </w:pPr>
            <w:r>
              <w:rPr>
                <w:rFonts w:ascii="Calibri" w:hAnsi="Calibri"/>
                <w:sz w:val="18"/>
              </w:rPr>
              <w:t>Temperature and humidity at time of calibration. Required for some metrology-critical calibrations.</w:t>
            </w:r>
          </w:p>
        </w:tc>
      </w:tr>
      <w:tr>
        <w:tc>
          <w:tcPr>
            <w:tcW w:type="dxa" w:w="3024"/>
            <w:shd w:val="clear" w:color="auto" w:fill="FFFFFF"/>
          </w:tcPr>
          <w:p>
            <w:pPr>
              <w:spacing w:before="60" w:after="60"/>
              <w:ind w:left="80"/>
            </w:pPr>
            <w:r>
              <w:rPr>
                <w:rFonts w:ascii="Calibri" w:hAnsi="Calibri"/>
                <w:b/>
                <w:sz w:val="18"/>
              </w:rPr>
              <w:t>Adjustment Notes</w:t>
            </w:r>
          </w:p>
        </w:tc>
        <w:tc>
          <w:tcPr>
            <w:tcW w:type="dxa" w:w="3024"/>
            <w:shd w:val="clear" w:color="auto" w:fill="FFFFFF"/>
          </w:tcPr>
          <w:p>
            <w:pPr>
              <w:spacing w:before="60" w:after="60"/>
              <w:ind w:left="80"/>
            </w:pPr>
            <w:r>
              <w:rPr>
                <w:rFonts w:ascii="Calibri" w:hAnsi="Calibri"/>
                <w:sz w:val="18"/>
              </w:rPr>
              <w:t>OPTIONAL</w:t>
            </w:r>
          </w:p>
        </w:tc>
        <w:tc>
          <w:tcPr>
            <w:tcW w:type="dxa" w:w="3024"/>
            <w:shd w:val="clear" w:color="auto" w:fill="FFFFFF"/>
          </w:tcPr>
          <w:p>
            <w:pPr>
              <w:spacing w:before="60" w:after="60"/>
              <w:ind w:left="80"/>
            </w:pPr>
            <w:r>
              <w:rPr>
                <w:rFonts w:ascii="Calibri" w:hAnsi="Calibri"/>
                <w:sz w:val="18"/>
              </w:rPr>
              <w:t>Description of any adjustments made, parts replaced, or special conditions.</w:t>
            </w:r>
          </w:p>
        </w:tc>
      </w:tr>
      <w:tr>
        <w:tc>
          <w:tcPr>
            <w:tcW w:type="dxa" w:w="3024"/>
            <w:shd w:val="clear" w:color="auto" w:fill="F4F7FC"/>
          </w:tcPr>
          <w:p>
            <w:pPr>
              <w:spacing w:before="60" w:after="60"/>
              <w:ind w:left="80"/>
            </w:pPr>
            <w:r>
              <w:rPr>
                <w:rFonts w:ascii="Calibri" w:hAnsi="Calibri"/>
                <w:b/>
                <w:sz w:val="18"/>
              </w:rPr>
              <w:t>IEC 61511 Reference (SIS instruments)</w:t>
            </w:r>
          </w:p>
        </w:tc>
        <w:tc>
          <w:tcPr>
            <w:tcW w:type="dxa" w:w="3024"/>
            <w:shd w:val="clear" w:color="auto" w:fill="F4F7FC"/>
          </w:tcPr>
          <w:p>
            <w:pPr>
              <w:spacing w:before="60" w:after="60"/>
              <w:ind w:left="80"/>
            </w:pPr>
            <w:r>
              <w:rPr>
                <w:rFonts w:ascii="Calibri" w:hAnsi="Calibri"/>
                <w:b/>
                <w:color w:val="F57C00"/>
                <w:sz w:val="18"/>
              </w:rPr>
              <w:t>RECOMMENDED</w:t>
            </w:r>
          </w:p>
        </w:tc>
        <w:tc>
          <w:tcPr>
            <w:tcW w:type="dxa" w:w="3024"/>
            <w:shd w:val="clear" w:color="auto" w:fill="F4F7FC"/>
          </w:tcPr>
          <w:p>
            <w:pPr>
              <w:spacing w:before="60" w:after="60"/>
              <w:ind w:left="80"/>
            </w:pPr>
            <w:r>
              <w:rPr>
                <w:rFonts w:ascii="Calibri" w:hAnsi="Calibri"/>
                <w:sz w:val="18"/>
              </w:rPr>
              <w:t>For Red-rated SIS instruments — reference to the proof test procedure and SIL rating.</w:t>
            </w:r>
          </w:p>
        </w:tc>
      </w:tr>
    </w:tbl>
    <w:p/>
    <w:tbl>
      <w:tblPr>
        <w:tblW w:type="auto" w:w="0"/>
        <w:tblLook w:firstColumn="1" w:firstRow="1" w:lastColumn="0" w:lastRow="0" w:noHBand="0" w:noVBand="1" w:val="04A0"/>
      </w:tblPr>
      <w:tblGrid>
        <w:gridCol w:w="9072"/>
      </w:tblGrid>
      <w:tr>
        <w:tc>
          <w:tcPr>
            <w:tcW w:type="dxa" w:w="9072"/>
            <w:shd w:val="clear" w:color="auto" w:fill="E8F5E9"/>
          </w:tcPr>
          <w:p>
            <w:pPr>
              <w:spacing w:before="160" w:after="160"/>
              <w:ind w:left="200" w:right="200"/>
            </w:pPr>
            <w:r>
              <w:rPr>
                <w:rFonts w:ascii="Calibri" w:hAnsi="Calibri"/>
                <w:b/>
                <w:color w:val="2E7D32"/>
                <w:sz w:val="22"/>
              </w:rPr>
              <w:t xml:space="preserve">VERDICT: </w:t>
            </w:r>
            <w:r>
              <w:rPr>
                <w:rFonts w:ascii="Calibri" w:hAnsi="Calibri"/>
                <w:color w:val="2E7D32"/>
                <w:sz w:val="22"/>
              </w:rPr>
              <w:t>VERDICT: CalCheq certificates should be reviewed against this field checklist. Any "REQUIRED" field that is missing makes the certificate non-compliant with ISO 17025. Measurement uncertainty is the most commonly missing field in in-house calibration certificates — ensure CalCheq either captures this or provides a field for the technician to enter it.</w:t>
            </w:r>
          </w:p>
        </w:tc>
      </w:tr>
    </w:tbl>
    <w:p/>
    <w:tbl>
      <w:tblPr>
        <w:tblW w:type="auto" w:w="0"/>
        <w:jc w:val="left"/>
        <w:tblLook w:firstColumn="1" w:firstRow="1" w:lastColumn="0" w:lastRow="0" w:noHBand="0" w:noVBand="1" w:val="04A0"/>
      </w:tblPr>
      <w:tblGrid>
        <w:gridCol w:w="9072"/>
      </w:tblGrid>
      <w:tr>
        <w:tc>
          <w:tcPr>
            <w:tcW w:type="dxa" w:w="9072"/>
            <w:shd w:val="clear" w:color="auto" w:fill="0B1F3A"/>
          </w:tcPr>
          <w:p>
            <w:pPr>
              <w:spacing w:before="160" w:after="160"/>
              <w:ind w:left="200"/>
            </w:pPr>
            <w:r>
              <w:rPr>
                <w:rFonts w:ascii="Calibri" w:hAnsi="Calibri"/>
                <w:b/>
                <w:color w:val="FFFFFF"/>
                <w:sz w:val="26"/>
              </w:rPr>
              <w:t>Part B: Instrument Criticality Ranking — Feature Specification</w:t>
            </w:r>
          </w:p>
        </w:tc>
      </w:tr>
    </w:tbl>
    <w:p/>
    <w:p>
      <w:pPr>
        <w:spacing w:after="160"/>
      </w:pPr>
      <w:r>
        <w:rPr>
          <w:rFonts w:ascii="Calibri" w:hAnsi="Calibri"/>
          <w:sz w:val="22"/>
        </w:rPr>
        <w:t>This section defines the instrument criticality ranking feature for implementation in CalCheq. Criticality ranking allows instruments to be classified by their safety and operational impact, and for the overdue dashboard to be sorted by risk rather than just date.</w:t>
      </w:r>
    </w:p>
    <w:p>
      <w:pPr>
        <w:spacing w:before="280" w:after="80"/>
      </w:pPr>
      <w:r>
        <w:rPr>
          <w:rFonts w:ascii="Calibri" w:hAnsi="Calibri"/>
          <w:b/>
          <w:color w:val="1565C0"/>
          <w:sz w:val="26"/>
        </w:rPr>
        <w:t>B1. The Three-Tier Criticality Model</w:t>
      </w:r>
    </w:p>
    <w:tbl>
      <w:tblPr>
        <w:tblW w:type="auto" w:w="0"/>
        <w:tblLook w:firstColumn="1" w:firstRow="1" w:lastColumn="0" w:lastRow="0" w:noHBand="0" w:noVBand="1" w:val="04A0"/>
      </w:tblPr>
      <w:tblGrid>
        <w:gridCol w:w="9072"/>
      </w:tblGrid>
      <w:tr>
        <w:tc>
          <w:tcPr>
            <w:tcW w:type="dxa" w:w="9072"/>
            <w:shd w:val="clear" w:color="auto" w:fill="F4F7FC"/>
          </w:tcPr>
          <w:p>
            <w:pPr>
              <w:spacing w:before="160" w:after="40"/>
              <w:ind w:left="160"/>
            </w:pPr>
            <w:r>
              <w:rPr>
                <w:rFonts w:ascii="Calibri" w:hAnsi="Calibri"/>
                <w:b/>
                <w:color w:val="C62828"/>
                <w:sz w:val="24"/>
              </w:rPr>
              <w:t>🔴 RED — Safety Instrumented System (SIS) / Trip</w:t>
            </w:r>
          </w:p>
        </w:tc>
      </w:tr>
    </w:tbl>
    <w:p/>
    <w:p>
      <w:pPr>
        <w:pStyle w:val="ListBullet"/>
        <w:spacing w:after="80"/>
      </w:pPr>
      <w:r>
        <w:rPr>
          <w:rFonts w:ascii="Calibri" w:hAnsi="Calibri"/>
          <w:sz w:val="20"/>
        </w:rPr>
        <w:t>Definition: Instrument is part of a Safety Instrumented System (SIS) or has a trip/shutdown function. A failure or inaccurate reading can cause a plant trip, process upset, or catastrophic failure (fire, explosion, personnel injury).</w:t>
      </w:r>
    </w:p>
    <w:p>
      <w:pPr>
        <w:pStyle w:val="ListBullet"/>
        <w:spacing w:after="80"/>
      </w:pPr>
      <w:r>
        <w:rPr>
          <w:rFonts w:ascii="Calibri" w:hAnsi="Calibri"/>
          <w:sz w:val="20"/>
        </w:rPr>
        <w:t>Examples: High-high pressure switches (PSH/PSHH), high-high temperature switches (TSH/TSHH), emergency shutdown valves (ESVs), safety relief valve pilots, SIS flow transmitters, SIL-rated instruments.</w:t>
      </w:r>
    </w:p>
    <w:p>
      <w:pPr>
        <w:pStyle w:val="ListBullet"/>
        <w:spacing w:after="80"/>
      </w:pPr>
      <w:r>
        <w:rPr>
          <w:rFonts w:ascii="Calibri" w:hAnsi="Calibri"/>
          <w:sz w:val="20"/>
        </w:rPr>
        <w:t>Dashboard behaviour: Red instruments appear at the TOP of all overdue and due-soon lists, regardless of how long they have been overdue. An overdue Red instrument triggers an immediate email alert to the site supervisor.</w:t>
      </w:r>
    </w:p>
    <w:p>
      <w:pPr>
        <w:pStyle w:val="ListBullet"/>
        <w:spacing w:after="80"/>
      </w:pPr>
      <w:r>
        <w:rPr>
          <w:rFonts w:ascii="Calibri" w:hAnsi="Calibri"/>
          <w:sz w:val="20"/>
        </w:rPr>
        <w:t>Calibration interval: Red instruments typically require more frequent calibration (annual or 6-monthly) and proof testing per IEC 61511.</w:t>
      </w:r>
    </w:p>
    <w:p>
      <w:pPr>
        <w:pStyle w:val="ListBullet"/>
        <w:spacing w:after="80"/>
      </w:pPr>
      <w:r>
        <w:rPr>
          <w:rFonts w:ascii="Calibri" w:hAnsi="Calibri"/>
          <w:sz w:val="20"/>
        </w:rPr>
        <w:t>Certificate note: Certificates for Red instruments should reference IEC 61511 proof test requirements.</w:t>
      </w:r>
    </w:p>
    <w:p>
      <w:pPr>
        <w:pStyle w:val="ListBullet"/>
        <w:spacing w:after="80"/>
      </w:pPr>
      <w:r>
        <w:rPr>
          <w:rFonts w:ascii="Calibri" w:hAnsi="Calibri"/>
          <w:sz w:val="20"/>
        </w:rPr>
        <w:t>Applicable compliance: IEC 61511 / AS 61511, ISO/IEC 17025</w:t>
      </w:r>
    </w:p>
    <w:p/>
    <w:tbl>
      <w:tblPr>
        <w:tblW w:type="auto" w:w="0"/>
        <w:tblLook w:firstColumn="1" w:firstRow="1" w:lastColumn="0" w:lastRow="0" w:noHBand="0" w:noVBand="1" w:val="04A0"/>
      </w:tblPr>
      <w:tblGrid>
        <w:gridCol w:w="9072"/>
      </w:tblGrid>
      <w:tr>
        <w:tc>
          <w:tcPr>
            <w:tcW w:type="dxa" w:w="9072"/>
            <w:shd w:val="clear" w:color="auto" w:fill="F4F7FC"/>
          </w:tcPr>
          <w:p>
            <w:pPr>
              <w:spacing w:before="160" w:after="40"/>
              <w:ind w:left="160"/>
            </w:pPr>
            <w:r>
              <w:rPr>
                <w:rFonts w:ascii="Calibri" w:hAnsi="Calibri"/>
                <w:b/>
                <w:color w:val="F9A825"/>
                <w:sz w:val="24"/>
              </w:rPr>
              <w:t>🟡 YELLOW — Controller / Process Control</w:t>
            </w:r>
          </w:p>
        </w:tc>
      </w:tr>
    </w:tbl>
    <w:p/>
    <w:p>
      <w:pPr>
        <w:pStyle w:val="ListBullet"/>
        <w:spacing w:after="80"/>
      </w:pPr>
      <w:r>
        <w:rPr>
          <w:rFonts w:ascii="Calibri" w:hAnsi="Calibri"/>
          <w:sz w:val="20"/>
        </w:rPr>
        <w:t>Definition: Instrument has a control function — its output drives a process variable. An out-of-calibration controller will affect product quality, throughput, or equipment condition. It will not cause a plant trip but will affect operational performance.</w:t>
      </w:r>
    </w:p>
    <w:p>
      <w:pPr>
        <w:pStyle w:val="ListBullet"/>
        <w:spacing w:after="80"/>
      </w:pPr>
      <w:r>
        <w:rPr>
          <w:rFonts w:ascii="Calibri" w:hAnsi="Calibri"/>
          <w:sz w:val="20"/>
        </w:rPr>
        <w:t>Examples: Pressure transmitters controlling compressors (PIC/PT), flow controllers dosing reagents (FIC/FT), level transmitters controlling feed rates (LIC/LT), temperature controllers on heat exchangers (TIC/TT).</w:t>
      </w:r>
    </w:p>
    <w:p>
      <w:pPr>
        <w:pStyle w:val="ListBullet"/>
        <w:spacing w:after="80"/>
      </w:pPr>
      <w:r>
        <w:rPr>
          <w:rFonts w:ascii="Calibri" w:hAnsi="Calibri"/>
          <w:sz w:val="20"/>
        </w:rPr>
        <w:t>Dashboard behaviour: Yellow instruments appear second in overdue and due-soon lists, after Red instruments. Email alert sent when a Yellow instrument passes 80% of its calibration interval.</w:t>
      </w:r>
    </w:p>
    <w:p>
      <w:pPr>
        <w:pStyle w:val="ListBullet"/>
        <w:spacing w:after="80"/>
      </w:pPr>
      <w:r>
        <w:rPr>
          <w:rFonts w:ascii="Calibri" w:hAnsi="Calibri"/>
          <w:sz w:val="20"/>
        </w:rPr>
        <w:t>Applicable compliance: ISO 9001:2015, AS/NZS ISO/IEC 17025</w:t>
      </w:r>
    </w:p>
    <w:p/>
    <w:tbl>
      <w:tblPr>
        <w:tblW w:type="auto" w:w="0"/>
        <w:tblLook w:firstColumn="1" w:firstRow="1" w:lastColumn="0" w:lastRow="0" w:noHBand="0" w:noVBand="1" w:val="04A0"/>
      </w:tblPr>
      <w:tblGrid>
        <w:gridCol w:w="9072"/>
      </w:tblGrid>
      <w:tr>
        <w:tc>
          <w:tcPr>
            <w:tcW w:type="dxa" w:w="9072"/>
            <w:shd w:val="clear" w:color="auto" w:fill="F4F7FC"/>
          </w:tcPr>
          <w:p>
            <w:pPr>
              <w:spacing w:before="160" w:after="40"/>
              <w:ind w:left="160"/>
            </w:pPr>
            <w:r>
              <w:rPr>
                <w:rFonts w:ascii="Calibri" w:hAnsi="Calibri"/>
                <w:b/>
                <w:color w:val="2E7D32"/>
                <w:sz w:val="24"/>
              </w:rPr>
              <w:t>🟢 GREEN — Indication Only</w:t>
            </w:r>
          </w:p>
        </w:tc>
      </w:tr>
    </w:tbl>
    <w:p/>
    <w:p>
      <w:pPr>
        <w:pStyle w:val="ListBullet"/>
        <w:spacing w:after="80"/>
      </w:pPr>
      <w:r>
        <w:rPr>
          <w:rFonts w:ascii="Calibri" w:hAnsi="Calibri"/>
          <w:sz w:val="20"/>
        </w:rPr>
        <w:t>Definition: Instrument is indication only — its reading is used for monitoring but does not drive any control action, trip, or safety function. An out-of-calibration Green instrument causes incorrect readings but no direct operational or safety consequence.</w:t>
      </w:r>
    </w:p>
    <w:p>
      <w:pPr>
        <w:pStyle w:val="ListBullet"/>
        <w:spacing w:after="80"/>
      </w:pPr>
      <w:r>
        <w:rPr>
          <w:rFonts w:ascii="Calibri" w:hAnsi="Calibri"/>
          <w:sz w:val="20"/>
        </w:rPr>
        <w:t>Examples: Local pressure gauges, temperature indicators (TI), flow indicators (FI), sample point transmitters, non-critical level indicators.</w:t>
      </w:r>
    </w:p>
    <w:p>
      <w:pPr>
        <w:pStyle w:val="ListBullet"/>
        <w:spacing w:after="80"/>
      </w:pPr>
      <w:r>
        <w:rPr>
          <w:rFonts w:ascii="Calibri" w:hAnsi="Calibri"/>
          <w:sz w:val="20"/>
        </w:rPr>
        <w:t>Dashboard behaviour: Green instruments appear at the bottom of overdue and due-soon lists. Alert sent on the calibration due date.</w:t>
      </w:r>
    </w:p>
    <w:p>
      <w:pPr>
        <w:pStyle w:val="ListBullet"/>
        <w:spacing w:after="80"/>
      </w:pPr>
      <w:r>
        <w:rPr>
          <w:rFonts w:ascii="Calibri" w:hAnsi="Calibri"/>
          <w:sz w:val="20"/>
        </w:rPr>
        <w:t>Note: Green instruments may still require calibration for ISO 9001 or audit purposes — they should not be removed from the calibration schedule, just de-prioritised.</w:t>
      </w:r>
    </w:p>
    <w:p/>
    <w:p>
      <w:pPr>
        <w:spacing w:before="280" w:after="80"/>
      </w:pPr>
      <w:r>
        <w:rPr>
          <w:rFonts w:ascii="Calibri" w:hAnsi="Calibri"/>
          <w:b/>
          <w:color w:val="1565C0"/>
          <w:sz w:val="26"/>
        </w:rPr>
        <w:t>B2. Instrument Setup — UI Specification</w:t>
      </w:r>
    </w:p>
    <w:p>
      <w:pPr>
        <w:spacing w:after="160"/>
      </w:pPr>
      <w:r>
        <w:rPr>
          <w:rFonts w:ascii="Calibri" w:hAnsi="Calibri"/>
          <w:sz w:val="22"/>
        </w:rPr>
        <w:t>When adding or editing an instrument in CalCheq, the criticality field should be a mandatory dropdown (not optional) with three choices:</w:t>
      </w:r>
    </w:p>
    <w:p>
      <w:pPr>
        <w:pStyle w:val="ListBullet"/>
        <w:spacing w:after="80"/>
      </w:pPr>
      <w:r>
        <w:rPr>
          <w:rFonts w:ascii="Calibri" w:hAnsi="Calibri"/>
          <w:sz w:val="20"/>
        </w:rPr>
        <w:t>Red — SIS / Trip (this instrument is part of a Safety Instrumented System or has a trip/shutdown function)</w:t>
      </w:r>
    </w:p>
    <w:p>
      <w:pPr>
        <w:pStyle w:val="ListBullet"/>
        <w:spacing w:after="80"/>
      </w:pPr>
      <w:r>
        <w:rPr>
          <w:rFonts w:ascii="Calibri" w:hAnsi="Calibri"/>
          <w:sz w:val="20"/>
        </w:rPr>
        <w:t>Yellow — Controller (this instrument controls a process variable and affects operations)</w:t>
      </w:r>
    </w:p>
    <w:p>
      <w:pPr>
        <w:pStyle w:val="ListBullet"/>
        <w:spacing w:after="80"/>
      </w:pPr>
      <w:r>
        <w:rPr>
          <w:rFonts w:ascii="Calibri" w:hAnsi="Calibri"/>
          <w:sz w:val="20"/>
        </w:rPr>
        <w:t>Green — Indication Only (this instrument is for monitoring only — no control or trip function)</w:t>
      </w:r>
    </w:p>
    <w:p>
      <w:pPr>
        <w:spacing w:after="160"/>
      </w:pPr>
      <w:r>
        <w:rPr>
          <w:rFonts w:ascii="Calibri" w:hAnsi="Calibri"/>
          <w:color w:val="5A6B7B"/>
          <w:sz w:val="20"/>
        </w:rPr>
        <w:t>Recommend adding a "Help me choose" tooltip next to the criticality field with a 3-row table showing the definitions, examples, and impact of each level.</w:t>
      </w:r>
    </w:p>
    <w:p>
      <w:pPr>
        <w:spacing w:before="280" w:after="80"/>
      </w:pPr>
      <w:r>
        <w:rPr>
          <w:rFonts w:ascii="Calibri" w:hAnsi="Calibri"/>
          <w:b/>
          <w:color w:val="1565C0"/>
          <w:sz w:val="26"/>
        </w:rPr>
        <w:t>B3. Dashboard Sorting Logic — Overdue Instruments</w:t>
      </w:r>
    </w:p>
    <w:p>
      <w:pPr>
        <w:spacing w:after="160"/>
      </w:pPr>
      <w:r>
        <w:rPr>
          <w:rFonts w:ascii="Calibri" w:hAnsi="Calibri"/>
          <w:sz w:val="22"/>
        </w:rPr>
        <w:t>The overdue instruments dashboard should have two sort modes accessible via buttons:</w:t>
      </w:r>
    </w:p>
    <w:p>
      <w:pPr>
        <w:pStyle w:val="ListBullet"/>
        <w:spacing w:after="80"/>
      </w:pPr>
      <w:r>
        <w:rPr>
          <w:rFonts w:ascii="Calibri" w:hAnsi="Calibri"/>
          <w:sz w:val="20"/>
        </w:rPr>
        <w:t>Sort by Risk (Default): Overdue instruments sorted Red first → Yellow second → Green third. Within each criticality tier, sorted by days overdue (most overdue first).</w:t>
      </w:r>
    </w:p>
    <w:p>
      <w:pPr>
        <w:pStyle w:val="ListBullet"/>
        <w:spacing w:after="80"/>
      </w:pPr>
      <w:r>
        <w:rPr>
          <w:rFonts w:ascii="Calibri" w:hAnsi="Calibri"/>
          <w:sz w:val="20"/>
        </w:rPr>
        <w:t>Sort by Due Date: Traditional sort by days overdue, ignoring criticality level. Useful for planning work order schedules.</w:t>
      </w:r>
    </w:p>
    <w:p>
      <w:pPr>
        <w:pStyle w:val="ListBullet"/>
        <w:spacing w:after="80"/>
      </w:pPr>
      <w:r>
        <w:rPr>
          <w:rFonts w:ascii="Calibri" w:hAnsi="Calibri"/>
          <w:sz w:val="20"/>
        </w:rPr>
        <w:t>Sort by Area: Group by process area or location. Useful for planning a field day in a specific area of the plant.</w:t>
      </w:r>
    </w:p>
    <w:p>
      <w:pPr>
        <w:spacing w:before="280" w:after="80"/>
      </w:pPr>
      <w:r>
        <w:rPr>
          <w:rFonts w:ascii="Calibri" w:hAnsi="Calibri"/>
          <w:b/>
          <w:color w:val="1565C0"/>
          <w:sz w:val="26"/>
        </w:rPr>
        <w:t>B4. Colour Coding Throughout the Interface</w:t>
      </w:r>
    </w:p>
    <w:p>
      <w:pPr>
        <w:spacing w:after="160"/>
      </w:pPr>
      <w:r>
        <w:rPr>
          <w:rFonts w:ascii="Calibri" w:hAnsi="Calibri"/>
          <w:sz w:val="22"/>
        </w:rPr>
        <w:t>The traffic light colours should be applied consistently throughout CalCheq:</w:t>
      </w:r>
    </w:p>
    <w:p>
      <w:pPr>
        <w:pStyle w:val="ListBullet"/>
        <w:spacing w:after="80"/>
      </w:pPr>
      <w:r>
        <w:rPr>
          <w:rFonts w:ascii="Calibri" w:hAnsi="Calibri"/>
          <w:b/>
          <w:sz w:val="20"/>
        </w:rPr>
        <w:t xml:space="preserve">Instrument list / register: </w:t>
      </w:r>
      <w:r>
        <w:rPr>
          <w:rFonts w:ascii="Calibri" w:hAnsi="Calibri"/>
          <w:sz w:val="20"/>
        </w:rPr>
        <w:t>Coloured dot or badge next to each instrument's tag number</w:t>
      </w:r>
    </w:p>
    <w:p>
      <w:pPr>
        <w:pStyle w:val="ListBullet"/>
        <w:spacing w:after="80"/>
      </w:pPr>
      <w:r>
        <w:rPr>
          <w:rFonts w:ascii="Calibri" w:hAnsi="Calibri"/>
          <w:b/>
          <w:sz w:val="20"/>
        </w:rPr>
        <w:t xml:space="preserve">Overdue dashboard: </w:t>
      </w:r>
      <w:r>
        <w:rPr>
          <w:rFonts w:ascii="Calibri" w:hAnsi="Calibri"/>
          <w:sz w:val="20"/>
        </w:rPr>
        <w:t>Row background tint (light red/yellow/green) or left border colour</w:t>
      </w:r>
    </w:p>
    <w:p>
      <w:pPr>
        <w:pStyle w:val="ListBullet"/>
        <w:spacing w:after="80"/>
      </w:pPr>
      <w:r>
        <w:rPr>
          <w:rFonts w:ascii="Calibri" w:hAnsi="Calibri"/>
          <w:b/>
          <w:sz w:val="20"/>
        </w:rPr>
        <w:t xml:space="preserve">Dashboard KPI cards: </w:t>
      </w:r>
      <w:r>
        <w:rPr>
          <w:rFonts w:ascii="Calibri" w:hAnsi="Calibri"/>
          <w:sz w:val="20"/>
        </w:rPr>
        <w:t>Show count of overdue instruments broken down by Red/Yellow/Green</w:t>
      </w:r>
    </w:p>
    <w:p>
      <w:pPr>
        <w:pStyle w:val="ListBullet"/>
        <w:spacing w:after="80"/>
      </w:pPr>
      <w:r>
        <w:rPr>
          <w:rFonts w:ascii="Calibri" w:hAnsi="Calibri"/>
          <w:b/>
          <w:sz w:val="20"/>
        </w:rPr>
        <w:t xml:space="preserve">Calibration certificates: </w:t>
      </w:r>
      <w:r>
        <w:rPr>
          <w:rFonts w:ascii="Calibri" w:hAnsi="Calibri"/>
          <w:sz w:val="20"/>
        </w:rPr>
        <w:t>Criticality level shown on the certificate (text label, not colour — colour may not print clearly)</w:t>
      </w:r>
    </w:p>
    <w:p>
      <w:pPr>
        <w:pStyle w:val="ListBullet"/>
        <w:spacing w:after="80"/>
      </w:pPr>
      <w:r>
        <w:rPr>
          <w:rFonts w:ascii="Calibri" w:hAnsi="Calibri"/>
          <w:b/>
          <w:sz w:val="20"/>
        </w:rPr>
        <w:t xml:space="preserve">Email alerts: </w:t>
      </w:r>
      <w:r>
        <w:rPr>
          <w:rFonts w:ascii="Calibri" w:hAnsi="Calibri"/>
          <w:sz w:val="20"/>
        </w:rPr>
        <w:t>Subject line includes criticality level: "[RED INSTRUMENT OVERDUE] PSH-2401 — Action Required"</w:t>
      </w:r>
    </w:p>
    <w:p>
      <w:pPr>
        <w:pStyle w:val="ListBullet"/>
        <w:spacing w:after="80"/>
      </w:pPr>
      <w:r>
        <w:rPr>
          <w:rFonts w:ascii="Calibri" w:hAnsi="Calibri"/>
          <w:b/>
          <w:sz w:val="20"/>
        </w:rPr>
        <w:t xml:space="preserve">Reports: </w:t>
      </w:r>
      <w:r>
        <w:rPr>
          <w:rFonts w:ascii="Calibri" w:hAnsi="Calibri"/>
          <w:sz w:val="20"/>
        </w:rPr>
        <w:t>Filter and group by criticality. Show compliance rate separately for Red, Yellow, and Green instruments.</w:t>
      </w:r>
    </w:p>
    <w:p>
      <w:pPr>
        <w:spacing w:before="280" w:after="80"/>
      </w:pPr>
      <w:r>
        <w:rPr>
          <w:rFonts w:ascii="Calibri" w:hAnsi="Calibri"/>
          <w:b/>
          <w:color w:val="1565C0"/>
          <w:sz w:val="26"/>
        </w:rPr>
        <w:t>B5. Applying Criticality to Existing Instruments</w:t>
      </w:r>
    </w:p>
    <w:p>
      <w:pPr>
        <w:spacing w:after="160"/>
      </w:pPr>
      <w:r>
        <w:rPr>
          <w:rFonts w:ascii="Calibri" w:hAnsi="Calibri"/>
          <w:sz w:val="22"/>
        </w:rPr>
        <w:t>For new CalCheq users importing existing instruments, criticality cannot be auto-detected from a tag number or description alone — it requires knowledge of the plant. Recommended approach:</w:t>
      </w:r>
    </w:p>
    <w:p>
      <w:pPr>
        <w:pStyle w:val="ListBullet"/>
        <w:spacing w:after="80"/>
      </w:pPr>
      <w:r>
        <w:rPr>
          <w:rFonts w:ascii="Calibri" w:hAnsi="Calibri"/>
          <w:sz w:val="20"/>
        </w:rPr>
        <w:t>Add "Criticality" as a column to the CalCheq Import Template. Document the three options in the template guidance notes.</w:t>
      </w:r>
    </w:p>
    <w:p>
      <w:pPr>
        <w:pStyle w:val="ListBullet"/>
        <w:spacing w:after="80"/>
      </w:pPr>
      <w:r>
        <w:rPr>
          <w:rFonts w:ascii="Calibri" w:hAnsi="Calibri"/>
          <w:sz w:val="20"/>
        </w:rPr>
        <w:t>During the pilot onboarding session, prompt the client to review their imported instrument list and assign criticality levels.</w:t>
      </w:r>
    </w:p>
    <w:p>
      <w:pPr>
        <w:pStyle w:val="ListBullet"/>
        <w:spacing w:after="80"/>
      </w:pPr>
      <w:r>
        <w:rPr>
          <w:rFonts w:ascii="Calibri" w:hAnsi="Calibri"/>
          <w:sz w:val="20"/>
        </w:rPr>
        <w:t>For large instrument lists (500+ instruments), suggest the client starts with a "triage" approach: identify all PSH/PSHH, TSH/TSHH, LSHH, FSL tags and mark as Red, then review the remainder.</w:t>
      </w:r>
    </w:p>
    <w:p>
      <w:pPr>
        <w:pStyle w:val="ListBullet"/>
        <w:spacing w:after="80"/>
      </w:pPr>
      <w:r>
        <w:rPr>
          <w:rFonts w:ascii="Calibri" w:hAnsi="Calibri"/>
          <w:sz w:val="20"/>
        </w:rPr>
        <w:t>Provide a "Bulk Edit Criticality" function in the UI — allow the user to select multiple instruments and assign a criticality level in one action.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1F3A"/>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1F3A"/>
      <w:sz w:val="32"/>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0B1F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