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E40AF" w:val="clear"/>
            <w:tcMar>
              <w:top w:type="dxa" w:w="3200"/>
              <w:left w:type="dxa" w:w="1440"/>
              <w:bottom w:type="dxa" w:w="1440"/>
              <w:right w:type="dxa" w:w="1440"/>
            </w:tcMar>
          </w:tcPr>
          <w:p>
            <w:pPr>
              <w:spacing w:after="160"/>
            </w:pPr>
            <w:r>
              <w:rPr>
                <w:rFonts w:ascii="Arial" w:cs="Arial" w:eastAsia="Arial" w:hAnsi="Arial"/>
                <w:b/>
                <w:bCs/>
                <w:color w:val="FFFFFF"/>
                <w:sz w:val="64"/>
                <w:szCs w:val="64"/>
              </w:rPr>
              <w:t xml:space="preserve">CalTrack Pro</w:t>
            </w:r>
          </w:p>
          <w:p>
            <w:pPr>
              <w:spacing w:after="120"/>
            </w:pPr>
            <w:r>
              <w:rPr>
                <w:rFonts w:ascii="Arial" w:cs="Arial" w:eastAsia="Arial" w:hAnsi="Arial"/>
                <w:b/>
                <w:bCs/>
                <w:color w:val="BFDBFE"/>
                <w:sz w:val="48"/>
                <w:szCs w:val="48"/>
              </w:rPr>
              <w:t xml:space="preserve">MEX to CalTrack Pro</w:t>
            </w:r>
          </w:p>
          <w:p>
            <w:pPr>
              <w:spacing w:after="400"/>
            </w:pPr>
            <w:r>
              <w:rPr>
                <w:rFonts w:ascii="Arial" w:cs="Arial" w:eastAsia="Arial" w:hAnsi="Arial"/>
                <w:color w:val="93C5FD"/>
                <w:sz w:val="36"/>
                <w:szCs w:val="36"/>
              </w:rPr>
              <w:t xml:space="preserve">Instrument Migration Guide</w:t>
            </w:r>
          </w:p>
          <w:p>
            <w:r>
              <w:rPr>
                <w:rFonts w:ascii="Arial" w:cs="Arial" w:eastAsia="Arial" w:hAnsi="Arial"/>
                <w:color w:val="BFDBFE"/>
                <w:sz w:val="22"/>
                <w:szCs w:val="22"/>
              </w:rPr>
              <w:t xml:space="preserve">Step-by-step instructions for exporting from MEX and importing into CalTrack Pro via CSV</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FFFFFF" w:val="clear"/>
            <w:tcMar>
              <w:top w:type="dxa" w:w="1440"/>
              <w:left w:type="dxa" w:w="1440"/>
              <w:bottom w:type="dxa" w:w="1440"/>
              <w:right w:type="dxa" w:w="1440"/>
            </w:tcMar>
          </w:tcPr>
          <w:p>
            <w:pPr>
              <w:spacing w:after="180"/>
            </w:pPr>
            <w:r>
              <w:rPr>
                <w:rFonts w:ascii="Arial" w:cs="Arial" w:eastAsia="Arial" w:hAnsi="Arial"/>
                <w:b/>
                <w:bCs/>
                <w:color w:val="1E293B"/>
                <w:sz w:val="24"/>
                <w:szCs w:val="24"/>
              </w:rPr>
              <w:t xml:space="preserve">What this guide covers:</w:t>
            </w:r>
          </w:p>
          <w:p>
            <w:pPr>
              <w:pStyle w:val="ListParagraph"/>
              <w:numPr>
                <w:ilvl w:val="0"/>
                <w:numId w:val="2"/>
              </w:numPr>
              <w:spacing w:after="80"/>
            </w:pPr>
            <w:r>
              <w:rPr>
                <w:rFonts w:ascii="Arial" w:cs="Arial" w:eastAsia="Arial" w:hAnsi="Arial"/>
                <w:color w:val="64748B"/>
                <w:sz w:val="21"/>
                <w:szCs w:val="21"/>
              </w:rPr>
              <w:t xml:space="preserve">How to export your MEX equipment register</w:t>
            </w:r>
          </w:p>
          <w:p>
            <w:pPr>
              <w:pStyle w:val="ListParagraph"/>
              <w:numPr>
                <w:ilvl w:val="0"/>
                <w:numId w:val="2"/>
              </w:numPr>
              <w:spacing w:after="80"/>
            </w:pPr>
            <w:r>
              <w:rPr>
                <w:rFonts w:ascii="Arial" w:cs="Arial" w:eastAsia="Arial" w:hAnsi="Arial"/>
                <w:color w:val="64748B"/>
                <w:sz w:val="21"/>
                <w:szCs w:val="21"/>
              </w:rPr>
              <w:t xml:space="preserve">Preparing and cleaning the CSV file in Excel</w:t>
            </w:r>
          </w:p>
          <w:p>
            <w:pPr>
              <w:pStyle w:val="ListParagraph"/>
              <w:numPr>
                <w:ilvl w:val="0"/>
                <w:numId w:val="2"/>
              </w:numPr>
              <w:spacing w:after="80"/>
            </w:pPr>
            <w:r>
              <w:rPr>
                <w:rFonts w:ascii="Arial" w:cs="Arial" w:eastAsia="Arial" w:hAnsi="Arial"/>
                <w:color w:val="64748B"/>
                <w:sz w:val="21"/>
                <w:szCs w:val="21"/>
              </w:rPr>
              <w:t xml:space="preserve">Mapping MEX columns to CalTrack Pro fields</w:t>
            </w:r>
          </w:p>
          <w:p>
            <w:pPr>
              <w:pStyle w:val="ListParagraph"/>
              <w:numPr>
                <w:ilvl w:val="0"/>
                <w:numId w:val="2"/>
              </w:numPr>
              <w:spacing w:after="80"/>
            </w:pPr>
            <w:r>
              <w:rPr>
                <w:rFonts w:ascii="Arial" w:cs="Arial" w:eastAsia="Arial" w:hAnsi="Arial"/>
                <w:color w:val="64748B"/>
                <w:sz w:val="21"/>
                <w:szCs w:val="21"/>
              </w:rPr>
              <w:t xml:space="preserve">Running the import script to create all instruments</w:t>
            </w:r>
          </w:p>
          <w:p>
            <w:pPr>
              <w:pStyle w:val="ListParagraph"/>
              <w:numPr>
                <w:ilvl w:val="0"/>
                <w:numId w:val="2"/>
              </w:numPr>
              <w:spacing w:after="80"/>
            </w:pPr>
            <w:r>
              <w:rPr>
                <w:rFonts w:ascii="Arial" w:cs="Arial" w:eastAsia="Arial" w:hAnsi="Arial"/>
                <w:color w:val="64748B"/>
                <w:sz w:val="21"/>
                <w:szCs w:val="21"/>
              </w:rPr>
              <w:t xml:space="preserve">Validating the import and resolving errors</w:t>
            </w:r>
          </w:p>
          <w:p>
            <w:pPr>
              <w:pStyle w:val="ListParagraph"/>
              <w:numPr>
                <w:ilvl w:val="0"/>
                <w:numId w:val="2"/>
              </w:numPr>
              <w:spacing w:after="80"/>
            </w:pPr>
            <w:r>
              <w:rPr>
                <w:rFonts w:ascii="Arial" w:cs="Arial" w:eastAsia="Arial" w:hAnsi="Arial"/>
                <w:color w:val="64748B"/>
                <w:sz w:val="21"/>
                <w:szCs w:val="21"/>
              </w:rPr>
              <w:t xml:space="preserve">Bringing across calibration history (optional)</w:t>
            </w:r>
          </w:p>
          <w:p>
            <w:pPr>
              <w:spacing w:after="400"/>
            </w:pPr>
            <w:r>
              <w:t xml:space="preserve"/>
            </w:r>
          </w:p>
          <w:p>
            <w:r>
              <w:rPr>
                <w:rFonts w:ascii="Arial" w:cs="Arial" w:eastAsia="Arial" w:hAnsi="Arial"/>
                <w:i/>
                <w:iCs/>
                <w:color w:val="64748B"/>
                <w:sz w:val="20"/>
                <w:szCs w:val="20"/>
              </w:rPr>
              <w:t xml:space="preserve">Approximate migration time for 500 instruments: 2–4 hours</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F1F5F9" w:val="clear"/>
            <w:tcMar>
              <w:top w:type="dxa" w:w="240"/>
              <w:left w:type="dxa" w:w="1440"/>
              <w:bottom w:type="dxa" w:w="240"/>
              <w:right w:type="dxa" w:w="1440"/>
            </w:tcMar>
          </w:tcPr>
          <w:p>
            <w:pPr>
              <w:jc w:val="center"/>
            </w:pPr>
            <w:r>
              <w:rPr>
                <w:rFonts w:ascii="Arial" w:cs="Arial" w:eastAsia="Arial" w:hAnsi="Arial"/>
                <w:color w:val="64748B"/>
                <w:sz w:val="18"/>
                <w:szCs w:val="18"/>
              </w:rPr>
              <w:t xml:space="preserve">CalTrack Pro  —  support@caltrackpro.com  —  caltrackpro.com</w:t>
            </w:r>
          </w:p>
        </w:tc>
      </w:tr>
    </w:tbl>
    <w:p>
      <w:r>
        <w:br w:type="page"/>
      </w:r>
    </w:p>
    <w:p>
      <w:pPr>
        <w:sectPr>
          <w:pgSz w:w="12240" w:h="15840" w:orient="portrait"/>
          <w:pgMar w:top="0" w:right="0" w:bottom="0" w:left="0" w:header="708" w:footer="708" w:gutter="0"/>
          <w:pgNumType/>
          <w:docGrid w:linePitch="360"/>
        </w:sectPr>
      </w:pPr>
    </w:p>
    <w:p>
      <w:pPr>
        <w:pStyle w:val="Heading1"/>
      </w:pPr>
      <w:r>
        <w:t xml:space="preserve">Overview</w:t>
      </w:r>
    </w:p>
    <w:p>
      <w:pPr>
        <w:spacing w:after="140"/>
      </w:pPr>
      <w:r>
        <w:rPr>
          <w:rFonts w:ascii="Arial" w:cs="Arial" w:eastAsia="Arial" w:hAnsi="Arial"/>
          <w:color w:val="64748B"/>
          <w:sz w:val="22"/>
          <w:szCs w:val="22"/>
        </w:rPr>
        <w:t xml:space="preserve">This guide walks you through migrating your complete instrument register from MEX into CalTrack Pro. The process uses a CSV file as the transfer medium — you export from MEX, prepare the file in Excel, then run a provided Python script that reads the CSV and creates every instrument in CalTrack Pro automatically via the API.</w:t>
      </w:r>
    </w:p>
    <w:p>
      <w:pPr>
        <w:spacing w:after="160"/>
      </w:pPr>
      <w:r>
        <w:t xml:space="preserve"/>
      </w:r>
    </w:p>
    <w:p>
      <w:pPr>
        <w:spacing w:after="140"/>
      </w:pPr>
      <w:r>
        <w:rPr>
          <w:rFonts w:ascii="Arial" w:cs="Arial" w:eastAsia="Arial" w:hAnsi="Arial"/>
          <w:color w:val="64748B"/>
          <w:sz w:val="22"/>
          <w:szCs w:val="22"/>
        </w:rPr>
        <w:t xml:space="preserve">There is no limit on the number of instruments. A site with 1,000 instruments takes the same time to import as one with 50.</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100"/>
              <w:left w:type="dxa" w:w="180"/>
              <w:bottom w:type="dxa" w:w="80"/>
              <w:right w:type="dxa" w:w="180"/>
            </w:tcMar>
          </w:tcPr>
          <w:p>
            <w:r>
              <w:rPr>
                <w:rFonts w:ascii="Arial" w:cs="Arial" w:eastAsia="Arial" w:hAnsi="Arial"/>
                <w:b/>
                <w:bCs/>
                <w:color w:val="FFFFFF"/>
                <w:sz w:val="21"/>
                <w:szCs w:val="21"/>
              </w:rPr>
              <w:t xml:space="preserve">Before you begin — you will need:</w:t>
            </w:r>
          </w:p>
        </w:tc>
      </w:tr>
      <w:tr>
        <w:tc>
          <w:tcPr>
            <w:tcW w:type="dxa" w:w="9360"/>
            <w:tcBorders>
              <w:top w:val="none" w:color="FFFFFF" w:sz="0"/>
              <w:left w:val="none" w:color="FFFFFF" w:sz="0"/>
              <w:bottom w:val="none" w:color="FFFFFF" w:sz="0"/>
              <w:right w:val="none" w:color="FFFFFF" w:sz="0"/>
            </w:tcBorders>
            <w:shd w:fill="DBEAFE" w:val="clear"/>
            <w:tcMar>
              <w:top w:type="dxa" w:w="120"/>
              <w:left w:type="dxa" w:w="180"/>
              <w:bottom w:type="dxa" w:w="40"/>
              <w:right w:type="dxa" w:w="180"/>
            </w:tcMar>
          </w:tcPr>
          <w:p>
            <w:r>
              <w:rPr>
                <w:rFonts w:ascii="Arial" w:cs="Arial" w:eastAsia="Arial" w:hAnsi="Arial"/>
                <w:color w:val="64748B"/>
                <w:sz w:val="20"/>
                <w:szCs w:val="20"/>
              </w:rPr>
              <w:t xml:space="preserve">Access to MEX with permissions to run Equipment reports</w:t>
            </w:r>
          </w:p>
        </w:tc>
      </w:tr>
      <w:tr>
        <w:tc>
          <w:tcPr>
            <w:tcW w:type="dxa" w:w="9360"/>
            <w:tcBorders>
              <w:top w:val="none" w:color="FFFFFF" w:sz="0"/>
              <w:left w:val="none" w:color="FFFFFF" w:sz="0"/>
              <w:bottom w:val="none" w:color="FFFFFF" w:sz="0"/>
              <w:right w:val="none" w:color="FFFFFF" w:sz="0"/>
            </w:tcBorders>
            <w:shd w:fill="DBEAFE" w:val="clear"/>
            <w:tcMar>
              <w:top w:type="dxa" w:w="40"/>
              <w:left w:type="dxa" w:w="180"/>
              <w:bottom w:type="dxa" w:w="40"/>
              <w:right w:type="dxa" w:w="180"/>
            </w:tcMar>
          </w:tcPr>
          <w:p>
            <w:r>
              <w:rPr>
                <w:rFonts w:ascii="Arial" w:cs="Arial" w:eastAsia="Arial" w:hAnsi="Arial"/>
                <w:color w:val="64748B"/>
                <w:sz w:val="20"/>
                <w:szCs w:val="20"/>
              </w:rPr>
              <w:t xml:space="preserve">Microsoft Excel or Google Sheets to prepare the CSV</w:t>
            </w:r>
          </w:p>
        </w:tc>
      </w:tr>
      <w:tr>
        <w:tc>
          <w:tcPr>
            <w:tcW w:type="dxa" w:w="9360"/>
            <w:tcBorders>
              <w:top w:val="none" w:color="FFFFFF" w:sz="0"/>
              <w:left w:val="none" w:color="FFFFFF" w:sz="0"/>
              <w:bottom w:val="none" w:color="FFFFFF" w:sz="0"/>
              <w:right w:val="none" w:color="FFFFFF" w:sz="0"/>
            </w:tcBorders>
            <w:shd w:fill="DBEAFE" w:val="clear"/>
            <w:tcMar>
              <w:top w:type="dxa" w:w="40"/>
              <w:left w:type="dxa" w:w="180"/>
              <w:bottom w:type="dxa" w:w="40"/>
              <w:right w:type="dxa" w:w="180"/>
            </w:tcMar>
          </w:tcPr>
          <w:p>
            <w:r>
              <w:rPr>
                <w:rFonts w:ascii="Arial" w:cs="Arial" w:eastAsia="Arial" w:hAnsi="Arial"/>
                <w:color w:val="64748B"/>
                <w:sz w:val="20"/>
                <w:szCs w:val="20"/>
              </w:rPr>
              <w:t xml:space="preserve">Python 3 installed on your computer (free download: python.org)</w:t>
            </w:r>
          </w:p>
        </w:tc>
      </w:tr>
      <w:tr>
        <w:tc>
          <w:tcPr>
            <w:tcW w:type="dxa" w:w="9360"/>
            <w:tcBorders>
              <w:top w:val="none" w:color="FFFFFF" w:sz="0"/>
              <w:left w:val="none" w:color="FFFFFF" w:sz="0"/>
              <w:bottom w:val="none" w:color="FFFFFF" w:sz="0"/>
              <w:right w:val="none" w:color="FFFFFF" w:sz="0"/>
            </w:tcBorders>
            <w:shd w:fill="DBEAFE" w:val="clear"/>
            <w:tcMar>
              <w:top w:type="dxa" w:w="40"/>
              <w:left w:type="dxa" w:w="180"/>
              <w:bottom w:type="dxa" w:w="40"/>
              <w:right w:type="dxa" w:w="180"/>
            </w:tcMar>
          </w:tcPr>
          <w:p>
            <w:r>
              <w:rPr>
                <w:rFonts w:ascii="Arial" w:cs="Arial" w:eastAsia="Arial" w:hAnsi="Arial"/>
                <w:color w:val="64748B"/>
                <w:sz w:val="20"/>
                <w:szCs w:val="20"/>
              </w:rPr>
              <w:t xml:space="preserve">Your CalTrack Pro backend running and accessible (e.g. http://localhost:8000)</w:t>
            </w:r>
          </w:p>
        </w:tc>
      </w:tr>
      <w:tr>
        <w:tc>
          <w:tcPr>
            <w:tcW w:type="dxa" w:w="9360"/>
            <w:tcBorders>
              <w:top w:val="none" w:color="FFFFFF" w:sz="0"/>
              <w:left w:val="none" w:color="FFFFFF" w:sz="0"/>
              <w:bottom w:val="none" w:color="FFFFFF" w:sz="0"/>
              <w:right w:val="none" w:color="FFFFFF" w:sz="0"/>
            </w:tcBorders>
            <w:shd w:fill="DBEAFE" w:val="clear"/>
            <w:tcMar>
              <w:top w:type="dxa" w:w="40"/>
              <w:left w:type="dxa" w:w="180"/>
              <w:bottom w:type="dxa" w:w="120"/>
              <w:right w:type="dxa" w:w="180"/>
            </w:tcMar>
          </w:tcPr>
          <w:p>
            <w:r>
              <w:rPr>
                <w:rFonts w:ascii="Arial" w:cs="Arial" w:eastAsia="Arial" w:hAnsi="Arial"/>
                <w:color w:val="64748B"/>
                <w:sz w:val="20"/>
                <w:szCs w:val="20"/>
              </w:rPr>
              <w:t xml:space="preserve">Approximately 2–4 hours for a site with up to 500 instruments</w:t>
            </w:r>
          </w:p>
        </w:tc>
      </w:tr>
    </w:tbl>
    <w:p>
      <w:pPr>
        <w:spacing w:after="240"/>
      </w:pPr>
      <w:r>
        <w:t xml:space="preserve"/>
      </w:r>
    </w:p>
    <w:p>
      <w:pPr>
        <w:pStyle w:val="Heading1"/>
      </w:pPr>
      <w:r>
        <w:t xml:space="preserve">Step 1 — Export Your Equipment Register from MEX</w:t>
      </w:r>
    </w:p>
    <w:p>
      <w:pPr>
        <w:pStyle w:val="Heading2"/>
      </w:pPr>
      <w:r>
        <w:t xml:space="preserve">1.1 Open the Equipment Register Report</w:t>
      </w:r>
    </w:p>
    <w:p>
      <w:pPr>
        <w:spacing w:after="140"/>
      </w:pPr>
      <w:r>
        <w:rPr>
          <w:rFonts w:ascii="Arial" w:cs="Arial" w:eastAsia="Arial" w:hAnsi="Arial"/>
          <w:color w:val="64748B"/>
          <w:sz w:val="22"/>
          <w:szCs w:val="22"/>
        </w:rPr>
        <w:t xml:space="preserve">MEX stores instrument and equipment data in the Equipment Register module. To export it:</w:t>
      </w:r>
    </w:p>
    <w:p>
      <w:pPr>
        <w:spacing w:after="160"/>
      </w:pPr>
      <w:r>
        <w:t xml:space="preserve"/>
      </w:r>
    </w:p>
    <w:p>
      <w:pPr>
        <w:pStyle w:val="ListParagraph"/>
        <w:numPr>
          <w:ilvl w:val="0"/>
          <w:numId w:val="3"/>
        </w:numPr>
        <w:spacing w:after="80"/>
      </w:pPr>
      <w:r>
        <w:rPr>
          <w:rFonts w:ascii="Arial" w:cs="Arial" w:eastAsia="Arial" w:hAnsi="Arial"/>
          <w:color w:val="64748B"/>
          <w:sz w:val="22"/>
          <w:szCs w:val="22"/>
        </w:rPr>
        <w:t xml:space="preserve">Open MEX and log in with an account that has report access.</w:t>
      </w:r>
    </w:p>
    <w:p>
      <w:pPr>
        <w:pStyle w:val="ListParagraph"/>
        <w:numPr>
          <w:ilvl w:val="0"/>
          <w:numId w:val="3"/>
        </w:numPr>
        <w:spacing w:after="80"/>
      </w:pPr>
      <w:r>
        <w:rPr>
          <w:rFonts w:ascii="Arial" w:cs="Arial" w:eastAsia="Arial" w:hAnsi="Arial"/>
          <w:color w:val="64748B"/>
          <w:sz w:val="22"/>
          <w:szCs w:val="22"/>
        </w:rPr>
        <w:t xml:space="preserve">From the main menu, navigate to Equipment → Equipment Register (or use the module list on the left panel depending on your MEX version).</w:t>
      </w:r>
    </w:p>
    <w:p>
      <w:pPr>
        <w:pStyle w:val="ListParagraph"/>
        <w:numPr>
          <w:ilvl w:val="0"/>
          <w:numId w:val="3"/>
        </w:numPr>
        <w:spacing w:after="80"/>
      </w:pPr>
      <w:r>
        <w:rPr>
          <w:rFonts w:ascii="Arial" w:cs="Arial" w:eastAsia="Arial" w:hAnsi="Arial"/>
          <w:color w:val="64748B"/>
          <w:sz w:val="22"/>
          <w:szCs w:val="22"/>
        </w:rPr>
        <w:t xml:space="preserve">If your instruments are categorised under a specific Equipment Type (e.g. ‘Instrumentation’ or ‘Process Instruments’), apply that filter first to narrow down the list.</w:t>
      </w:r>
    </w:p>
    <w:p>
      <w:pPr>
        <w:pStyle w:val="ListParagraph"/>
        <w:numPr>
          <w:ilvl w:val="0"/>
          <w:numId w:val="3"/>
        </w:numPr>
        <w:spacing w:after="80"/>
      </w:pPr>
      <w:r>
        <w:rPr>
          <w:rFonts w:ascii="Arial" w:cs="Arial" w:eastAsia="Arial" w:hAnsi="Arial"/>
          <w:color w:val="64748B"/>
          <w:sz w:val="22"/>
          <w:szCs w:val="22"/>
        </w:rPr>
        <w:t xml:space="preserve">Click Reports at the top of the Equipment Register screen.</w:t>
      </w:r>
    </w:p>
    <w:p>
      <w:pPr>
        <w:spacing w:after="160"/>
      </w:pPr>
      <w:r>
        <w:t xml:space="preserve"/>
      </w:r>
    </w:p>
    <w:p>
      <w:pPr>
        <w:pStyle w:val="Heading2"/>
      </w:pPr>
      <w:r>
        <w:t xml:space="preserve">1.2 Run an Equipment List Report</w:t>
      </w:r>
    </w:p>
    <w:p>
      <w:pPr>
        <w:spacing w:after="140"/>
      </w:pPr>
      <w:r>
        <w:rPr>
          <w:rFonts w:ascii="Arial" w:cs="Arial" w:eastAsia="Arial" w:hAnsi="Arial"/>
          <w:color w:val="64748B"/>
          <w:sz w:val="22"/>
          <w:szCs w:val="22"/>
        </w:rPr>
        <w:t xml:space="preserve">MEX has several report options. You want one that outputs a flat list of all equipment fields:</w:t>
      </w:r>
    </w:p>
    <w:p>
      <w:pPr>
        <w:spacing w:after="160"/>
      </w:pPr>
      <w:r>
        <w:t xml:space="preserve"/>
      </w:r>
    </w:p>
    <w:p>
      <w:pPr>
        <w:pStyle w:val="ListParagraph"/>
        <w:numPr>
          <w:ilvl w:val="0"/>
          <w:numId w:val="2"/>
        </w:numPr>
        <w:spacing w:after="80"/>
      </w:pPr>
      <w:r>
        <w:rPr>
          <w:rFonts w:ascii="Arial" w:cs="Arial" w:eastAsia="Arial" w:hAnsi="Arial"/>
          <w:color w:val="64748B"/>
          <w:sz w:val="22"/>
          <w:szCs w:val="22"/>
        </w:rPr>
        <w:t xml:space="preserve">Select Equipment List or Equipment Details (the exact name depends on your MEX version — choose the most detailed option available).</w:t>
      </w:r>
    </w:p>
    <w:p>
      <w:pPr>
        <w:pStyle w:val="ListParagraph"/>
        <w:numPr>
          <w:ilvl w:val="0"/>
          <w:numId w:val="2"/>
        </w:numPr>
        <w:spacing w:after="80"/>
      </w:pPr>
      <w:r>
        <w:rPr>
          <w:rFonts w:ascii="Arial" w:cs="Arial" w:eastAsia="Arial" w:hAnsi="Arial"/>
          <w:color w:val="64748B"/>
          <w:sz w:val="22"/>
          <w:szCs w:val="22"/>
        </w:rPr>
        <w:t xml:space="preserve">Set the date range or filter to include all active records.</w:t>
      </w:r>
    </w:p>
    <w:p>
      <w:pPr>
        <w:pStyle w:val="ListParagraph"/>
        <w:numPr>
          <w:ilvl w:val="0"/>
          <w:numId w:val="2"/>
        </w:numPr>
        <w:spacing w:after="80"/>
      </w:pPr>
      <w:r>
        <w:rPr>
          <w:rFonts w:ascii="Arial" w:cs="Arial" w:eastAsia="Arial" w:hAnsi="Arial"/>
          <w:color w:val="64748B"/>
          <w:sz w:val="22"/>
          <w:szCs w:val="22"/>
        </w:rPr>
        <w:t xml:space="preserve">In the report options, enable as many fields as possible — you want: Equipment ID, Description, Location/Area, Equipment Type, Manufacturer, Model, Serial Number, and any custom fields you use for calibration interval or tolerance.</w:t>
      </w:r>
    </w:p>
    <w:p>
      <w:pPr>
        <w:pStyle w:val="ListParagraph"/>
        <w:numPr>
          <w:ilvl w:val="0"/>
          <w:numId w:val="2"/>
        </w:numPr>
        <w:spacing w:after="80"/>
      </w:pPr>
      <w:r>
        <w:rPr>
          <w:rFonts w:ascii="Arial" w:cs="Arial" w:eastAsia="Arial" w:hAnsi="Arial"/>
          <w:color w:val="64748B"/>
          <w:sz w:val="22"/>
          <w:szCs w:val="22"/>
        </w:rPr>
        <w:t xml:space="preserve">Run the report and choose Export to Excel or Export to CSV from the report toolbar.</w:t>
      </w:r>
    </w:p>
    <w:p>
      <w:pPr>
        <w:pStyle w:val="ListParagraph"/>
        <w:numPr>
          <w:ilvl w:val="0"/>
          <w:numId w:val="2"/>
        </w:numPr>
        <w:spacing w:after="80"/>
      </w:pPr>
      <w:r>
        <w:rPr>
          <w:rFonts w:ascii="Arial" w:cs="Arial" w:eastAsia="Arial" w:hAnsi="Arial"/>
          <w:color w:val="64748B"/>
          <w:sz w:val="22"/>
          <w:szCs w:val="22"/>
        </w:rPr>
        <w:t xml:space="preserve">Save the file to your desktop as instruments_from_mex.xlsx (or .csv).</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100"/>
              <w:left w:type="dxa" w:w="180"/>
              <w:bottom w:type="dxa" w:w="80"/>
              <w:right w:type="dxa" w:w="180"/>
            </w:tcMar>
          </w:tcPr>
          <w:p>
            <w:r>
              <w:rPr>
                <w:rFonts w:ascii="Arial" w:cs="Arial" w:eastAsia="Arial" w:hAnsi="Arial"/>
                <w:b/>
                <w:bCs/>
                <w:color w:val="FFFFFF"/>
                <w:sz w:val="21"/>
                <w:szCs w:val="21"/>
              </w:rPr>
              <w:t xml:space="preserve">MEX version note</w:t>
            </w:r>
          </w:p>
        </w:tc>
      </w:tr>
      <w:tr>
        <w:tc>
          <w:tcPr>
            <w:tcW w:type="dxa" w:w="9360"/>
            <w:tcBorders>
              <w:top w:val="none" w:color="FFFFFF" w:sz="0"/>
              <w:left w:val="none" w:color="FFFFFF" w:sz="0"/>
              <w:bottom w:val="none" w:color="FFFFFF" w:sz="0"/>
              <w:right w:val="none" w:color="FFFFFF" w:sz="0"/>
            </w:tcBorders>
            <w:shd w:fill="FEF3C7" w:val="clear"/>
            <w:tcMar>
              <w:top w:type="dxa" w:w="120"/>
              <w:left w:type="dxa" w:w="180"/>
              <w:bottom w:type="dxa" w:w="40"/>
              <w:right w:type="dxa" w:w="180"/>
            </w:tcMar>
          </w:tcPr>
          <w:p>
            <w:r>
              <w:rPr>
                <w:rFonts w:ascii="Arial" w:cs="Arial" w:eastAsia="Arial" w:hAnsi="Arial"/>
                <w:color w:val="64748B"/>
                <w:sz w:val="20"/>
                <w:szCs w:val="20"/>
              </w:rPr>
              <w:t xml:space="preserve">MEX 14+ (web version): Reports → Equipment → Equipment List → Export button (top right)</w:t>
            </w:r>
          </w:p>
        </w:tc>
      </w:tr>
      <w:tr>
        <w:tc>
          <w:tcPr>
            <w:tcW w:type="dxa" w:w="9360"/>
            <w:tcBorders>
              <w:top w:val="none" w:color="FFFFFF" w:sz="0"/>
              <w:left w:val="none" w:color="FFFFFF" w:sz="0"/>
              <w:bottom w:val="none" w:color="FFFFFF" w:sz="0"/>
              <w:right w:val="none" w:color="FFFFFF" w:sz="0"/>
            </w:tcBorders>
            <w:shd w:fill="FEF3C7" w:val="clear"/>
            <w:tcMar>
              <w:top w:type="dxa" w:w="40"/>
              <w:left w:type="dxa" w:w="180"/>
              <w:bottom w:type="dxa" w:w="40"/>
              <w:right w:type="dxa" w:w="180"/>
            </w:tcMar>
          </w:tcPr>
          <w:p>
            <w:r>
              <w:rPr>
                <w:rFonts w:ascii="Arial" w:cs="Arial" w:eastAsia="Arial" w:hAnsi="Arial"/>
                <w:color w:val="64748B"/>
                <w:sz w:val="20"/>
                <w:szCs w:val="20"/>
              </w:rPr>
              <w:t xml:space="preserve">MEX Classic (desktop): Reports menu → Equipment Reports → Equipment Details → Export to Excel</w:t>
            </w:r>
          </w:p>
        </w:tc>
      </w:tr>
      <w:tr>
        <w:tc>
          <w:tcPr>
            <w:tcW w:type="dxa" w:w="9360"/>
            <w:tcBorders>
              <w:top w:val="none" w:color="FFFFFF" w:sz="0"/>
              <w:left w:val="none" w:color="FFFFFF" w:sz="0"/>
              <w:bottom w:val="none" w:color="FFFFFF" w:sz="0"/>
              <w:right w:val="none" w:color="FFFFFF" w:sz="0"/>
            </w:tcBorders>
            <w:shd w:fill="FEF3C7" w:val="clear"/>
            <w:tcMar>
              <w:top w:type="dxa" w:w="40"/>
              <w:left w:type="dxa" w:w="180"/>
              <w:bottom w:type="dxa" w:w="120"/>
              <w:right w:type="dxa" w:w="180"/>
            </w:tcMar>
          </w:tcPr>
          <w:p>
            <w:r>
              <w:rPr>
                <w:rFonts w:ascii="Arial" w:cs="Arial" w:eastAsia="Arial" w:hAnsi="Arial"/>
                <w:color w:val="64748B"/>
                <w:sz w:val="20"/>
                <w:szCs w:val="20"/>
              </w:rPr>
              <w:t xml:space="preserve">If you cannot find a suitable report, use the Equipment Register grid view and click the Excel icon in the toolbar to export what is currently displayed.</w:t>
            </w:r>
          </w:p>
        </w:tc>
      </w:tr>
    </w:tbl>
    <w:p>
      <w:pPr>
        <w:spacing w:after="240"/>
      </w:pPr>
      <w:r>
        <w:t xml:space="preserve"/>
      </w:r>
    </w:p>
    <w:p>
      <w:pPr>
        <w:pStyle w:val="Heading2"/>
      </w:pPr>
      <w:r>
        <w:t xml:space="preserve">1.3 Export Calibration History (Optional)</w:t>
      </w:r>
    </w:p>
    <w:p>
      <w:pPr>
        <w:spacing w:after="140"/>
      </w:pPr>
      <w:r>
        <w:rPr>
          <w:rFonts w:ascii="Arial" w:cs="Arial" w:eastAsia="Arial" w:hAnsi="Arial"/>
          <w:color w:val="64748B"/>
          <w:sz w:val="22"/>
          <w:szCs w:val="22"/>
        </w:rPr>
        <w:t xml:space="preserve">If you want to bring across your existing calibration records — not just the instrument list — you will need a second export:</w:t>
      </w:r>
    </w:p>
    <w:p>
      <w:pPr>
        <w:spacing w:after="160"/>
      </w:pPr>
      <w:r>
        <w:t xml:space="preserve"/>
      </w:r>
    </w:p>
    <w:p>
      <w:pPr>
        <w:pStyle w:val="ListParagraph"/>
        <w:numPr>
          <w:ilvl w:val="0"/>
          <w:numId w:val="2"/>
        </w:numPr>
        <w:spacing w:after="80"/>
      </w:pPr>
      <w:r>
        <w:rPr>
          <w:rFonts w:ascii="Arial" w:cs="Arial" w:eastAsia="Arial" w:hAnsi="Arial"/>
          <w:color w:val="64748B"/>
          <w:sz w:val="22"/>
          <w:szCs w:val="22"/>
        </w:rPr>
        <w:t xml:space="preserve">Navigate to Maintenance → Work Orders (completed) and filter by work order type ‘Calibration’ or equivalent.</w:t>
      </w:r>
    </w:p>
    <w:p>
      <w:pPr>
        <w:pStyle w:val="ListParagraph"/>
        <w:numPr>
          <w:ilvl w:val="0"/>
          <w:numId w:val="2"/>
        </w:numPr>
        <w:spacing w:after="80"/>
      </w:pPr>
      <w:r>
        <w:rPr>
          <w:rFonts w:ascii="Arial" w:cs="Arial" w:eastAsia="Arial" w:hAnsi="Arial"/>
          <w:color w:val="64748B"/>
          <w:sz w:val="22"/>
          <w:szCs w:val="22"/>
        </w:rPr>
        <w:t xml:space="preserve">Export this as a separate file: calibration_history_from_mex.xlsx.</w:t>
      </w:r>
    </w:p>
    <w:p>
      <w:pPr>
        <w:pStyle w:val="ListParagraph"/>
        <w:numPr>
          <w:ilvl w:val="0"/>
          <w:numId w:val="2"/>
        </w:numPr>
        <w:spacing w:after="80"/>
      </w:pPr>
      <w:r>
        <w:rPr>
          <w:rFonts w:ascii="Arial" w:cs="Arial" w:eastAsia="Arial" w:hAnsi="Arial"/>
          <w:color w:val="64748B"/>
          <w:sz w:val="22"/>
          <w:szCs w:val="22"/>
        </w:rPr>
        <w:t xml:space="preserve">See Step 6 of this guide for how to handle calibration history import. For most sites, importing just the instrument register first and then logging calibrations in CalTrack Pro going forward is the most practical approach.</w:t>
      </w:r>
    </w:p>
    <w:p>
      <w:pPr>
        <w:spacing w:after="160"/>
      </w:pPr>
      <w:r>
        <w:t xml:space="preserve"/>
      </w:r>
    </w:p>
    <w:p>
      <w:r>
        <w:br w:type="page"/>
      </w:r>
    </w:p>
    <w:p>
      <w:pPr>
        <w:pStyle w:val="Heading1"/>
      </w:pPr>
      <w:r>
        <w:t xml:space="preserve">Step 2 — Prepare the CSV File in Excel</w:t>
      </w:r>
    </w:p>
    <w:p>
      <w:pPr>
        <w:pStyle w:val="Heading2"/>
      </w:pPr>
      <w:r>
        <w:t xml:space="preserve">2.1 Open the Export and Review the Columns</w:t>
      </w:r>
    </w:p>
    <w:p>
      <w:pPr>
        <w:spacing w:after="140"/>
      </w:pPr>
      <w:r>
        <w:rPr>
          <w:rFonts w:ascii="Arial" w:cs="Arial" w:eastAsia="Arial" w:hAnsi="Arial"/>
          <w:color w:val="64748B"/>
          <w:sz w:val="22"/>
          <w:szCs w:val="22"/>
        </w:rPr>
        <w:t xml:space="preserve">Open your MEX export in Excel. The columns will reflect whatever MEX fields you included in the report. The column names will not match CalTrack Pro's field names exactly — that is normal. The next step maps them.</w:t>
      </w:r>
    </w:p>
    <w:p>
      <w:pPr>
        <w:spacing w:after="160"/>
      </w:pPr>
      <w:r>
        <w:t xml:space="preserve"/>
      </w:r>
    </w:p>
    <w:p>
      <w:pPr>
        <w:spacing w:after="140"/>
      </w:pPr>
      <w:r>
        <w:rPr>
          <w:rFonts w:ascii="Arial" w:cs="Arial" w:eastAsia="Arial" w:hAnsi="Arial"/>
          <w:color w:val="64748B"/>
          <w:sz w:val="22"/>
          <w:szCs w:val="22"/>
        </w:rPr>
        <w:t xml:space="preserve">Before doing any mapping, spend a few minutes reviewing the data quality:</w:t>
      </w:r>
    </w:p>
    <w:p>
      <w:pPr>
        <w:pStyle w:val="ListParagraph"/>
        <w:numPr>
          <w:ilvl w:val="0"/>
          <w:numId w:val="2"/>
        </w:numPr>
        <w:spacing w:after="80"/>
      </w:pPr>
      <w:r>
        <w:rPr>
          <w:rFonts w:ascii="Arial" w:cs="Arial" w:eastAsia="Arial" w:hAnsi="Arial"/>
          <w:color w:val="64748B"/>
          <w:sz w:val="22"/>
          <w:szCs w:val="22"/>
        </w:rPr>
        <w:t xml:space="preserve">Are equipment IDs (tag numbers) consistent? e.g. PT-1023A vs PT1023A vs pt1023a. Pick a format and standardise it.</w:t>
      </w:r>
    </w:p>
    <w:p>
      <w:pPr>
        <w:pStyle w:val="ListParagraph"/>
        <w:numPr>
          <w:ilvl w:val="0"/>
          <w:numId w:val="2"/>
        </w:numPr>
        <w:spacing w:after="80"/>
      </w:pPr>
      <w:r>
        <w:rPr>
          <w:rFonts w:ascii="Arial" w:cs="Arial" w:eastAsia="Arial" w:hAnsi="Arial"/>
          <w:color w:val="64748B"/>
          <w:sz w:val="22"/>
          <w:szCs w:val="22"/>
        </w:rPr>
        <w:t xml:space="preserve">Are there duplicate rows? Remove them.</w:t>
      </w:r>
    </w:p>
    <w:p>
      <w:pPr>
        <w:pStyle w:val="ListParagraph"/>
        <w:numPr>
          <w:ilvl w:val="0"/>
          <w:numId w:val="2"/>
        </w:numPr>
        <w:spacing w:after="80"/>
      </w:pPr>
      <w:r>
        <w:rPr>
          <w:rFonts w:ascii="Arial" w:cs="Arial" w:eastAsia="Arial" w:hAnsi="Arial"/>
          <w:color w:val="64748B"/>
          <w:sz w:val="22"/>
          <w:szCs w:val="22"/>
        </w:rPr>
        <w:t xml:space="preserve">Are there decommissioned or scrapped instruments mixed in? Filter them out or mark their status accordingly.</w:t>
      </w:r>
    </w:p>
    <w:p>
      <w:pPr>
        <w:pStyle w:val="ListParagraph"/>
        <w:numPr>
          <w:ilvl w:val="0"/>
          <w:numId w:val="2"/>
        </w:numPr>
        <w:spacing w:after="80"/>
      </w:pPr>
      <w:r>
        <w:rPr>
          <w:rFonts w:ascii="Arial" w:cs="Arial" w:eastAsia="Arial" w:hAnsi="Arial"/>
          <w:color w:val="64748B"/>
          <w:sz w:val="22"/>
          <w:szCs w:val="22"/>
        </w:rPr>
        <w:t xml:space="preserve">Are description fields meaningful? A description of ‘Inst’ or ‘See drawing’ is not useful — update these while you have the data in front of you.</w:t>
      </w:r>
    </w:p>
    <w:p>
      <w:pPr>
        <w:spacing w:after="160"/>
      </w:pPr>
      <w:r>
        <w:t xml:space="preserve"/>
      </w:r>
    </w:p>
    <w:p>
      <w:pPr>
        <w:pStyle w:val="Heading2"/>
      </w:pPr>
      <w:r>
        <w:t xml:space="preserve">2.2 Create the CalTrack Pro Import CSV</w:t>
      </w:r>
    </w:p>
    <w:p>
      <w:pPr>
        <w:spacing w:after="140"/>
      </w:pPr>
      <w:r>
        <w:rPr>
          <w:rFonts w:ascii="Arial" w:cs="Arial" w:eastAsia="Arial" w:hAnsi="Arial"/>
          <w:color w:val="64748B"/>
          <w:sz w:val="22"/>
          <w:szCs w:val="22"/>
        </w:rPr>
        <w:t xml:space="preserve">Rename or rearrange the columns to match the CalTrack Pro import format. The easiest way is to:</w:t>
      </w:r>
    </w:p>
    <w:p>
      <w:pPr>
        <w:spacing w:after="160"/>
      </w:pPr>
      <w:r>
        <w:t xml:space="preserve"/>
      </w:r>
    </w:p>
    <w:p>
      <w:pPr>
        <w:pStyle w:val="ListParagraph"/>
        <w:numPr>
          <w:ilvl w:val="0"/>
          <w:numId w:val="3"/>
        </w:numPr>
        <w:spacing w:after="80"/>
      </w:pPr>
      <w:r>
        <w:rPr>
          <w:rFonts w:ascii="Arial" w:cs="Arial" w:eastAsia="Arial" w:hAnsi="Arial"/>
          <w:color w:val="64748B"/>
          <w:sz w:val="22"/>
          <w:szCs w:val="22"/>
        </w:rPr>
        <w:t xml:space="preserve">Create a new blank sheet in Excel named CalTrackImport.</w:t>
      </w:r>
    </w:p>
    <w:p>
      <w:pPr>
        <w:pStyle w:val="ListParagraph"/>
        <w:numPr>
          <w:ilvl w:val="0"/>
          <w:numId w:val="3"/>
        </w:numPr>
        <w:spacing w:after="80"/>
      </w:pPr>
      <w:r>
        <w:rPr>
          <w:rFonts w:ascii="Arial" w:cs="Arial" w:eastAsia="Arial" w:hAnsi="Arial"/>
          <w:color w:val="64748B"/>
          <w:sz w:val="22"/>
          <w:szCs w:val="22"/>
        </w:rPr>
        <w:t xml:space="preserve">Copy the header row from your MEX export to this new sheet.</w:t>
      </w:r>
    </w:p>
    <w:p>
      <w:pPr>
        <w:pStyle w:val="ListParagraph"/>
        <w:numPr>
          <w:ilvl w:val="0"/>
          <w:numId w:val="3"/>
        </w:numPr>
        <w:spacing w:after="80"/>
      </w:pPr>
      <w:r>
        <w:rPr>
          <w:rFonts w:ascii="Arial" w:cs="Arial" w:eastAsia="Arial" w:hAnsi="Arial"/>
          <w:color w:val="64748B"/>
          <w:sz w:val="22"/>
          <w:szCs w:val="22"/>
        </w:rPr>
        <w:t xml:space="preserve">Rename the columns to match the CalTrack Pro field names shown in the mapping table below.</w:t>
      </w:r>
    </w:p>
    <w:p>
      <w:pPr>
        <w:pStyle w:val="ListParagraph"/>
        <w:numPr>
          <w:ilvl w:val="0"/>
          <w:numId w:val="3"/>
        </w:numPr>
        <w:spacing w:after="80"/>
      </w:pPr>
      <w:r>
        <w:rPr>
          <w:rFonts w:ascii="Arial" w:cs="Arial" w:eastAsia="Arial" w:hAnsi="Arial"/>
          <w:color w:val="64748B"/>
          <w:sz w:val="22"/>
          <w:szCs w:val="22"/>
        </w:rPr>
        <w:t xml:space="preserve">Copy the data rows across, adjusting any values as needed.</w:t>
      </w:r>
    </w:p>
    <w:p>
      <w:pPr>
        <w:pStyle w:val="ListParagraph"/>
        <w:numPr>
          <w:ilvl w:val="0"/>
          <w:numId w:val="3"/>
        </w:numPr>
        <w:spacing w:after="80"/>
      </w:pPr>
      <w:r>
        <w:rPr>
          <w:rFonts w:ascii="Arial" w:cs="Arial" w:eastAsia="Arial" w:hAnsi="Arial"/>
          <w:color w:val="64748B"/>
          <w:sz w:val="22"/>
          <w:szCs w:val="22"/>
        </w:rPr>
        <w:t xml:space="preserve">Save the final sheet as caltrack_import.csv (File → Save As → CSV UTF-8).</w:t>
      </w:r>
    </w:p>
    <w:p>
      <w:pPr>
        <w:spacing w:after="160"/>
      </w:pPr>
      <w:r>
        <w:t xml:space="preserve"/>
      </w:r>
    </w:p>
    <w:p>
      <w:pPr>
        <w:pStyle w:val="Heading2"/>
      </w:pPr>
      <w:r>
        <w:t xml:space="preserve">2.3 Required vs Optional Fields</w:t>
      </w:r>
    </w:p>
    <w:p>
      <w:pPr>
        <w:spacing w:after="140"/>
      </w:pPr>
      <w:r>
        <w:rPr>
          <w:rFonts w:ascii="Arial" w:cs="Arial" w:eastAsia="Arial" w:hAnsi="Arial"/>
          <w:color w:val="64748B"/>
          <w:sz w:val="22"/>
          <w:szCs w:val="22"/>
        </w:rPr>
        <w:t xml:space="preserve">The following fields are required for every instrument. Optional fields can be left blank and filled in later: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1440"/>
        <w:gridCol w:w="2160"/>
      </w:tblGrid>
      <w:tr>
        <w:tc>
          <w:tcPr>
            <w:tcW w:type="dxa" w:w="24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CalTrack Field</w:t>
            </w:r>
          </w:p>
        </w:tc>
        <w:tc>
          <w:tcPr>
            <w:tcW w:type="dxa" w:w="33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44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Required?</w:t>
            </w:r>
          </w:p>
        </w:tc>
        <w:tc>
          <w:tcPr>
            <w:tcW w:type="dxa" w:w="21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Example Value</w:t>
            </w:r>
          </w:p>
        </w:tc>
      </w:tr>
      <w:tr>
        <w:tc>
          <w:tcPr>
            <w:tcW w:type="dxa" w:w="240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0F172A"/>
                <w:sz w:val="19"/>
                <w:szCs w:val="19"/>
              </w:rPr>
              <w:t xml:space="preserve">tag_number</w:t>
            </w:r>
          </w:p>
        </w:tc>
        <w:tc>
          <w:tcPr>
            <w:tcW w:type="dxa" w:w="336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Unique instrument tag (e.g. PT-1023A)</w:t>
            </w:r>
          </w:p>
        </w:tc>
        <w:tc>
          <w:tcPr>
            <w:tcW w:type="dxa" w:w="144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991B1B"/>
                <w:sz w:val="19"/>
                <w:szCs w:val="19"/>
              </w:rPr>
              <w:t xml:space="preserve">REQUIRED</w:t>
            </w:r>
          </w:p>
        </w:tc>
        <w:tc>
          <w:tcPr>
            <w:tcW w:type="dxa" w:w="216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PT-1023A</w:t>
            </w:r>
          </w:p>
        </w:tc>
      </w:tr>
      <w:tr>
        <w:tc>
          <w:tcPr>
            <w:tcW w:type="dxa" w:w="240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0F172A"/>
                <w:sz w:val="19"/>
                <w:szCs w:val="19"/>
              </w:rPr>
              <w:t xml:space="preserve">description</w:t>
            </w:r>
          </w:p>
        </w:tc>
        <w:tc>
          <w:tcPr>
            <w:tcW w:type="dxa" w:w="336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Service description</w:t>
            </w:r>
          </w:p>
        </w:tc>
        <w:tc>
          <w:tcPr>
            <w:tcW w:type="dxa" w:w="144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991B1B"/>
                <w:sz w:val="19"/>
                <w:szCs w:val="19"/>
              </w:rPr>
              <w:t xml:space="preserve">REQUIRED</w:t>
            </w:r>
          </w:p>
        </w:tc>
        <w:tc>
          <w:tcPr>
            <w:tcW w:type="dxa" w:w="216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Feed pump discharge pressure</w:t>
            </w:r>
          </w:p>
        </w:tc>
      </w:tr>
      <w:tr>
        <w:tc>
          <w:tcPr>
            <w:tcW w:type="dxa" w:w="240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0F172A"/>
                <w:sz w:val="19"/>
                <w:szCs w:val="19"/>
              </w:rPr>
              <w:t xml:space="preserve">area</w:t>
            </w:r>
          </w:p>
        </w:tc>
        <w:tc>
          <w:tcPr>
            <w:tcW w:type="dxa" w:w="336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Plant area or location</w:t>
            </w:r>
          </w:p>
        </w:tc>
        <w:tc>
          <w:tcPr>
            <w:tcW w:type="dxa" w:w="144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991B1B"/>
                <w:sz w:val="19"/>
                <w:szCs w:val="19"/>
              </w:rPr>
              <w:t xml:space="preserve">REQUIRED</w:t>
            </w:r>
          </w:p>
        </w:tc>
        <w:tc>
          <w:tcPr>
            <w:tcW w:type="dxa" w:w="216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Unit 1</w:t>
            </w:r>
          </w:p>
        </w:tc>
      </w:tr>
      <w:tr>
        <w:tc>
          <w:tcPr>
            <w:tcW w:type="dxa" w:w="240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0F172A"/>
                <w:sz w:val="19"/>
                <w:szCs w:val="19"/>
              </w:rPr>
              <w:t xml:space="preserve">unit</w:t>
            </w:r>
          </w:p>
        </w:tc>
        <w:tc>
          <w:tcPr>
            <w:tcW w:type="dxa" w:w="336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Plant unit (can be same as area)</w:t>
            </w:r>
          </w:p>
        </w:tc>
        <w:tc>
          <w:tcPr>
            <w:tcW w:type="dxa" w:w="144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166534"/>
                <w:sz w:val="19"/>
                <w:szCs w:val="19"/>
              </w:rPr>
              <w:t xml:space="preserve">Optional</w:t>
            </w:r>
          </w:p>
        </w:tc>
        <w:tc>
          <w:tcPr>
            <w:tcW w:type="dxa" w:w="216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Train A</w:t>
            </w:r>
          </w:p>
        </w:tc>
      </w:tr>
      <w:tr>
        <w:tc>
          <w:tcPr>
            <w:tcW w:type="dxa" w:w="240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0F172A"/>
                <w:sz w:val="19"/>
                <w:szCs w:val="19"/>
              </w:rPr>
              <w:t xml:space="preserve">instrument_type</w:t>
            </w:r>
          </w:p>
        </w:tc>
        <w:tc>
          <w:tcPr>
            <w:tcW w:type="dxa" w:w="336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One of: pressure / temperature / flow / level / analyser / switch / valve / other</w:t>
            </w:r>
          </w:p>
        </w:tc>
        <w:tc>
          <w:tcPr>
            <w:tcW w:type="dxa" w:w="144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991B1B"/>
                <w:sz w:val="19"/>
                <w:szCs w:val="19"/>
              </w:rPr>
              <w:t xml:space="preserve">REQUIRED</w:t>
            </w:r>
          </w:p>
        </w:tc>
        <w:tc>
          <w:tcPr>
            <w:tcW w:type="dxa" w:w="216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pressure</w:t>
            </w:r>
          </w:p>
        </w:tc>
      </w:tr>
      <w:tr>
        <w:tc>
          <w:tcPr>
            <w:tcW w:type="dxa" w:w="240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0F172A"/>
                <w:sz w:val="19"/>
                <w:szCs w:val="19"/>
              </w:rPr>
              <w:t xml:space="preserve">manufacturer</w:t>
            </w:r>
          </w:p>
        </w:tc>
        <w:tc>
          <w:tcPr>
            <w:tcW w:type="dxa" w:w="336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Instrument manufacturer</w:t>
            </w:r>
          </w:p>
        </w:tc>
        <w:tc>
          <w:tcPr>
            <w:tcW w:type="dxa" w:w="144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166534"/>
                <w:sz w:val="19"/>
                <w:szCs w:val="19"/>
              </w:rPr>
              <w:t xml:space="preserve">Optional</w:t>
            </w:r>
          </w:p>
        </w:tc>
        <w:tc>
          <w:tcPr>
            <w:tcW w:type="dxa" w:w="216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Endress+Hauser</w:t>
            </w:r>
          </w:p>
        </w:tc>
      </w:tr>
      <w:tr>
        <w:tc>
          <w:tcPr>
            <w:tcW w:type="dxa" w:w="240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0F172A"/>
                <w:sz w:val="19"/>
                <w:szCs w:val="19"/>
              </w:rPr>
              <w:t xml:space="preserve">model</w:t>
            </w:r>
          </w:p>
        </w:tc>
        <w:tc>
          <w:tcPr>
            <w:tcW w:type="dxa" w:w="336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Model number or name</w:t>
            </w:r>
          </w:p>
        </w:tc>
        <w:tc>
          <w:tcPr>
            <w:tcW w:type="dxa" w:w="144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166534"/>
                <w:sz w:val="19"/>
                <w:szCs w:val="19"/>
              </w:rPr>
              <w:t xml:space="preserve">Optional</w:t>
            </w:r>
          </w:p>
        </w:tc>
        <w:tc>
          <w:tcPr>
            <w:tcW w:type="dxa" w:w="216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PMC51</w:t>
            </w:r>
          </w:p>
        </w:tc>
      </w:tr>
      <w:tr>
        <w:tc>
          <w:tcPr>
            <w:tcW w:type="dxa" w:w="240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0F172A"/>
                <w:sz w:val="19"/>
                <w:szCs w:val="19"/>
              </w:rPr>
              <w:t xml:space="preserve">serial_number</w:t>
            </w:r>
          </w:p>
        </w:tc>
        <w:tc>
          <w:tcPr>
            <w:tcW w:type="dxa" w:w="336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Instrument serial number</w:t>
            </w:r>
          </w:p>
        </w:tc>
        <w:tc>
          <w:tcPr>
            <w:tcW w:type="dxa" w:w="144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166534"/>
                <w:sz w:val="19"/>
                <w:szCs w:val="19"/>
              </w:rPr>
              <w:t xml:space="preserve">Optional</w:t>
            </w:r>
          </w:p>
        </w:tc>
        <w:tc>
          <w:tcPr>
            <w:tcW w:type="dxa" w:w="216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K123456789</w:t>
            </w:r>
          </w:p>
        </w:tc>
      </w:tr>
      <w:tr>
        <w:tc>
          <w:tcPr>
            <w:tcW w:type="dxa" w:w="240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0F172A"/>
                <w:sz w:val="19"/>
                <w:szCs w:val="19"/>
              </w:rPr>
              <w:t xml:space="preserve">measurement_lrv</w:t>
            </w:r>
          </w:p>
        </w:tc>
        <w:tc>
          <w:tcPr>
            <w:tcW w:type="dxa" w:w="336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Lower range value (number only, no units)</w:t>
            </w:r>
          </w:p>
        </w:tc>
        <w:tc>
          <w:tcPr>
            <w:tcW w:type="dxa" w:w="144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166534"/>
                <w:sz w:val="19"/>
                <w:szCs w:val="19"/>
              </w:rPr>
              <w:t xml:space="preserve">Optional</w:t>
            </w:r>
          </w:p>
        </w:tc>
        <w:tc>
          <w:tcPr>
            <w:tcW w:type="dxa" w:w="216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0</w:t>
            </w:r>
          </w:p>
        </w:tc>
      </w:tr>
      <w:tr>
        <w:tc>
          <w:tcPr>
            <w:tcW w:type="dxa" w:w="240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0F172A"/>
                <w:sz w:val="19"/>
                <w:szCs w:val="19"/>
              </w:rPr>
              <w:t xml:space="preserve">measurement_urv</w:t>
            </w:r>
          </w:p>
        </w:tc>
        <w:tc>
          <w:tcPr>
            <w:tcW w:type="dxa" w:w="336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Upper range value (number only, no units)</w:t>
            </w:r>
          </w:p>
        </w:tc>
        <w:tc>
          <w:tcPr>
            <w:tcW w:type="dxa" w:w="144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166534"/>
                <w:sz w:val="19"/>
                <w:szCs w:val="19"/>
              </w:rPr>
              <w:t xml:space="preserve">Optional</w:t>
            </w:r>
          </w:p>
        </w:tc>
        <w:tc>
          <w:tcPr>
            <w:tcW w:type="dxa" w:w="216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1000</w:t>
            </w:r>
          </w:p>
        </w:tc>
      </w:tr>
      <w:tr>
        <w:tc>
          <w:tcPr>
            <w:tcW w:type="dxa" w:w="240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0F172A"/>
                <w:sz w:val="19"/>
                <w:szCs w:val="19"/>
              </w:rPr>
              <w:t xml:space="preserve">engineering_units</w:t>
            </w:r>
          </w:p>
        </w:tc>
        <w:tc>
          <w:tcPr>
            <w:tcW w:type="dxa" w:w="336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Units for the measurement range (e.g. kPa, degC, m3/h)</w:t>
            </w:r>
          </w:p>
        </w:tc>
        <w:tc>
          <w:tcPr>
            <w:tcW w:type="dxa" w:w="144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166534"/>
                <w:sz w:val="19"/>
                <w:szCs w:val="19"/>
              </w:rPr>
              <w:t xml:space="preserve">Optional</w:t>
            </w:r>
          </w:p>
        </w:tc>
        <w:tc>
          <w:tcPr>
            <w:tcW w:type="dxa" w:w="216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kPa</w:t>
            </w:r>
          </w:p>
        </w:tc>
      </w:tr>
      <w:tr>
        <w:tc>
          <w:tcPr>
            <w:tcW w:type="dxa" w:w="240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0F172A"/>
                <w:sz w:val="19"/>
                <w:szCs w:val="19"/>
              </w:rPr>
              <w:t xml:space="preserve">output_type</w:t>
            </w:r>
          </w:p>
        </w:tc>
        <w:tc>
          <w:tcPr>
            <w:tcW w:type="dxa" w:w="336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Instrument output signal type</w:t>
            </w:r>
          </w:p>
        </w:tc>
        <w:tc>
          <w:tcPr>
            <w:tcW w:type="dxa" w:w="144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166534"/>
                <w:sz w:val="19"/>
                <w:szCs w:val="19"/>
              </w:rPr>
              <w:t xml:space="preserve">Optional</w:t>
            </w:r>
          </w:p>
        </w:tc>
        <w:tc>
          <w:tcPr>
            <w:tcW w:type="dxa" w:w="216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4-20mA</w:t>
            </w:r>
          </w:p>
        </w:tc>
      </w:tr>
      <w:tr>
        <w:tc>
          <w:tcPr>
            <w:tcW w:type="dxa" w:w="240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0F172A"/>
                <w:sz w:val="19"/>
                <w:szCs w:val="19"/>
              </w:rPr>
              <w:t xml:space="preserve">calibration_interval_days</w:t>
            </w:r>
          </w:p>
        </w:tc>
        <w:tc>
          <w:tcPr>
            <w:tcW w:type="dxa" w:w="336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Calibration interval in days (e.g. 365 for annual)</w:t>
            </w:r>
          </w:p>
        </w:tc>
        <w:tc>
          <w:tcPr>
            <w:tcW w:type="dxa" w:w="144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991B1B"/>
                <w:sz w:val="19"/>
                <w:szCs w:val="19"/>
              </w:rPr>
              <w:t xml:space="preserve">REQUIRED</w:t>
            </w:r>
          </w:p>
        </w:tc>
        <w:tc>
          <w:tcPr>
            <w:tcW w:type="dxa" w:w="216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365</w:t>
            </w:r>
          </w:p>
        </w:tc>
      </w:tr>
      <w:tr>
        <w:tc>
          <w:tcPr>
            <w:tcW w:type="dxa" w:w="240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0F172A"/>
                <w:sz w:val="19"/>
                <w:szCs w:val="19"/>
              </w:rPr>
              <w:t xml:space="preserve">tolerance_type</w:t>
            </w:r>
          </w:p>
        </w:tc>
        <w:tc>
          <w:tcPr>
            <w:tcW w:type="dxa" w:w="336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One of: percent_span / percent_reading / absolute</w:t>
            </w:r>
          </w:p>
        </w:tc>
        <w:tc>
          <w:tcPr>
            <w:tcW w:type="dxa" w:w="144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166534"/>
                <w:sz w:val="19"/>
                <w:szCs w:val="19"/>
              </w:rPr>
              <w:t xml:space="preserve">Optional</w:t>
            </w:r>
          </w:p>
        </w:tc>
        <w:tc>
          <w:tcPr>
            <w:tcW w:type="dxa" w:w="216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percent_span</w:t>
            </w:r>
          </w:p>
        </w:tc>
      </w:tr>
      <w:tr>
        <w:tc>
          <w:tcPr>
            <w:tcW w:type="dxa" w:w="240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0F172A"/>
                <w:sz w:val="19"/>
                <w:szCs w:val="19"/>
              </w:rPr>
              <w:t xml:space="preserve">tolerance_value</w:t>
            </w:r>
          </w:p>
        </w:tc>
        <w:tc>
          <w:tcPr>
            <w:tcW w:type="dxa" w:w="336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Tolerance value matching the tolerance_type above</w:t>
            </w:r>
          </w:p>
        </w:tc>
        <w:tc>
          <w:tcPr>
            <w:tcW w:type="dxa" w:w="144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166534"/>
                <w:sz w:val="19"/>
                <w:szCs w:val="19"/>
              </w:rPr>
              <w:t xml:space="preserve">Optional</w:t>
            </w:r>
          </w:p>
        </w:tc>
        <w:tc>
          <w:tcPr>
            <w:tcW w:type="dxa" w:w="216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0.5</w:t>
            </w:r>
          </w:p>
        </w:tc>
      </w:tr>
      <w:tr>
        <w:tc>
          <w:tcPr>
            <w:tcW w:type="dxa" w:w="240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0F172A"/>
                <w:sz w:val="19"/>
                <w:szCs w:val="19"/>
              </w:rPr>
              <w:t xml:space="preserve">num_test_points</w:t>
            </w:r>
          </w:p>
        </w:tc>
        <w:tc>
          <w:tcPr>
            <w:tcW w:type="dxa" w:w="336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Number of calibration test points (default 5 if blank)</w:t>
            </w:r>
          </w:p>
        </w:tc>
        <w:tc>
          <w:tcPr>
            <w:tcW w:type="dxa" w:w="144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166534"/>
                <w:sz w:val="19"/>
                <w:szCs w:val="19"/>
              </w:rPr>
              <w:t xml:space="preserve">Optional</w:t>
            </w:r>
          </w:p>
        </w:tc>
        <w:tc>
          <w:tcPr>
            <w:tcW w:type="dxa" w:w="216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5</w:t>
            </w:r>
          </w:p>
        </w:tc>
      </w:tr>
      <w:tr>
        <w:tc>
          <w:tcPr>
            <w:tcW w:type="dxa" w:w="240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0F172A"/>
                <w:sz w:val="19"/>
                <w:szCs w:val="19"/>
              </w:rPr>
              <w:t xml:space="preserve">criticality</w:t>
            </w:r>
          </w:p>
        </w:tc>
        <w:tc>
          <w:tcPr>
            <w:tcW w:type="dxa" w:w="336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One of: safety_critical / process_critical / standard / non_critical</w:t>
            </w:r>
          </w:p>
        </w:tc>
        <w:tc>
          <w:tcPr>
            <w:tcW w:type="dxa" w:w="144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166534"/>
                <w:sz w:val="19"/>
                <w:szCs w:val="19"/>
              </w:rPr>
              <w:t xml:space="preserve">Optional</w:t>
            </w:r>
          </w:p>
        </w:tc>
        <w:tc>
          <w:tcPr>
            <w:tcW w:type="dxa" w:w="216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standard</w:t>
            </w:r>
          </w:p>
        </w:tc>
      </w:tr>
      <w:tr>
        <w:tc>
          <w:tcPr>
            <w:tcW w:type="dxa" w:w="240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0F172A"/>
                <w:sz w:val="19"/>
                <w:szCs w:val="19"/>
              </w:rPr>
              <w:t xml:space="preserve">status</w:t>
            </w:r>
          </w:p>
        </w:tc>
        <w:tc>
          <w:tcPr>
            <w:tcW w:type="dxa" w:w="336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One of: active / spare / out_of_service / decommissioned</w:t>
            </w:r>
          </w:p>
        </w:tc>
        <w:tc>
          <w:tcPr>
            <w:tcW w:type="dxa" w:w="144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166534"/>
                <w:sz w:val="19"/>
                <w:szCs w:val="19"/>
              </w:rPr>
              <w:t xml:space="preserve">Optional</w:t>
            </w:r>
          </w:p>
        </w:tc>
        <w:tc>
          <w:tcPr>
            <w:tcW w:type="dxa" w:w="216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active</w:t>
            </w:r>
          </w:p>
        </w:tc>
      </w:tr>
      <w:tr>
        <w:tc>
          <w:tcPr>
            <w:tcW w:type="dxa" w:w="240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0F172A"/>
                <w:sz w:val="19"/>
                <w:szCs w:val="19"/>
              </w:rPr>
              <w:t xml:space="preserve">procedure_reference</w:t>
            </w:r>
          </w:p>
        </w:tc>
        <w:tc>
          <w:tcPr>
            <w:tcW w:type="dxa" w:w="336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Calibration procedure document number</w:t>
            </w:r>
          </w:p>
        </w:tc>
        <w:tc>
          <w:tcPr>
            <w:tcW w:type="dxa" w:w="144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166534"/>
                <w:sz w:val="19"/>
                <w:szCs w:val="19"/>
              </w:rPr>
              <w:t xml:space="preserve">Optional</w:t>
            </w:r>
          </w:p>
        </w:tc>
        <w:tc>
          <w:tcPr>
            <w:tcW w:type="dxa" w:w="216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CAL-PROC-001</w:t>
            </w:r>
          </w:p>
        </w:tc>
      </w:tr>
      <w:tr>
        <w:tc>
          <w:tcPr>
            <w:tcW w:type="dxa" w:w="240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0F172A"/>
                <w:sz w:val="19"/>
                <w:szCs w:val="19"/>
              </w:rPr>
              <w:t xml:space="preserve">last_calibration_date</w:t>
            </w:r>
          </w:p>
        </w:tc>
        <w:tc>
          <w:tcPr>
            <w:tcW w:type="dxa" w:w="336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Date of most recent calibration (YYYY-MM-DD format)</w:t>
            </w:r>
          </w:p>
        </w:tc>
        <w:tc>
          <w:tcPr>
            <w:tcW w:type="dxa" w:w="144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166534"/>
                <w:sz w:val="19"/>
                <w:szCs w:val="19"/>
              </w:rPr>
              <w:t xml:space="preserve">Optional</w:t>
            </w:r>
          </w:p>
        </w:tc>
        <w:tc>
          <w:tcPr>
            <w:tcW w:type="dxa" w:w="216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2025-08-15</w:t>
            </w:r>
          </w:p>
        </w:tc>
      </w:tr>
      <w:tr>
        <w:tc>
          <w:tcPr>
            <w:tcW w:type="dxa" w:w="240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0F172A"/>
                <w:sz w:val="19"/>
                <w:szCs w:val="19"/>
              </w:rPr>
              <w:t xml:space="preserve">last_calibration_result</w:t>
            </w:r>
          </w:p>
        </w:tc>
        <w:tc>
          <w:tcPr>
            <w:tcW w:type="dxa" w:w="336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One of: pass / fail / marginal / not_calibrated</w:t>
            </w:r>
          </w:p>
        </w:tc>
        <w:tc>
          <w:tcPr>
            <w:tcW w:type="dxa" w:w="144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166534"/>
                <w:sz w:val="19"/>
                <w:szCs w:val="19"/>
              </w:rPr>
              <w:t xml:space="preserve">Optional</w:t>
            </w:r>
          </w:p>
        </w:tc>
        <w:tc>
          <w:tcPr>
            <w:tcW w:type="dxa" w:w="216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pass</w:t>
            </w:r>
          </w:p>
        </w:tc>
      </w:tr>
    </w:tbl>
    <w:p>
      <w:pPr>
        <w:spacing w:after="240"/>
      </w:pPr>
      <w:r>
        <w:t xml:space="preserve"/>
      </w:r>
    </w:p>
    <w:p>
      <w:r>
        <w:br w:type="page"/>
      </w:r>
    </w:p>
    <w:p>
      <w:pPr>
        <w:pStyle w:val="Heading1"/>
      </w:pPr>
      <w:r>
        <w:t xml:space="preserve">Step 3 — MEX to CalTrack Column Mapping</w:t>
      </w:r>
    </w:p>
    <w:p>
      <w:pPr>
        <w:spacing w:after="140"/>
      </w:pPr>
      <w:r>
        <w:rPr>
          <w:rFonts w:ascii="Arial" w:cs="Arial" w:eastAsia="Arial" w:hAnsi="Arial"/>
          <w:color w:val="64748B"/>
          <w:sz w:val="22"/>
          <w:szCs w:val="22"/>
        </w:rPr>
        <w:t xml:space="preserve">The table below shows the most common MEX field names and the equivalent CalTrack Pro field. MEX field names vary slightly between installations depending on your customisations — match by meaning if the exact name differs.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MEX Field Name</w:t>
            </w:r>
          </w:p>
        </w:tc>
        <w:tc>
          <w:tcPr>
            <w:tcW w:type="dxa" w:w="2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CalTrack Pro Field</w:t>
            </w:r>
          </w:p>
        </w:tc>
        <w:tc>
          <w:tcPr>
            <w:tcW w:type="dxa" w:w="37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1E293B"/>
                <w:sz w:val="19"/>
                <w:szCs w:val="19"/>
              </w:rPr>
              <w:t xml:space="preserve">Equipment ID / Equipment No.</w:t>
            </w:r>
          </w:p>
        </w:tc>
        <w:tc>
          <w:tcPr>
            <w:tcW w:type="dxa" w:w="280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0F172A"/>
                <w:sz w:val="19"/>
                <w:szCs w:val="19"/>
              </w:rPr>
              <w:t xml:space="preserve">tag_number</w:t>
            </w:r>
          </w:p>
        </w:tc>
        <w:tc>
          <w:tcPr>
            <w:tcW w:type="dxa" w:w="376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This is the instrument tag. Ensure consistent format (e.g. always use hyphens: PT-1023A)</w:t>
            </w:r>
          </w:p>
        </w:tc>
      </w:tr>
      <w:tr>
        <w:tc>
          <w:tcPr>
            <w:tcW w:type="dxa" w:w="280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1E293B"/>
                <w:sz w:val="19"/>
                <w:szCs w:val="19"/>
              </w:rPr>
              <w:t xml:space="preserve">Description / Equipment Name</w:t>
            </w:r>
          </w:p>
        </w:tc>
        <w:tc>
          <w:tcPr>
            <w:tcW w:type="dxa" w:w="280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0F172A"/>
                <w:sz w:val="19"/>
                <w:szCs w:val="19"/>
              </w:rPr>
              <w:t xml:space="preserve">description</w:t>
            </w:r>
          </w:p>
        </w:tc>
        <w:tc>
          <w:tcPr>
            <w:tcW w:type="dxa" w:w="376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Use the service description, not just the type. 'Feed pump discharge pressure' is better than 'Pressure Transmitter'</w:t>
            </w:r>
          </w:p>
        </w:tc>
      </w:tr>
      <w:tr>
        <w:tc>
          <w:tcPr>
            <w:tcW w:type="dxa" w:w="280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1E293B"/>
                <w:sz w:val="19"/>
                <w:szCs w:val="19"/>
              </w:rPr>
              <w:t xml:space="preserve">Location / Site Location</w:t>
            </w:r>
          </w:p>
        </w:tc>
        <w:tc>
          <w:tcPr>
            <w:tcW w:type="dxa" w:w="280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0F172A"/>
                <w:sz w:val="19"/>
                <w:szCs w:val="19"/>
              </w:rPr>
              <w:t xml:space="preserve">area</w:t>
            </w:r>
          </w:p>
        </w:tc>
        <w:tc>
          <w:tcPr>
            <w:tcW w:type="dxa" w:w="376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The plant area or zone. If MEX uses a location hierarchy, use the most specific level (e.g. Unit 1 rather than Site)</w:t>
            </w:r>
          </w:p>
        </w:tc>
      </w:tr>
      <w:tr>
        <w:tc>
          <w:tcPr>
            <w:tcW w:type="dxa" w:w="280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1E293B"/>
                <w:sz w:val="19"/>
                <w:szCs w:val="19"/>
              </w:rPr>
              <w:t xml:space="preserve">Department / Cost Centre</w:t>
            </w:r>
          </w:p>
        </w:tc>
        <w:tc>
          <w:tcPr>
            <w:tcW w:type="dxa" w:w="280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0F172A"/>
                <w:sz w:val="19"/>
                <w:szCs w:val="19"/>
              </w:rPr>
              <w:t xml:space="preserve">unit</w:t>
            </w:r>
          </w:p>
        </w:tc>
        <w:tc>
          <w:tcPr>
            <w:tcW w:type="dxa" w:w="376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Can be left blank or used to capture the plant unit / train</w:t>
            </w:r>
          </w:p>
        </w:tc>
      </w:tr>
      <w:tr>
        <w:tc>
          <w:tcPr>
            <w:tcW w:type="dxa" w:w="280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1E293B"/>
                <w:sz w:val="19"/>
                <w:szCs w:val="19"/>
              </w:rPr>
              <w:t xml:space="preserve">Equipment Type / Category</w:t>
            </w:r>
          </w:p>
        </w:tc>
        <w:tc>
          <w:tcPr>
            <w:tcW w:type="dxa" w:w="280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0F172A"/>
                <w:sz w:val="19"/>
                <w:szCs w:val="19"/>
              </w:rPr>
              <w:t xml:space="preserve">instrument_type</w:t>
            </w:r>
          </w:p>
        </w:tc>
        <w:tc>
          <w:tcPr>
            <w:tcW w:type="dxa" w:w="376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Map to CalTrack values: pressure / temperature / flow / level / analyser / switch / valve / other</w:t>
            </w:r>
          </w:p>
        </w:tc>
      </w:tr>
      <w:tr>
        <w:tc>
          <w:tcPr>
            <w:tcW w:type="dxa" w:w="280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1E293B"/>
                <w:sz w:val="19"/>
                <w:szCs w:val="19"/>
              </w:rPr>
              <w:t xml:space="preserve">Manufacturer / Make</w:t>
            </w:r>
          </w:p>
        </w:tc>
        <w:tc>
          <w:tcPr>
            <w:tcW w:type="dxa" w:w="280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0F172A"/>
                <w:sz w:val="19"/>
                <w:szCs w:val="19"/>
              </w:rPr>
              <w:t xml:space="preserve">manufacturer</w:t>
            </w:r>
          </w:p>
        </w:tc>
        <w:tc>
          <w:tcPr>
            <w:tcW w:type="dxa" w:w="376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Direct copy</w:t>
            </w:r>
          </w:p>
        </w:tc>
      </w:tr>
      <w:tr>
        <w:tc>
          <w:tcPr>
            <w:tcW w:type="dxa" w:w="280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1E293B"/>
                <w:sz w:val="19"/>
                <w:szCs w:val="19"/>
              </w:rPr>
              <w:t xml:space="preserve">Model / Model No.</w:t>
            </w:r>
          </w:p>
        </w:tc>
        <w:tc>
          <w:tcPr>
            <w:tcW w:type="dxa" w:w="280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0F172A"/>
                <w:sz w:val="19"/>
                <w:szCs w:val="19"/>
              </w:rPr>
              <w:t xml:space="preserve">model</w:t>
            </w:r>
          </w:p>
        </w:tc>
        <w:tc>
          <w:tcPr>
            <w:tcW w:type="dxa" w:w="376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Direct copy</w:t>
            </w:r>
          </w:p>
        </w:tc>
      </w:tr>
      <w:tr>
        <w:tc>
          <w:tcPr>
            <w:tcW w:type="dxa" w:w="280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1E293B"/>
                <w:sz w:val="19"/>
                <w:szCs w:val="19"/>
              </w:rPr>
              <w:t xml:space="preserve">Serial No. / Serial Number</w:t>
            </w:r>
          </w:p>
        </w:tc>
        <w:tc>
          <w:tcPr>
            <w:tcW w:type="dxa" w:w="280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0F172A"/>
                <w:sz w:val="19"/>
                <w:szCs w:val="19"/>
              </w:rPr>
              <w:t xml:space="preserve">serial_number</w:t>
            </w:r>
          </w:p>
        </w:tc>
        <w:tc>
          <w:tcPr>
            <w:tcW w:type="dxa" w:w="376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Direct copy</w:t>
            </w:r>
          </w:p>
        </w:tc>
      </w:tr>
      <w:tr>
        <w:tc>
          <w:tcPr>
            <w:tcW w:type="dxa" w:w="280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1E293B"/>
                <w:sz w:val="19"/>
                <w:szCs w:val="19"/>
              </w:rPr>
              <w:t xml:space="preserve">Custom: Cal Interval (days)</w:t>
            </w:r>
          </w:p>
        </w:tc>
        <w:tc>
          <w:tcPr>
            <w:tcW w:type="dxa" w:w="280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0F172A"/>
                <w:sz w:val="19"/>
                <w:szCs w:val="19"/>
              </w:rPr>
              <w:t xml:space="preserve">calibration_interval_days</w:t>
            </w:r>
          </w:p>
        </w:tc>
        <w:tc>
          <w:tcPr>
            <w:tcW w:type="dxa" w:w="376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If MEX stores this as months, multiply by 30. If stored as years, multiply by 365</w:t>
            </w:r>
          </w:p>
        </w:tc>
      </w:tr>
      <w:tr>
        <w:tc>
          <w:tcPr>
            <w:tcW w:type="dxa" w:w="280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1E293B"/>
                <w:sz w:val="19"/>
                <w:szCs w:val="19"/>
              </w:rPr>
              <w:t xml:space="preserve">Custom: Range Low / LRV</w:t>
            </w:r>
          </w:p>
        </w:tc>
        <w:tc>
          <w:tcPr>
            <w:tcW w:type="dxa" w:w="280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0F172A"/>
                <w:sz w:val="19"/>
                <w:szCs w:val="19"/>
              </w:rPr>
              <w:t xml:space="preserve">measurement_lrv</w:t>
            </w:r>
          </w:p>
        </w:tc>
        <w:tc>
          <w:tcPr>
            <w:tcW w:type="dxa" w:w="376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Numeric only. Strip any units (e.g. '0 kPa' becomes '0')</w:t>
            </w:r>
          </w:p>
        </w:tc>
      </w:tr>
      <w:tr>
        <w:tc>
          <w:tcPr>
            <w:tcW w:type="dxa" w:w="280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1E293B"/>
                <w:sz w:val="19"/>
                <w:szCs w:val="19"/>
              </w:rPr>
              <w:t xml:space="preserve">Custom: Range High / URV</w:t>
            </w:r>
          </w:p>
        </w:tc>
        <w:tc>
          <w:tcPr>
            <w:tcW w:type="dxa" w:w="280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0F172A"/>
                <w:sz w:val="19"/>
                <w:szCs w:val="19"/>
              </w:rPr>
              <w:t xml:space="preserve">measurement_urv</w:t>
            </w:r>
          </w:p>
        </w:tc>
        <w:tc>
          <w:tcPr>
            <w:tcW w:type="dxa" w:w="376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Numeric only. Strip any units</w:t>
            </w:r>
          </w:p>
        </w:tc>
      </w:tr>
      <w:tr>
        <w:tc>
          <w:tcPr>
            <w:tcW w:type="dxa" w:w="280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1E293B"/>
                <w:sz w:val="19"/>
                <w:szCs w:val="19"/>
              </w:rPr>
              <w:t xml:space="preserve">Custom: Units / Eng. Units</w:t>
            </w:r>
          </w:p>
        </w:tc>
        <w:tc>
          <w:tcPr>
            <w:tcW w:type="dxa" w:w="280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0F172A"/>
                <w:sz w:val="19"/>
                <w:szCs w:val="19"/>
              </w:rPr>
              <w:t xml:space="preserve">engineering_units</w:t>
            </w:r>
          </w:p>
        </w:tc>
        <w:tc>
          <w:tcPr>
            <w:tcW w:type="dxa" w:w="376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e.g. kPa, degC, m3/h, %</w:t>
            </w:r>
          </w:p>
        </w:tc>
      </w:tr>
      <w:tr>
        <w:tc>
          <w:tcPr>
            <w:tcW w:type="dxa" w:w="280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1E293B"/>
                <w:sz w:val="19"/>
                <w:szCs w:val="19"/>
              </w:rPr>
              <w:t xml:space="preserve">Custom: Tolerance</w:t>
            </w:r>
          </w:p>
        </w:tc>
        <w:tc>
          <w:tcPr>
            <w:tcW w:type="dxa" w:w="280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0F172A"/>
                <w:sz w:val="19"/>
                <w:szCs w:val="19"/>
              </w:rPr>
              <w:t xml:space="preserve">tolerance_value</w:t>
            </w:r>
          </w:p>
        </w:tc>
        <w:tc>
          <w:tcPr>
            <w:tcW w:type="dxa" w:w="376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Numeric value only. Set tolerance_type separately</w:t>
            </w:r>
          </w:p>
        </w:tc>
      </w:tr>
      <w:tr>
        <w:tc>
          <w:tcPr>
            <w:tcW w:type="dxa" w:w="280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1E293B"/>
                <w:sz w:val="19"/>
                <w:szCs w:val="19"/>
              </w:rPr>
              <w:t xml:space="preserve">Status / Equipment Status</w:t>
            </w:r>
          </w:p>
        </w:tc>
        <w:tc>
          <w:tcPr>
            <w:tcW w:type="dxa" w:w="280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0F172A"/>
                <w:sz w:val="19"/>
                <w:szCs w:val="19"/>
              </w:rPr>
              <w:t xml:space="preserve">status</w:t>
            </w:r>
          </w:p>
        </w:tc>
        <w:tc>
          <w:tcPr>
            <w:tcW w:type="dxa" w:w="376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Map 'Active' → active, 'Spare' → spare, 'Inactive'/'Decommissioned' → decommissioned</w:t>
            </w:r>
          </w:p>
        </w:tc>
      </w:tr>
      <w:tr>
        <w:tc>
          <w:tcPr>
            <w:tcW w:type="dxa" w:w="280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1E293B"/>
                <w:sz w:val="19"/>
                <w:szCs w:val="19"/>
              </w:rPr>
              <w:t xml:space="preserve">Last Service Date / Last Cal Date</w:t>
            </w:r>
          </w:p>
        </w:tc>
        <w:tc>
          <w:tcPr>
            <w:tcW w:type="dxa" w:w="280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0F172A"/>
                <w:sz w:val="19"/>
                <w:szCs w:val="19"/>
              </w:rPr>
              <w:t xml:space="preserve">last_calibration_date</w:t>
            </w:r>
          </w:p>
        </w:tc>
        <w:tc>
          <w:tcPr>
            <w:tcW w:type="dxa" w:w="376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Convert to YYYY-MM-DD format. Excel formula: =TEXT(A2,"YYYY-MM-DD")</w:t>
            </w:r>
          </w:p>
        </w:tc>
      </w:tr>
      <w:tr>
        <w:tc>
          <w:tcPr>
            <w:tcW w:type="dxa" w:w="280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1E293B"/>
                <w:sz w:val="19"/>
                <w:szCs w:val="19"/>
              </w:rPr>
              <w:t xml:space="preserve">Last Result / Cal Result</w:t>
            </w:r>
          </w:p>
        </w:tc>
        <w:tc>
          <w:tcPr>
            <w:tcW w:type="dxa" w:w="280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0F172A"/>
                <w:sz w:val="19"/>
                <w:szCs w:val="19"/>
              </w:rPr>
              <w:t xml:space="preserve">last_calibration_result</w:t>
            </w:r>
          </w:p>
        </w:tc>
        <w:tc>
          <w:tcPr>
            <w:tcW w:type="dxa" w:w="376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Map to: pass / fail / marginal / not_calibrated. Leave blank if unknown</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100"/>
              <w:left w:type="dxa" w:w="180"/>
              <w:bottom w:type="dxa" w:w="80"/>
              <w:right w:type="dxa" w:w="180"/>
            </w:tcMar>
          </w:tcPr>
          <w:p>
            <w:r>
              <w:rPr>
                <w:rFonts w:ascii="Arial" w:cs="Arial" w:eastAsia="Arial" w:hAnsi="Arial"/>
                <w:b/>
                <w:bCs/>
                <w:color w:val="FFFFFF"/>
                <w:sz w:val="21"/>
                <w:szCs w:val="21"/>
              </w:rPr>
              <w:t xml:space="preserve">Tip: instrument_type values</w:t>
            </w:r>
          </w:p>
        </w:tc>
      </w:tr>
      <w:tr>
        <w:tc>
          <w:tcPr>
            <w:tcW w:type="dxa" w:w="9360"/>
            <w:tcBorders>
              <w:top w:val="none" w:color="FFFFFF" w:sz="0"/>
              <w:left w:val="none" w:color="FFFFFF" w:sz="0"/>
              <w:bottom w:val="none" w:color="FFFFFF" w:sz="0"/>
              <w:right w:val="none" w:color="FFFFFF" w:sz="0"/>
            </w:tcBorders>
            <w:shd w:fill="DBEAFE" w:val="clear"/>
            <w:tcMar>
              <w:top w:type="dxa" w:w="120"/>
              <w:left w:type="dxa" w:w="180"/>
              <w:bottom w:type="dxa" w:w="40"/>
              <w:right w:type="dxa" w:w="180"/>
            </w:tcMar>
          </w:tcPr>
          <w:p>
            <w:r>
              <w:rPr>
                <w:rFonts w:ascii="Arial" w:cs="Arial" w:eastAsia="Arial" w:hAnsi="Arial"/>
                <w:color w:val="64748B"/>
                <w:sz w:val="20"/>
                <w:szCs w:val="20"/>
              </w:rPr>
              <w:t xml:space="preserve">MEX often uses free-text equipment types like 'Transmitter', 'Switch', 'Valve'. Map these to CalTrack values:</w:t>
            </w:r>
          </w:p>
        </w:tc>
      </w:tr>
      <w:tr>
        <w:tc>
          <w:tcPr>
            <w:tcW w:type="dxa" w:w="9360"/>
            <w:tcBorders>
              <w:top w:val="none" w:color="FFFFFF" w:sz="0"/>
              <w:left w:val="none" w:color="FFFFFF" w:sz="0"/>
              <w:bottom w:val="none" w:color="FFFFFF" w:sz="0"/>
              <w:right w:val="none" w:color="FFFFFF" w:sz="0"/>
            </w:tcBorders>
            <w:shd w:fill="DBEAFE" w:val="clear"/>
            <w:tcMar>
              <w:top w:type="dxa" w:w="40"/>
              <w:left w:type="dxa" w:w="180"/>
              <w:bottom w:type="dxa" w:w="40"/>
              <w:right w:type="dxa" w:w="180"/>
            </w:tcMar>
          </w:tcPr>
          <w:p>
            <w:r>
              <w:rPr>
                <w:rFonts w:ascii="Arial" w:cs="Arial" w:eastAsia="Arial" w:hAnsi="Arial"/>
                <w:color w:val="64748B"/>
                <w:sz w:val="20"/>
                <w:szCs w:val="20"/>
              </w:rPr>
              <w:t xml:space="preserve">Pressure Transmitter, PT → pressure      |      Temperature Element, TE, TT → temperature</w:t>
            </w:r>
          </w:p>
        </w:tc>
      </w:tr>
      <w:tr>
        <w:tc>
          <w:tcPr>
            <w:tcW w:type="dxa" w:w="9360"/>
            <w:tcBorders>
              <w:top w:val="none" w:color="FFFFFF" w:sz="0"/>
              <w:left w:val="none" w:color="FFFFFF" w:sz="0"/>
              <w:bottom w:val="none" w:color="FFFFFF" w:sz="0"/>
              <w:right w:val="none" w:color="FFFFFF" w:sz="0"/>
            </w:tcBorders>
            <w:shd w:fill="DBEAFE" w:val="clear"/>
            <w:tcMar>
              <w:top w:type="dxa" w:w="40"/>
              <w:left w:type="dxa" w:w="180"/>
              <w:bottom w:type="dxa" w:w="40"/>
              <w:right w:type="dxa" w:w="180"/>
            </w:tcMar>
          </w:tcPr>
          <w:p>
            <w:r>
              <w:rPr>
                <w:rFonts w:ascii="Arial" w:cs="Arial" w:eastAsia="Arial" w:hAnsi="Arial"/>
                <w:color w:val="64748B"/>
                <w:sz w:val="20"/>
                <w:szCs w:val="20"/>
              </w:rPr>
              <w:t xml:space="preserve">Flow Meter, FT, FM → flow              |      Level Transmitter, LT → level</w:t>
            </w:r>
          </w:p>
        </w:tc>
      </w:tr>
      <w:tr>
        <w:tc>
          <w:tcPr>
            <w:tcW w:type="dxa" w:w="9360"/>
            <w:tcBorders>
              <w:top w:val="none" w:color="FFFFFF" w:sz="0"/>
              <w:left w:val="none" w:color="FFFFFF" w:sz="0"/>
              <w:bottom w:val="none" w:color="FFFFFF" w:sz="0"/>
              <w:right w:val="none" w:color="FFFFFF" w:sz="0"/>
            </w:tcBorders>
            <w:shd w:fill="DBEAFE" w:val="clear"/>
            <w:tcMar>
              <w:top w:type="dxa" w:w="40"/>
              <w:left w:type="dxa" w:w="180"/>
              <w:bottom w:type="dxa" w:w="40"/>
              <w:right w:type="dxa" w:w="180"/>
            </w:tcMar>
          </w:tcPr>
          <w:p>
            <w:r>
              <w:rPr>
                <w:rFonts w:ascii="Arial" w:cs="Arial" w:eastAsia="Arial" w:hAnsi="Arial"/>
                <w:color w:val="64748B"/>
                <w:sz w:val="20"/>
                <w:szCs w:val="20"/>
              </w:rPr>
              <w:t xml:space="preserve">Analyser, AT, AE → analyser            |      Pressure Switch, Level Switch, PSH, LSH → switch</w:t>
            </w:r>
          </w:p>
        </w:tc>
      </w:tr>
      <w:tr>
        <w:tc>
          <w:tcPr>
            <w:tcW w:type="dxa" w:w="9360"/>
            <w:tcBorders>
              <w:top w:val="none" w:color="FFFFFF" w:sz="0"/>
              <w:left w:val="none" w:color="FFFFFF" w:sz="0"/>
              <w:bottom w:val="none" w:color="FFFFFF" w:sz="0"/>
              <w:right w:val="none" w:color="FFFFFF" w:sz="0"/>
            </w:tcBorders>
            <w:shd w:fill="DBEAFE" w:val="clear"/>
            <w:tcMar>
              <w:top w:type="dxa" w:w="40"/>
              <w:left w:type="dxa" w:w="180"/>
              <w:bottom w:type="dxa" w:w="40"/>
              <w:right w:type="dxa" w:w="180"/>
            </w:tcMar>
          </w:tcPr>
          <w:p>
            <w:r>
              <w:rPr>
                <w:rFonts w:ascii="Arial" w:cs="Arial" w:eastAsia="Arial" w:hAnsi="Arial"/>
                <w:color w:val="64748B"/>
                <w:sz w:val="20"/>
                <w:szCs w:val="20"/>
              </w:rPr>
              <w:t xml:space="preserve">Control Valve, CV, PCV → valve          |      Everything else → other</w:t>
            </w:r>
          </w:p>
        </w:tc>
      </w:tr>
      <w:tr>
        <w:tc>
          <w:tcPr>
            <w:tcW w:type="dxa" w:w="9360"/>
            <w:tcBorders>
              <w:top w:val="none" w:color="FFFFFF" w:sz="0"/>
              <w:left w:val="none" w:color="FFFFFF" w:sz="0"/>
              <w:bottom w:val="none" w:color="FFFFFF" w:sz="0"/>
              <w:right w:val="none" w:color="FFFFFF" w:sz="0"/>
            </w:tcBorders>
            <w:shd w:fill="DBEAFE" w:val="clear"/>
            <w:tcMar>
              <w:top w:type="dxa" w:w="40"/>
              <w:left w:type="dxa" w:w="180"/>
              <w:bottom w:type="dxa" w:w="120"/>
              <w:right w:type="dxa" w:w="180"/>
            </w:tcMar>
          </w:tcPr>
          <w:p>
            <w:r>
              <w:rPr>
                <w:rFonts w:ascii="Arial" w:cs="Arial" w:eastAsia="Arial" w:hAnsi="Arial"/>
                <w:color w:val="64748B"/>
                <w:sz w:val="20"/>
                <w:szCs w:val="20"/>
              </w:rPr>
              <w:t xml:space="preserve">In Excel, use VLOOKUP or SUBSTITUTE to automate this mapping across large datasets.</w:t>
            </w:r>
          </w:p>
        </w:tc>
      </w:tr>
    </w:tbl>
    <w:p>
      <w:pPr>
        <w:spacing w:after="200"/>
      </w:pPr>
      <w:r>
        <w:t xml:space="preserve"/>
      </w:r>
    </w:p>
    <w:p>
      <w:r>
        <w:br w:type="page"/>
      </w:r>
    </w:p>
    <w:p>
      <w:pPr>
        <w:pStyle w:val="Heading1"/>
      </w:pPr>
      <w:r>
        <w:t xml:space="preserve">Step 4 — Format Dates and Clean Up in Excel</w:t>
      </w:r>
    </w:p>
    <w:p>
      <w:pPr>
        <w:pStyle w:val="Heading2"/>
      </w:pPr>
      <w:r>
        <w:t xml:space="preserve">4.1 Convert Dates to YYYY-MM-DD</w:t>
      </w:r>
    </w:p>
    <w:p>
      <w:pPr>
        <w:spacing w:after="140"/>
      </w:pPr>
      <w:r>
        <w:rPr>
          <w:rFonts w:ascii="Arial" w:cs="Arial" w:eastAsia="Arial" w:hAnsi="Arial"/>
          <w:color w:val="64748B"/>
          <w:sz w:val="22"/>
          <w:szCs w:val="22"/>
        </w:rPr>
        <w:t xml:space="preserve">CalTrack Pro requires dates in ISO format: YYYY-MM-DD (e.g. 2025-08-15). MEX typically exports dates as DD/MM/YYYY. You must convert these before importing.</w:t>
      </w:r>
    </w:p>
    <w:p>
      <w:pPr>
        <w:spacing w:after="160"/>
      </w:pPr>
      <w:r>
        <w:t xml:space="preserve"/>
      </w:r>
    </w:p>
    <w:p>
      <w:pPr>
        <w:spacing w:after="140"/>
      </w:pPr>
      <w:r>
        <w:rPr>
          <w:rFonts w:ascii="Arial" w:cs="Arial" w:eastAsia="Arial" w:hAnsi="Arial"/>
          <w:color w:val="64748B"/>
          <w:sz w:val="22"/>
          <w:szCs w:val="22"/>
        </w:rPr>
        <w:t xml:space="preserve">In Excel, if your MEX dates are in column G, add a helper column with this formula:</w:t>
      </w:r>
    </w:p>
    <w:p>
      <w:pPr>
        <w:spacing w:after="80"/>
      </w:pPr>
      <w:r>
        <w:t xml:space="preserve"/>
      </w:r>
    </w:p>
    <w:p>
      <w:pPr>
        <w:pBdr>
          <w:left w:val="single" w:color="93C5FD" w:sz="6" w:space="6"/>
        </w:pBdr>
        <w:shd w:fill="F8FAFC" w:val="clear"/>
        <w:spacing w:after="80" w:before="80"/>
        <w:ind w:left="360"/>
      </w:pPr>
      <w:r>
        <w:rPr>
          <w:rFonts w:ascii="Courier New" w:cs="Courier New" w:eastAsia="Courier New" w:hAnsi="Courier New"/>
          <w:color w:val="0F172A"/>
          <w:sz w:val="18"/>
          <w:szCs w:val="18"/>
        </w:rPr>
        <w:t xml:space="preserve">=TEXT(G2,"YYYY-MM-DD")</w:t>
      </w:r>
    </w:p>
    <w:p>
      <w:pPr>
        <w:spacing w:after="80"/>
      </w:pPr>
      <w:r>
        <w:t xml:space="preserve"/>
      </w:r>
    </w:p>
    <w:p>
      <w:pPr>
        <w:spacing w:after="140"/>
      </w:pPr>
      <w:r>
        <w:rPr>
          <w:rFonts w:ascii="Arial" w:cs="Arial" w:eastAsia="Arial" w:hAnsi="Arial"/>
          <w:color w:val="64748B"/>
          <w:sz w:val="22"/>
          <w:szCs w:val="22"/>
        </w:rPr>
        <w:t xml:space="preserve">Copy this formula down the entire column, then copy the result and Paste Special → Values to replace the formula with plain text. Delete the original date column and rename the helper column to last_calibration_date.</w:t>
      </w:r>
    </w:p>
    <w:p>
      <w:pPr>
        <w:spacing w:after="160"/>
      </w:pPr>
      <w:r>
        <w:t xml:space="preserve"/>
      </w:r>
    </w:p>
    <w:p>
      <w:pPr>
        <w:pStyle w:val="Heading2"/>
      </w:pPr>
      <w:r>
        <w:t xml:space="preserve">4.2 Handle Blanks and Missing Data</w:t>
      </w:r>
    </w:p>
    <w:p>
      <w:pPr>
        <w:spacing w:after="140"/>
      </w:pPr>
      <w:r>
        <w:rPr>
          <w:rFonts w:ascii="Arial" w:cs="Arial" w:eastAsia="Arial" w:hAnsi="Arial"/>
          <w:color w:val="64748B"/>
          <w:sz w:val="22"/>
          <w:szCs w:val="22"/>
        </w:rPr>
        <w:t xml:space="preserve">For instruments where no calibration date is recorded in MEX, leave the last_calibration_date cell blank. CalTrack Pro will set the status to 'not_calibrated' automatically.</w:t>
      </w:r>
    </w:p>
    <w:p>
      <w:pPr>
        <w:spacing w:after="160"/>
      </w:pPr>
      <w:r>
        <w:t xml:space="preserve"/>
      </w:r>
    </w:p>
    <w:p>
      <w:pPr>
        <w:pStyle w:val="ListParagraph"/>
        <w:numPr>
          <w:ilvl w:val="0"/>
          <w:numId w:val="2"/>
        </w:numPr>
        <w:spacing w:after="80"/>
      </w:pPr>
      <w:r>
        <w:rPr>
          <w:rFonts w:ascii="Arial" w:cs="Arial" w:eastAsia="Arial" w:hAnsi="Arial"/>
          <w:color w:val="64748B"/>
          <w:sz w:val="22"/>
          <w:szCs w:val="22"/>
        </w:rPr>
        <w:t xml:space="preserve">Blank calibration_interval_days: set a default (e.g. 365) using Excel's IF formula: =IF(ISBLANK(E2), 365, E2)</w:t>
      </w:r>
    </w:p>
    <w:p>
      <w:pPr>
        <w:pStyle w:val="ListParagraph"/>
        <w:numPr>
          <w:ilvl w:val="0"/>
          <w:numId w:val="2"/>
        </w:numPr>
        <w:spacing w:after="80"/>
      </w:pPr>
      <w:r>
        <w:rPr>
          <w:rFonts w:ascii="Arial" w:cs="Arial" w:eastAsia="Arial" w:hAnsi="Arial"/>
          <w:color w:val="64748B"/>
          <w:sz w:val="22"/>
          <w:szCs w:val="22"/>
        </w:rPr>
        <w:t xml:space="preserve">Blank status: leave blank and it will default to 'active'</w:t>
      </w:r>
    </w:p>
    <w:p>
      <w:pPr>
        <w:pStyle w:val="ListParagraph"/>
        <w:numPr>
          <w:ilvl w:val="0"/>
          <w:numId w:val="2"/>
        </w:numPr>
        <w:spacing w:after="80"/>
      </w:pPr>
      <w:r>
        <w:rPr>
          <w:rFonts w:ascii="Arial" w:cs="Arial" w:eastAsia="Arial" w:hAnsi="Arial"/>
          <w:color w:val="64748B"/>
          <w:sz w:val="22"/>
          <w:szCs w:val="22"/>
        </w:rPr>
        <w:t xml:space="preserve">Blank instrument_type: default to 'other' using: =IF(ISBLANK(C2), "other", C2)</w:t>
      </w:r>
    </w:p>
    <w:p>
      <w:pPr>
        <w:spacing w:after="160"/>
      </w:pPr>
      <w:r>
        <w:t xml:space="preserve"/>
      </w:r>
    </w:p>
    <w:p>
      <w:pPr>
        <w:pStyle w:val="Heading2"/>
      </w:pPr>
      <w:r>
        <w:t xml:space="preserve">4.3 Remove Special Characters</w:t>
      </w:r>
    </w:p>
    <w:p>
      <w:pPr>
        <w:spacing w:after="140"/>
      </w:pPr>
      <w:r>
        <w:rPr>
          <w:rFonts w:ascii="Arial" w:cs="Arial" w:eastAsia="Arial" w:hAnsi="Arial"/>
          <w:color w:val="64748B"/>
          <w:sz w:val="22"/>
          <w:szCs w:val="22"/>
        </w:rPr>
        <w:t xml:space="preserve">Ensure no cells contain commas within text fields (they will break CSV parsing). If a description contains a comma, wrap the cell in double quotes or replace the comma with a dash. Also check for:</w:t>
      </w:r>
    </w:p>
    <w:p>
      <w:pPr>
        <w:pStyle w:val="ListParagraph"/>
        <w:numPr>
          <w:ilvl w:val="0"/>
          <w:numId w:val="2"/>
        </w:numPr>
        <w:spacing w:after="80"/>
      </w:pPr>
      <w:r>
        <w:rPr>
          <w:rFonts w:ascii="Arial" w:cs="Arial" w:eastAsia="Arial" w:hAnsi="Arial"/>
          <w:color w:val="64748B"/>
          <w:sz w:val="22"/>
          <w:szCs w:val="22"/>
        </w:rPr>
        <w:t xml:space="preserve">Line breaks within cells (replace with a space)</w:t>
      </w:r>
    </w:p>
    <w:p>
      <w:pPr>
        <w:pStyle w:val="ListParagraph"/>
        <w:numPr>
          <w:ilvl w:val="0"/>
          <w:numId w:val="2"/>
        </w:numPr>
        <w:spacing w:after="80"/>
      </w:pPr>
      <w:r>
        <w:rPr>
          <w:rFonts w:ascii="Arial" w:cs="Arial" w:eastAsia="Arial" w:hAnsi="Arial"/>
          <w:color w:val="64748B"/>
          <w:sz w:val="22"/>
          <w:szCs w:val="22"/>
        </w:rPr>
        <w:t xml:space="preserve">Non-ASCII characters in tag numbers (replace with standard equivalents)</w:t>
      </w:r>
    </w:p>
    <w:p>
      <w:pPr>
        <w:pStyle w:val="ListParagraph"/>
        <w:numPr>
          <w:ilvl w:val="0"/>
          <w:numId w:val="2"/>
        </w:numPr>
        <w:spacing w:after="80"/>
      </w:pPr>
      <w:r>
        <w:rPr>
          <w:rFonts w:ascii="Arial" w:cs="Arial" w:eastAsia="Arial" w:hAnsi="Arial"/>
          <w:color w:val="64748B"/>
          <w:sz w:val="22"/>
          <w:szCs w:val="22"/>
        </w:rPr>
        <w:t xml:space="preserve">Leading or trailing spaces in tag numbers (use =TRIM() to remove)</w:t>
      </w:r>
    </w:p>
    <w:p>
      <w:pPr>
        <w:spacing w:after="160"/>
      </w:pPr>
      <w:r>
        <w:t xml:space="preserve"/>
      </w:r>
    </w:p>
    <w:p>
      <w:pPr>
        <w:pStyle w:val="Heading2"/>
      </w:pPr>
      <w:r>
        <w:t xml:space="preserve">4.4 Save as CSV</w:t>
      </w:r>
    </w:p>
    <w:p>
      <w:pPr>
        <w:spacing w:after="140"/>
      </w:pPr>
      <w:r>
        <w:rPr>
          <w:rFonts w:ascii="Arial" w:cs="Arial" w:eastAsia="Arial" w:hAnsi="Arial"/>
          <w:color w:val="64748B"/>
          <w:sz w:val="22"/>
          <w:szCs w:val="22"/>
        </w:rPr>
        <w:t xml:space="preserve">Once the data is clean and all columns are correctly named, save the file:</w:t>
      </w:r>
    </w:p>
    <w:p>
      <w:pPr>
        <w:pStyle w:val="ListParagraph"/>
        <w:numPr>
          <w:ilvl w:val="0"/>
          <w:numId w:val="3"/>
        </w:numPr>
        <w:spacing w:after="80"/>
      </w:pPr>
      <w:r>
        <w:rPr>
          <w:rFonts w:ascii="Arial" w:cs="Arial" w:eastAsia="Arial" w:hAnsi="Arial"/>
          <w:color w:val="64748B"/>
          <w:sz w:val="22"/>
          <w:szCs w:val="22"/>
        </w:rPr>
        <w:t xml:space="preserve">File → Save As</w:t>
      </w:r>
    </w:p>
    <w:p>
      <w:pPr>
        <w:pStyle w:val="ListParagraph"/>
        <w:numPr>
          <w:ilvl w:val="0"/>
          <w:numId w:val="3"/>
        </w:numPr>
        <w:spacing w:after="80"/>
      </w:pPr>
      <w:r>
        <w:rPr>
          <w:rFonts w:ascii="Arial" w:cs="Arial" w:eastAsia="Arial" w:hAnsi="Arial"/>
          <w:color w:val="64748B"/>
          <w:sz w:val="22"/>
          <w:szCs w:val="22"/>
        </w:rPr>
        <w:t xml:space="preserve">Choose file type: CSV UTF-8 (Comma delimited) (*.csv)</w:t>
      </w:r>
    </w:p>
    <w:p>
      <w:pPr>
        <w:pStyle w:val="ListParagraph"/>
        <w:numPr>
          <w:ilvl w:val="0"/>
          <w:numId w:val="3"/>
        </w:numPr>
        <w:spacing w:after="80"/>
      </w:pPr>
      <w:r>
        <w:rPr>
          <w:rFonts w:ascii="Arial" w:cs="Arial" w:eastAsia="Arial" w:hAnsi="Arial"/>
          <w:color w:val="64748B"/>
          <w:sz w:val="22"/>
          <w:szCs w:val="22"/>
        </w:rPr>
        <w:t xml:space="preserve">Name the file: caltrack_import.csv</w:t>
      </w:r>
    </w:p>
    <w:p>
      <w:pPr>
        <w:pStyle w:val="ListParagraph"/>
        <w:numPr>
          <w:ilvl w:val="0"/>
          <w:numId w:val="3"/>
        </w:numPr>
        <w:spacing w:after="80"/>
      </w:pPr>
      <w:r>
        <w:rPr>
          <w:rFonts w:ascii="Arial" w:cs="Arial" w:eastAsia="Arial" w:hAnsi="Arial"/>
          <w:color w:val="64748B"/>
          <w:sz w:val="22"/>
          <w:szCs w:val="22"/>
        </w:rPr>
        <w:t xml:space="preserve">When Excel asks about keeping the CSV format, click Yes</w:t>
      </w:r>
    </w:p>
    <w:p>
      <w:pPr>
        <w:pStyle w:val="ListParagraph"/>
        <w:numPr>
          <w:ilvl w:val="0"/>
          <w:numId w:val="3"/>
        </w:numPr>
        <w:spacing w:after="80"/>
      </w:pPr>
      <w:r>
        <w:rPr>
          <w:rFonts w:ascii="Arial" w:cs="Arial" w:eastAsia="Arial" w:hAnsi="Arial"/>
          <w:color w:val="64748B"/>
          <w:sz w:val="22"/>
          <w:szCs w:val="22"/>
        </w:rPr>
        <w:t xml:space="preserve">Close the file and reopen it in Notepad or a text editor to verify the first few rows look correct before proceeding</w:t>
      </w:r>
    </w:p>
    <w:p>
      <w:pPr>
        <w:spacing w:after="160"/>
      </w:pPr>
      <w:r>
        <w:t xml:space="preserve"/>
      </w:r>
    </w:p>
    <w:p>
      <w:r>
        <w:br w:type="page"/>
      </w:r>
    </w:p>
    <w:p>
      <w:pPr>
        <w:pStyle w:val="Heading1"/>
      </w:pPr>
      <w:r>
        <w:t xml:space="preserve">Step 5 — Run the Import Script</w:t>
      </w:r>
    </w:p>
    <w:p>
      <w:pPr>
        <w:pStyle w:val="Heading2"/>
      </w:pPr>
      <w:r>
        <w:t xml:space="preserve">5.1 What the Script Does</w:t>
      </w:r>
    </w:p>
    <w:p>
      <w:pPr>
        <w:spacing w:after="140"/>
      </w:pPr>
      <w:r>
        <w:rPr>
          <w:rFonts w:ascii="Arial" w:cs="Arial" w:eastAsia="Arial" w:hAnsi="Arial"/>
          <w:color w:val="64748B"/>
          <w:sz w:val="22"/>
          <w:szCs w:val="22"/>
        </w:rPr>
        <w:t xml:space="preserve">CalTrack Pro includes a Python import script (import_instruments.py) that reads your caltrack_import.csv file and creates each instrument via the CalTrack Pro API. The script:</w:t>
      </w:r>
    </w:p>
    <w:p>
      <w:pPr>
        <w:pStyle w:val="ListParagraph"/>
        <w:numPr>
          <w:ilvl w:val="0"/>
          <w:numId w:val="2"/>
        </w:numPr>
        <w:spacing w:after="80"/>
      </w:pPr>
      <w:r>
        <w:rPr>
          <w:rFonts w:ascii="Arial" w:cs="Arial" w:eastAsia="Arial" w:hAnsi="Arial"/>
          <w:color w:val="64748B"/>
          <w:sz w:val="22"/>
          <w:szCs w:val="22"/>
        </w:rPr>
        <w:t xml:space="preserve">Reads every row from your CSV</w:t>
      </w:r>
    </w:p>
    <w:p>
      <w:pPr>
        <w:pStyle w:val="ListParagraph"/>
        <w:numPr>
          <w:ilvl w:val="0"/>
          <w:numId w:val="2"/>
        </w:numPr>
        <w:spacing w:after="80"/>
      </w:pPr>
      <w:r>
        <w:rPr>
          <w:rFonts w:ascii="Arial" w:cs="Arial" w:eastAsia="Arial" w:hAnsi="Arial"/>
          <w:color w:val="64748B"/>
          <w:sz w:val="22"/>
          <w:szCs w:val="22"/>
        </w:rPr>
        <w:t xml:space="preserve">Validates that required fields are present</w:t>
      </w:r>
    </w:p>
    <w:p>
      <w:pPr>
        <w:pStyle w:val="ListParagraph"/>
        <w:numPr>
          <w:ilvl w:val="0"/>
          <w:numId w:val="2"/>
        </w:numPr>
        <w:spacing w:after="80"/>
      </w:pPr>
      <w:r>
        <w:rPr>
          <w:rFonts w:ascii="Arial" w:cs="Arial" w:eastAsia="Arial" w:hAnsi="Arial"/>
          <w:color w:val="64748B"/>
          <w:sz w:val="22"/>
          <w:szCs w:val="22"/>
        </w:rPr>
        <w:t xml:space="preserve">Skips rows where the tag_number already exists in CalTrack Pro (safe to re-run)</w:t>
      </w:r>
    </w:p>
    <w:p>
      <w:pPr>
        <w:pStyle w:val="ListParagraph"/>
        <w:numPr>
          <w:ilvl w:val="0"/>
          <w:numId w:val="2"/>
        </w:numPr>
        <w:spacing w:after="80"/>
      </w:pPr>
      <w:r>
        <w:rPr>
          <w:rFonts w:ascii="Arial" w:cs="Arial" w:eastAsia="Arial" w:hAnsi="Arial"/>
          <w:color w:val="64748B"/>
          <w:sz w:val="22"/>
          <w:szCs w:val="22"/>
        </w:rPr>
        <w:t xml:space="preserve">Reports success, skipped, and failed rows at the end</w:t>
      </w:r>
    </w:p>
    <w:p>
      <w:pPr>
        <w:pStyle w:val="ListParagraph"/>
        <w:numPr>
          <w:ilvl w:val="0"/>
          <w:numId w:val="2"/>
        </w:numPr>
        <w:spacing w:after="80"/>
      </w:pPr>
      <w:r>
        <w:rPr>
          <w:rFonts w:ascii="Arial" w:cs="Arial" w:eastAsia="Arial" w:hAnsi="Arial"/>
          <w:color w:val="64748B"/>
          <w:sz w:val="22"/>
          <w:szCs w:val="22"/>
        </w:rPr>
        <w:t xml:space="preserve">Logs any errors to a file (import_errors.log) for review</w:t>
      </w:r>
    </w:p>
    <w:p>
      <w:pPr>
        <w:spacing w:after="160"/>
      </w:pPr>
      <w:r>
        <w:t xml:space="preserve"/>
      </w:r>
    </w:p>
    <w:p>
      <w:pPr>
        <w:pStyle w:val="Heading2"/>
      </w:pPr>
      <w:r>
        <w:t xml:space="preserve">5.2 Place the Files</w:t>
      </w:r>
    </w:p>
    <w:p>
      <w:pPr>
        <w:spacing w:after="140"/>
      </w:pPr>
      <w:r>
        <w:rPr>
          <w:rFonts w:ascii="Arial" w:cs="Arial" w:eastAsia="Arial" w:hAnsi="Arial"/>
          <w:color w:val="64748B"/>
          <w:sz w:val="22"/>
          <w:szCs w:val="22"/>
        </w:rPr>
        <w:t xml:space="preserve">Put both files in the same folder — for example, your Desktop or your CalTrack Pro project folder:</w:t>
      </w:r>
    </w:p>
    <w:p>
      <w:pPr>
        <w:spacing w:after="80"/>
      </w:pPr>
      <w:r>
        <w:t xml:space="preserve"/>
      </w:r>
    </w:p>
    <w:p>
      <w:pPr>
        <w:pBdr>
          <w:left w:val="single" w:color="93C5FD" w:sz="6" w:space="6"/>
        </w:pBdr>
        <w:shd w:fill="F8FAFC" w:val="clear"/>
        <w:spacing w:after="80" w:before="80"/>
        <w:ind w:left="360"/>
      </w:pPr>
      <w:r>
        <w:rPr>
          <w:rFonts w:ascii="Courier New" w:cs="Courier New" w:eastAsia="Courier New" w:hAnsi="Courier New"/>
          <w:color w:val="0F172A"/>
          <w:sz w:val="18"/>
          <w:szCs w:val="18"/>
        </w:rPr>
        <w:t xml:space="preserve">caltrack_import.csv          ← your prepared CSV</w:t>
      </w:r>
    </w:p>
    <w:p>
      <w:pPr>
        <w:pBdr>
          <w:left w:val="single" w:color="93C5FD" w:sz="6" w:space="6"/>
        </w:pBdr>
        <w:shd w:fill="F8FAFC" w:val="clear"/>
        <w:spacing w:after="80" w:before="80"/>
        <w:ind w:left="360"/>
      </w:pPr>
      <w:r>
        <w:rPr>
          <w:rFonts w:ascii="Courier New" w:cs="Courier New" w:eastAsia="Courier New" w:hAnsi="Courier New"/>
          <w:color w:val="0F172A"/>
          <w:sz w:val="18"/>
          <w:szCs w:val="18"/>
        </w:rPr>
        <w:t xml:space="preserve">import_instruments.py        ← the import script (provided in CalTrack Pro folder)</w:t>
      </w:r>
    </w:p>
    <w:p>
      <w:pPr>
        <w:spacing w:after="80"/>
      </w:pPr>
      <w:r>
        <w:t xml:space="preserve"/>
      </w:r>
    </w:p>
    <w:p>
      <w:pPr>
        <w:pStyle w:val="Heading2"/>
      </w:pPr>
      <w:r>
        <w:t xml:space="preserve">5.3 Configure the Script</w:t>
      </w:r>
    </w:p>
    <w:p>
      <w:pPr>
        <w:spacing w:after="140"/>
      </w:pPr>
      <w:r>
        <w:rPr>
          <w:rFonts w:ascii="Arial" w:cs="Arial" w:eastAsia="Arial" w:hAnsi="Arial"/>
          <w:color w:val="64748B"/>
          <w:sz w:val="22"/>
          <w:szCs w:val="22"/>
        </w:rPr>
        <w:t xml:space="preserve">Open import_instruments.py in a text editor (Notepad is fine). At the top of the file, update the two configuration lines:</w:t>
      </w:r>
    </w:p>
    <w:p>
      <w:pPr>
        <w:spacing w:after="80"/>
      </w:pPr>
      <w:r>
        <w:t xml:space="preserve"/>
      </w:r>
    </w:p>
    <w:p>
      <w:pPr>
        <w:pBdr>
          <w:left w:val="single" w:color="93C5FD" w:sz="6" w:space="6"/>
        </w:pBdr>
        <w:shd w:fill="F8FAFC" w:val="clear"/>
        <w:spacing w:after="80" w:before="80"/>
        <w:ind w:left="360"/>
      </w:pPr>
      <w:r>
        <w:rPr>
          <w:rFonts w:ascii="Courier New" w:cs="Courier New" w:eastAsia="Courier New" w:hAnsi="Courier New"/>
          <w:color w:val="0F172A"/>
          <w:sz w:val="18"/>
          <w:szCs w:val="18"/>
        </w:rPr>
        <w:t xml:space="preserve">API_URL   = "http://localhost:8000"   # Change to your CalTrack Pro backend URL</w:t>
      </w:r>
    </w:p>
    <w:p>
      <w:pPr>
        <w:pBdr>
          <w:left w:val="single" w:color="93C5FD" w:sz="6" w:space="6"/>
        </w:pBdr>
        <w:shd w:fill="F8FAFC" w:val="clear"/>
        <w:spacing w:after="80" w:before="80"/>
        <w:ind w:left="360"/>
      </w:pPr>
      <w:r>
        <w:rPr>
          <w:rFonts w:ascii="Courier New" w:cs="Courier New" w:eastAsia="Courier New" w:hAnsi="Courier New"/>
          <w:color w:val="0F172A"/>
          <w:sz w:val="18"/>
          <w:szCs w:val="18"/>
        </w:rPr>
        <w:t xml:space="preserve">SITE_NAME = "IXOM"                    # Change to your exact site name as set up in CalTrack Pro</w:t>
      </w:r>
    </w:p>
    <w:p>
      <w:pPr>
        <w:spacing w:after="80"/>
      </w:pPr>
      <w:r>
        <w:t xml:space="preserve"/>
      </w:r>
    </w:p>
    <w:p>
      <w:pPr>
        <w:spacing w:after="140"/>
      </w:pPr>
      <w:r>
        <w:rPr>
          <w:rFonts w:ascii="Arial" w:cs="Arial" w:eastAsia="Arial" w:hAnsi="Arial"/>
          <w:color w:val="64748B"/>
          <w:sz w:val="22"/>
          <w:szCs w:val="22"/>
        </w:rPr>
        <w:t xml:space="preserve">If your CalTrack Pro backend is running on Railway or another hosting service, replace http://localhost:8000 with the full URL of your deployed backend (e.g. https://caltrack-backend.up.railway.app).</w:t>
      </w:r>
    </w:p>
    <w:p>
      <w:pPr>
        <w:spacing w:after="160"/>
      </w:pPr>
      <w:r>
        <w:t xml:space="preserve"/>
      </w:r>
    </w:p>
    <w:p>
      <w:pPr>
        <w:pStyle w:val="Heading2"/>
      </w:pPr>
      <w:r>
        <w:t xml:space="preserve">5.4 Run the Script</w:t>
      </w:r>
    </w:p>
    <w:p>
      <w:pPr>
        <w:spacing w:after="140"/>
      </w:pPr>
      <w:r>
        <w:rPr>
          <w:rFonts w:ascii="Arial" w:cs="Arial" w:eastAsia="Arial" w:hAnsi="Arial"/>
          <w:color w:val="64748B"/>
          <w:sz w:val="22"/>
          <w:szCs w:val="22"/>
        </w:rPr>
        <w:t xml:space="preserve">Open a Command Prompt (Windows) or Terminal (Mac):</w:t>
      </w:r>
    </w:p>
    <w:p>
      <w:pPr>
        <w:spacing w:after="80"/>
      </w:pPr>
      <w:r>
        <w:t xml:space="preserve"/>
      </w:r>
    </w:p>
    <w:p>
      <w:pPr>
        <w:pBdr>
          <w:left w:val="single" w:color="93C5FD" w:sz="6" w:space="6"/>
        </w:pBdr>
        <w:shd w:fill="F8FAFC" w:val="clear"/>
        <w:spacing w:after="80" w:before="80"/>
        <w:ind w:left="360"/>
      </w:pPr>
      <w:r>
        <w:rPr>
          <w:rFonts w:ascii="Courier New" w:cs="Courier New" w:eastAsia="Courier New" w:hAnsi="Courier New"/>
          <w:color w:val="0F172A"/>
          <w:sz w:val="18"/>
          <w:szCs w:val="18"/>
        </w:rPr>
        <w:t xml:space="preserve"># Windows: open Command Prompt and navigate to the folder</w:t>
      </w:r>
    </w:p>
    <w:p>
      <w:pPr>
        <w:pBdr>
          <w:left w:val="single" w:color="93C5FD" w:sz="6" w:space="6"/>
        </w:pBdr>
        <w:shd w:fill="F8FAFC" w:val="clear"/>
        <w:spacing w:after="80" w:before="80"/>
        <w:ind w:left="360"/>
      </w:pPr>
      <w:r>
        <w:rPr>
          <w:rFonts w:ascii="Courier New" w:cs="Courier New" w:eastAsia="Courier New" w:hAnsi="Courier New"/>
          <w:color w:val="0F172A"/>
          <w:sz w:val="18"/>
          <w:szCs w:val="18"/>
        </w:rPr>
        <w:t xml:space="preserve">cd C:\Users\YourName\Desktop</w:t>
      </w:r>
    </w:p>
    <w:p>
      <w:pPr>
        <w:pBdr>
          <w:left w:val="single" w:color="93C5FD" w:sz="6" w:space="6"/>
        </w:pBdr>
        <w:shd w:fill="F8FAFC" w:val="clear"/>
        <w:spacing w:after="80" w:before="80"/>
        <w:ind w:left="360"/>
      </w:pPr>
      <w:r>
        <w:rPr>
          <w:rFonts w:ascii="Courier New" w:cs="Courier New" w:eastAsia="Courier New" w:hAnsi="Courier New"/>
          <w:color w:val="0F172A"/>
          <w:sz w:val="18"/>
          <w:szCs w:val="18"/>
        </w:rPr>
        <w:t xml:space="preserve"/>
      </w:r>
    </w:p>
    <w:p>
      <w:pPr>
        <w:pBdr>
          <w:left w:val="single" w:color="93C5FD" w:sz="6" w:space="6"/>
        </w:pBdr>
        <w:shd w:fill="F8FAFC" w:val="clear"/>
        <w:spacing w:after="80" w:before="80"/>
        <w:ind w:left="360"/>
      </w:pPr>
      <w:r>
        <w:rPr>
          <w:rFonts w:ascii="Courier New" w:cs="Courier New" w:eastAsia="Courier New" w:hAnsi="Courier New"/>
          <w:color w:val="0F172A"/>
          <w:sz w:val="18"/>
          <w:szCs w:val="18"/>
        </w:rPr>
        <w:t xml:space="preserve"># Then run:</w:t>
      </w:r>
    </w:p>
    <w:p>
      <w:pPr>
        <w:pBdr>
          <w:left w:val="single" w:color="93C5FD" w:sz="6" w:space="6"/>
        </w:pBdr>
        <w:shd w:fill="F8FAFC" w:val="clear"/>
        <w:spacing w:after="80" w:before="80"/>
        <w:ind w:left="360"/>
      </w:pPr>
      <w:r>
        <w:rPr>
          <w:rFonts w:ascii="Courier New" w:cs="Courier New" w:eastAsia="Courier New" w:hAnsi="Courier New"/>
          <w:color w:val="0F172A"/>
          <w:sz w:val="18"/>
          <w:szCs w:val="18"/>
        </w:rPr>
        <w:t xml:space="preserve">python import_instruments.py</w:t>
      </w:r>
    </w:p>
    <w:p>
      <w:pPr>
        <w:spacing w:after="80"/>
      </w:pPr>
      <w:r>
        <w:t xml:space="preserve"/>
      </w:r>
    </w:p>
    <w:p>
      <w:pPr>
        <w:spacing w:after="140"/>
      </w:pPr>
      <w:r>
        <w:rPr>
          <w:rFonts w:ascii="Arial" w:cs="Arial" w:eastAsia="Arial" w:hAnsi="Arial"/>
          <w:color w:val="64748B"/>
          <w:sz w:val="22"/>
          <w:szCs w:val="22"/>
        </w:rPr>
        <w:t xml:space="preserve">The script will print its progress as it runs:</w:t>
      </w:r>
    </w:p>
    <w:p>
      <w:pPr>
        <w:spacing w:after="80"/>
      </w:pPr>
      <w:r>
        <w:t xml:space="preserve"/>
      </w:r>
    </w:p>
    <w:p>
      <w:pPr>
        <w:pBdr>
          <w:left w:val="single" w:color="93C5FD" w:sz="6" w:space="6"/>
        </w:pBdr>
        <w:shd w:fill="F8FAFC" w:val="clear"/>
        <w:spacing w:after="80" w:before="80"/>
        <w:ind w:left="360"/>
      </w:pPr>
      <w:r>
        <w:rPr>
          <w:rFonts w:ascii="Courier New" w:cs="Courier New" w:eastAsia="Courier New" w:hAnsi="Courier New"/>
          <w:color w:val="0F172A"/>
          <w:sz w:val="18"/>
          <w:szCs w:val="18"/>
        </w:rPr>
        <w:t xml:space="preserve">[1/247] PT-1023A  →  Created OK</w:t>
      </w:r>
    </w:p>
    <w:p>
      <w:pPr>
        <w:pBdr>
          <w:left w:val="single" w:color="93C5FD" w:sz="6" w:space="6"/>
        </w:pBdr>
        <w:shd w:fill="F8FAFC" w:val="clear"/>
        <w:spacing w:after="80" w:before="80"/>
        <w:ind w:left="360"/>
      </w:pPr>
      <w:r>
        <w:rPr>
          <w:rFonts w:ascii="Courier New" w:cs="Courier New" w:eastAsia="Courier New" w:hAnsi="Courier New"/>
          <w:color w:val="0F172A"/>
          <w:sz w:val="18"/>
          <w:szCs w:val="18"/>
        </w:rPr>
        <w:t xml:space="preserve">[2/247] PT-1024B  →  Created OK</w:t>
      </w:r>
    </w:p>
    <w:p>
      <w:pPr>
        <w:pBdr>
          <w:left w:val="single" w:color="93C5FD" w:sz="6" w:space="6"/>
        </w:pBdr>
        <w:shd w:fill="F8FAFC" w:val="clear"/>
        <w:spacing w:after="80" w:before="80"/>
        <w:ind w:left="360"/>
      </w:pPr>
      <w:r>
        <w:rPr>
          <w:rFonts w:ascii="Courier New" w:cs="Courier New" w:eastAsia="Courier New" w:hAnsi="Courier New"/>
          <w:color w:val="0F172A"/>
          <w:sz w:val="18"/>
          <w:szCs w:val="18"/>
        </w:rPr>
        <w:t xml:space="preserve">[3/247] TT-2011   →  Created OK</w:t>
      </w:r>
    </w:p>
    <w:p>
      <w:pPr>
        <w:pBdr>
          <w:left w:val="single" w:color="93C5FD" w:sz="6" w:space="6"/>
        </w:pBdr>
        <w:shd w:fill="F8FAFC" w:val="clear"/>
        <w:spacing w:after="80" w:before="80"/>
        <w:ind w:left="360"/>
      </w:pPr>
      <w:r>
        <w:rPr>
          <w:rFonts w:ascii="Courier New" w:cs="Courier New" w:eastAsia="Courier New" w:hAnsi="Courier New"/>
          <w:color w:val="0F172A"/>
          <w:sz w:val="18"/>
          <w:szCs w:val="18"/>
        </w:rPr>
        <w:t xml:space="preserve">...</w:t>
      </w:r>
    </w:p>
    <w:p>
      <w:pPr>
        <w:pBdr>
          <w:left w:val="single" w:color="93C5FD" w:sz="6" w:space="6"/>
        </w:pBdr>
        <w:shd w:fill="F8FAFC" w:val="clear"/>
        <w:spacing w:after="80" w:before="80"/>
        <w:ind w:left="360"/>
      </w:pPr>
      <w:r>
        <w:rPr>
          <w:rFonts w:ascii="Courier New" w:cs="Courier New" w:eastAsia="Courier New" w:hAnsi="Courier New"/>
          <w:color w:val="0F172A"/>
          <w:sz w:val="18"/>
          <w:szCs w:val="18"/>
        </w:rPr>
        <w:t xml:space="preserve">[247/247] FT-5044  →  Created OK</w:t>
      </w:r>
    </w:p>
    <w:p>
      <w:pPr>
        <w:pBdr>
          <w:left w:val="single" w:color="93C5FD" w:sz="6" w:space="6"/>
        </w:pBdr>
        <w:shd w:fill="F8FAFC" w:val="clear"/>
        <w:spacing w:after="80" w:before="80"/>
        <w:ind w:left="360"/>
      </w:pPr>
      <w:r>
        <w:rPr>
          <w:rFonts w:ascii="Courier New" w:cs="Courier New" w:eastAsia="Courier New" w:hAnsi="Courier New"/>
          <w:color w:val="0F172A"/>
          <w:sz w:val="18"/>
          <w:szCs w:val="18"/>
        </w:rPr>
        <w:t xml:space="preserve"/>
      </w:r>
    </w:p>
    <w:p>
      <w:pPr>
        <w:pBdr>
          <w:left w:val="single" w:color="93C5FD" w:sz="6" w:space="6"/>
        </w:pBdr>
        <w:shd w:fill="F8FAFC" w:val="clear"/>
        <w:spacing w:after="80" w:before="80"/>
        <w:ind w:left="360"/>
      </w:pPr>
      <w:r>
        <w:rPr>
          <w:rFonts w:ascii="Courier New" w:cs="Courier New" w:eastAsia="Courier New" w:hAnsi="Courier New"/>
          <w:color w:val="0F172A"/>
          <w:sz w:val="18"/>
          <w:szCs w:val="18"/>
        </w:rPr>
        <w:t xml:space="preserve">Done. Created: 244  Skipped: 2  Failed: 1</w:t>
      </w:r>
    </w:p>
    <w:p>
      <w:pPr>
        <w:pBdr>
          <w:left w:val="single" w:color="93C5FD" w:sz="6" w:space="6"/>
        </w:pBdr>
        <w:shd w:fill="F8FAFC" w:val="clear"/>
        <w:spacing w:after="80" w:before="80"/>
        <w:ind w:left="360"/>
      </w:pPr>
      <w:r>
        <w:rPr>
          <w:rFonts w:ascii="Courier New" w:cs="Courier New" w:eastAsia="Courier New" w:hAnsi="Courier New"/>
          <w:color w:val="0F172A"/>
          <w:sz w:val="18"/>
          <w:szCs w:val="18"/>
        </w:rPr>
        <w:t xml:space="preserve">See import_errors.log for details on failed rows.</w:t>
      </w:r>
    </w:p>
    <w:p>
      <w:pPr>
        <w:spacing w:after="80"/>
      </w:pPr>
      <w:r>
        <w:t xml:space="preserve"/>
      </w:r>
    </w:p>
    <w:p>
      <w:pPr>
        <w:pStyle w:val="Heading2"/>
      </w:pPr>
      <w:r>
        <w:t xml:space="preserve">5.5 Review the Error Log</w:t>
      </w:r>
    </w:p>
    <w:p>
      <w:pPr>
        <w:spacing w:after="140"/>
      </w:pPr>
      <w:r>
        <w:rPr>
          <w:rFonts w:ascii="Arial" w:cs="Arial" w:eastAsia="Arial" w:hAnsi="Arial"/>
          <w:color w:val="64748B"/>
          <w:sz w:val="22"/>
          <w:szCs w:val="22"/>
        </w:rPr>
        <w:t xml:space="preserve">If any instruments failed to import, open import_errors.log in a text editor. Each failed row will show the tag number and the reason for failure, for example:</w:t>
      </w:r>
    </w:p>
    <w:p>
      <w:pPr>
        <w:spacing w:after="80"/>
      </w:pPr>
      <w:r>
        <w:t xml:space="preserve"/>
      </w:r>
    </w:p>
    <w:p>
      <w:pPr>
        <w:pBdr>
          <w:left w:val="single" w:color="93C5FD" w:sz="6" w:space="6"/>
        </w:pBdr>
        <w:shd w:fill="F8FAFC" w:val="clear"/>
        <w:spacing w:after="80" w:before="80"/>
        <w:ind w:left="360"/>
      </w:pPr>
      <w:r>
        <w:rPr>
          <w:rFonts w:ascii="Courier New" w:cs="Courier New" w:eastAsia="Courier New" w:hAnsi="Courier New"/>
          <w:color w:val="0F172A"/>
          <w:sz w:val="18"/>
          <w:szCs w:val="18"/>
        </w:rPr>
        <w:t xml:space="preserve">ROW 47: FT-3088 — FAILED: calibration_interval_days must be a positive integer (got: 'annual')</w:t>
      </w:r>
    </w:p>
    <w:p>
      <w:pPr>
        <w:pBdr>
          <w:left w:val="single" w:color="93C5FD" w:sz="6" w:space="6"/>
        </w:pBdr>
        <w:shd w:fill="F8FAFC" w:val="clear"/>
        <w:spacing w:after="80" w:before="80"/>
        <w:ind w:left="360"/>
      </w:pPr>
      <w:r>
        <w:rPr>
          <w:rFonts w:ascii="Courier New" w:cs="Courier New" w:eastAsia="Courier New" w:hAnsi="Courier New"/>
          <w:color w:val="0F172A"/>
          <w:sz w:val="18"/>
          <w:szCs w:val="18"/>
        </w:rPr>
        <w:t xml:space="preserve">ROW 112: AT-9001 — FAILED: instrument_type 'Gas Analyser' is not a valid value</w:t>
      </w:r>
    </w:p>
    <w:p>
      <w:pPr>
        <w:spacing w:after="80"/>
      </w:pPr>
      <w:r>
        <w:t xml:space="preserve"/>
      </w:r>
    </w:p>
    <w:p>
      <w:pPr>
        <w:spacing w:after="140"/>
      </w:pPr>
      <w:r>
        <w:rPr>
          <w:rFonts w:ascii="Arial" w:cs="Arial" w:eastAsia="Arial" w:hAnsi="Arial"/>
          <w:color w:val="64748B"/>
          <w:sz w:val="22"/>
          <w:szCs w:val="22"/>
        </w:rPr>
        <w:t xml:space="preserve">Fix these rows in your CSV (correct the value, re-save as CSV) and re-run the script. The script skips instruments that already exist, so it is safe to run multiple times.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91B1B" w:val="clear"/>
            <w:tcMar>
              <w:top w:type="dxa" w:w="100"/>
              <w:left w:type="dxa" w:w="180"/>
              <w:bottom w:type="dxa" w:w="80"/>
              <w:right w:type="dxa" w:w="180"/>
            </w:tcMar>
          </w:tcPr>
          <w:p>
            <w:r>
              <w:rPr>
                <w:rFonts w:ascii="Arial" w:cs="Arial" w:eastAsia="Arial" w:hAnsi="Arial"/>
                <w:b/>
                <w:bCs/>
                <w:color w:val="FFFFFF"/>
                <w:sz w:val="21"/>
                <w:szCs w:val="21"/>
              </w:rPr>
              <w:t xml:space="preserve">If you get a 'Connection refused' error</w:t>
            </w:r>
          </w:p>
        </w:tc>
      </w:tr>
      <w:tr>
        <w:tc>
          <w:tcPr>
            <w:tcW w:type="dxa" w:w="9360"/>
            <w:tcBorders>
              <w:top w:val="none" w:color="FFFFFF" w:sz="0"/>
              <w:left w:val="none" w:color="FFFFFF" w:sz="0"/>
              <w:bottom w:val="none" w:color="FFFFFF" w:sz="0"/>
              <w:right w:val="none" w:color="FFFFFF" w:sz="0"/>
            </w:tcBorders>
            <w:shd w:fill="FEE2E2" w:val="clear"/>
            <w:tcMar>
              <w:top w:type="dxa" w:w="120"/>
              <w:left w:type="dxa" w:w="180"/>
              <w:bottom w:type="dxa" w:w="40"/>
              <w:right w:type="dxa" w:w="180"/>
            </w:tcMar>
          </w:tcPr>
          <w:p>
            <w:r>
              <w:rPr>
                <w:rFonts w:ascii="Arial" w:cs="Arial" w:eastAsia="Arial" w:hAnsi="Arial"/>
                <w:color w:val="64748B"/>
                <w:sz w:val="20"/>
                <w:szCs w:val="20"/>
              </w:rPr>
              <w:t xml:space="preserve">This means the script cannot reach the CalTrack Pro backend.</w:t>
            </w:r>
          </w:p>
        </w:tc>
      </w:tr>
      <w:tr>
        <w:tc>
          <w:tcPr>
            <w:tcW w:type="dxa" w:w="9360"/>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64748B"/>
                <w:sz w:val="20"/>
                <w:szCs w:val="20"/>
              </w:rPr>
              <w:t xml:space="preserve">Check that your backend is running: open a browser and go to http://localhost:8000/docs</w:t>
            </w:r>
          </w:p>
        </w:tc>
      </w:tr>
      <w:tr>
        <w:tc>
          <w:tcPr>
            <w:tcW w:type="dxa" w:w="9360"/>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64748B"/>
                <w:sz w:val="20"/>
                <w:szCs w:val="20"/>
              </w:rPr>
              <w:t xml:space="preserve">If using a deployed backend, check the URL is correct and the service is running in Railway</w:t>
            </w:r>
          </w:p>
        </w:tc>
      </w:tr>
      <w:tr>
        <w:tc>
          <w:tcPr>
            <w:tcW w:type="dxa" w:w="9360"/>
            <w:tcBorders>
              <w:top w:val="none" w:color="FFFFFF" w:sz="0"/>
              <w:left w:val="none" w:color="FFFFFF" w:sz="0"/>
              <w:bottom w:val="none" w:color="FFFFFF" w:sz="0"/>
              <w:right w:val="none" w:color="FFFFFF" w:sz="0"/>
            </w:tcBorders>
            <w:shd w:fill="FEE2E2" w:val="clear"/>
            <w:tcMar>
              <w:top w:type="dxa" w:w="40"/>
              <w:left w:type="dxa" w:w="180"/>
              <w:bottom w:type="dxa" w:w="120"/>
              <w:right w:type="dxa" w:w="180"/>
            </w:tcMar>
          </w:tcPr>
          <w:p>
            <w:r>
              <w:rPr>
                <w:rFonts w:ascii="Arial" w:cs="Arial" w:eastAsia="Arial" w:hAnsi="Arial"/>
                <w:color w:val="64748B"/>
                <w:sz w:val="20"/>
                <w:szCs w:val="20"/>
              </w:rPr>
              <w:t xml:space="preserve">Check that no firewall is blocking the connection</w:t>
            </w:r>
          </w:p>
        </w:tc>
      </w:tr>
    </w:tbl>
    <w:p>
      <w:pPr>
        <w:spacing w:after="200"/>
      </w:pPr>
      <w:r>
        <w:t xml:space="preserve"/>
      </w:r>
    </w:p>
    <w:p>
      <w:r>
        <w:br w:type="page"/>
      </w:r>
    </w:p>
    <w:p>
      <w:pPr>
        <w:pStyle w:val="Heading1"/>
      </w:pPr>
      <w:r>
        <w:t xml:space="preserve">Step 6 — Validate the Import in CalTrack Pro</w:t>
      </w:r>
    </w:p>
    <w:p>
      <w:pPr>
        <w:pStyle w:val="Heading2"/>
      </w:pPr>
      <w:r>
        <w:t xml:space="preserve">6.1 Check the Instrument List</w:t>
      </w:r>
    </w:p>
    <w:p>
      <w:pPr>
        <w:spacing w:after="140"/>
      </w:pPr>
      <w:r>
        <w:rPr>
          <w:rFonts w:ascii="Arial" w:cs="Arial" w:eastAsia="Arial" w:hAnsi="Arial"/>
          <w:color w:val="64748B"/>
          <w:sz w:val="22"/>
          <w:szCs w:val="22"/>
        </w:rPr>
        <w:t xml:space="preserve">Open CalTrack Pro in your browser and navigate to Instruments. You should see all your imported instruments. Spot-check a sample of 10–20 instruments across different areas:</w:t>
      </w:r>
    </w:p>
    <w:p>
      <w:pPr>
        <w:pStyle w:val="ListParagraph"/>
        <w:numPr>
          <w:ilvl w:val="0"/>
          <w:numId w:val="2"/>
        </w:numPr>
        <w:spacing w:after="80"/>
      </w:pPr>
      <w:r>
        <w:rPr>
          <w:rFonts w:ascii="Arial" w:cs="Arial" w:eastAsia="Arial" w:hAnsi="Arial"/>
          <w:color w:val="64748B"/>
          <w:sz w:val="22"/>
          <w:szCs w:val="22"/>
        </w:rPr>
        <w:t xml:space="preserve">Does the tag number match MEX exactly?</w:t>
      </w:r>
    </w:p>
    <w:p>
      <w:pPr>
        <w:pStyle w:val="ListParagraph"/>
        <w:numPr>
          <w:ilvl w:val="0"/>
          <w:numId w:val="2"/>
        </w:numPr>
        <w:spacing w:after="80"/>
      </w:pPr>
      <w:r>
        <w:rPr>
          <w:rFonts w:ascii="Arial" w:cs="Arial" w:eastAsia="Arial" w:hAnsi="Arial"/>
          <w:color w:val="64748B"/>
          <w:sz w:val="22"/>
          <w:szCs w:val="22"/>
        </w:rPr>
        <w:t xml:space="preserve">Is the description meaningful?</w:t>
      </w:r>
    </w:p>
    <w:p>
      <w:pPr>
        <w:pStyle w:val="ListParagraph"/>
        <w:numPr>
          <w:ilvl w:val="0"/>
          <w:numId w:val="2"/>
        </w:numPr>
        <w:spacing w:after="80"/>
      </w:pPr>
      <w:r>
        <w:rPr>
          <w:rFonts w:ascii="Arial" w:cs="Arial" w:eastAsia="Arial" w:hAnsi="Arial"/>
          <w:color w:val="64748B"/>
          <w:sz w:val="22"/>
          <w:szCs w:val="22"/>
        </w:rPr>
        <w:t xml:space="preserve">Is the area correct?</w:t>
      </w:r>
    </w:p>
    <w:p>
      <w:pPr>
        <w:pStyle w:val="ListParagraph"/>
        <w:numPr>
          <w:ilvl w:val="0"/>
          <w:numId w:val="2"/>
        </w:numPr>
        <w:spacing w:after="80"/>
      </w:pPr>
      <w:r>
        <w:rPr>
          <w:rFonts w:ascii="Arial" w:cs="Arial" w:eastAsia="Arial" w:hAnsi="Arial"/>
          <w:color w:val="64748B"/>
          <w:sz w:val="22"/>
          <w:szCs w:val="22"/>
        </w:rPr>
        <w:t xml:space="preserve">Is the calibration due date calculated correctly? (CalTrack Pro calculates this as: last_calibration_date + calibration_interval_days)</w:t>
      </w:r>
    </w:p>
    <w:p>
      <w:pPr>
        <w:pStyle w:val="ListParagraph"/>
        <w:numPr>
          <w:ilvl w:val="0"/>
          <w:numId w:val="2"/>
        </w:numPr>
        <w:spacing w:after="80"/>
      </w:pPr>
      <w:r>
        <w:rPr>
          <w:rFonts w:ascii="Arial" w:cs="Arial" w:eastAsia="Arial" w:hAnsi="Arial"/>
          <w:color w:val="64748B"/>
          <w:sz w:val="22"/>
          <w:szCs w:val="22"/>
        </w:rPr>
        <w:t xml:space="preserve">Do the pass/fail statuses and overdue alerts look right for your site?</w:t>
      </w:r>
    </w:p>
    <w:p>
      <w:pPr>
        <w:spacing w:after="160"/>
      </w:pPr>
      <w:r>
        <w:t xml:space="preserve"/>
      </w:r>
    </w:p>
    <w:p>
      <w:pPr>
        <w:pStyle w:val="Heading2"/>
      </w:pPr>
      <w:r>
        <w:t xml:space="preserve">6.2 Check the Dashboard</w:t>
      </w:r>
    </w:p>
    <w:p>
      <w:pPr>
        <w:spacing w:after="140"/>
      </w:pPr>
      <w:r>
        <w:rPr>
          <w:rFonts w:ascii="Arial" w:cs="Arial" w:eastAsia="Arial" w:hAnsi="Arial"/>
          <w:color w:val="64748B"/>
          <w:sz w:val="22"/>
          <w:szCs w:val="22"/>
        </w:rPr>
        <w:t xml:space="preserve">After a successful import, the CalTrack Pro dashboard will immediately reflect your full instrument inventory:</w:t>
      </w:r>
    </w:p>
    <w:p>
      <w:pPr>
        <w:pStyle w:val="ListParagraph"/>
        <w:numPr>
          <w:ilvl w:val="0"/>
          <w:numId w:val="2"/>
        </w:numPr>
        <w:spacing w:after="80"/>
      </w:pPr>
      <w:r>
        <w:rPr>
          <w:rFonts w:ascii="Arial" w:cs="Arial" w:eastAsia="Arial" w:hAnsi="Arial"/>
          <w:color w:val="64748B"/>
          <w:sz w:val="22"/>
          <w:szCs w:val="22"/>
        </w:rPr>
        <w:t xml:space="preserve">The compliance gauge and stats will show real numbers for your site</w:t>
      </w:r>
    </w:p>
    <w:p>
      <w:pPr>
        <w:pStyle w:val="ListParagraph"/>
        <w:numPr>
          <w:ilvl w:val="0"/>
          <w:numId w:val="2"/>
        </w:numPr>
        <w:spacing w:after="80"/>
      </w:pPr>
      <w:r>
        <w:rPr>
          <w:rFonts w:ascii="Arial" w:cs="Arial" w:eastAsia="Arial" w:hAnsi="Arial"/>
          <w:color w:val="64748B"/>
          <w:sz w:val="22"/>
          <w:szCs w:val="22"/>
        </w:rPr>
        <w:t xml:space="preserve">The Alerts section will show overdue and due-soon instruments</w:t>
      </w:r>
    </w:p>
    <w:p>
      <w:pPr>
        <w:pStyle w:val="ListParagraph"/>
        <w:numPr>
          <w:ilvl w:val="0"/>
          <w:numId w:val="2"/>
        </w:numPr>
        <w:spacing w:after="80"/>
      </w:pPr>
      <w:r>
        <w:rPr>
          <w:rFonts w:ascii="Arial" w:cs="Arial" w:eastAsia="Arial" w:hAnsi="Arial"/>
          <w:color w:val="64748B"/>
          <w:sz w:val="22"/>
          <w:szCs w:val="22"/>
        </w:rPr>
        <w:t xml:space="preserve">The Bad Actors section will show instruments with recent failures (if last_calibration_result = fail was populated)</w:t>
      </w:r>
    </w:p>
    <w:p>
      <w:pPr>
        <w:pStyle w:val="ListParagraph"/>
        <w:numPr>
          <w:ilvl w:val="0"/>
          <w:numId w:val="2"/>
        </w:numPr>
        <w:spacing w:after="80"/>
      </w:pPr>
      <w:r>
        <w:rPr>
          <w:rFonts w:ascii="Arial" w:cs="Arial" w:eastAsia="Arial" w:hAnsi="Arial"/>
          <w:color w:val="64748B"/>
          <w:sz w:val="22"/>
          <w:szCs w:val="22"/>
        </w:rPr>
        <w:t xml:space="preserve">The Upcoming list will show instruments due in the next 7 days</w:t>
      </w:r>
    </w:p>
    <w:p>
      <w:pPr>
        <w:spacing w:after="160"/>
      </w:pPr>
      <w:r>
        <w:t xml:space="preserve"/>
      </w:r>
    </w:p>
    <w:p>
      <w:pPr>
        <w:pStyle w:val="Heading2"/>
      </w:pPr>
      <w:r>
        <w:t xml:space="preserve">6.3 Fixing Individual Records</w:t>
      </w:r>
    </w:p>
    <w:p>
      <w:pPr>
        <w:spacing w:after="140"/>
      </w:pPr>
      <w:r>
        <w:rPr>
          <w:rFonts w:ascii="Arial" w:cs="Arial" w:eastAsia="Arial" w:hAnsi="Arial"/>
          <w:color w:val="64748B"/>
          <w:sz w:val="22"/>
          <w:szCs w:val="22"/>
        </w:rPr>
        <w:t xml:space="preserve">If specific instruments need corrections after the import, you can edit them individually in CalTrack Pro (Instruments → click instrument → Edit). For bulk corrections, fix the CSV and re-run the import script — existing records will be skipped, but failed rows from the original run will be created.</w:t>
      </w:r>
    </w:p>
    <w:p>
      <w:pPr>
        <w:spacing w:after="160"/>
      </w:pPr>
      <w:r>
        <w:t xml:space="preserve"/>
      </w:r>
    </w:p>
    <w:p>
      <w:pPr>
        <w:spacing w:after="140"/>
      </w:pPr>
      <w:r>
        <w:rPr>
          <w:rFonts w:ascii="Arial" w:cs="Arial" w:eastAsia="Arial" w:hAnsi="Arial"/>
          <w:color w:val="64748B"/>
          <w:sz w:val="22"/>
          <w:szCs w:val="22"/>
        </w:rPr>
        <w:t xml:space="preserve">Note: if you need to update an instrument that already exists (not just create it), contact CalTrack Pro support for the bulk-update script.</w:t>
      </w:r>
    </w:p>
    <w:p>
      <w:pPr>
        <w:spacing w:after="160"/>
      </w:pPr>
      <w:r>
        <w:t xml:space="preserve"/>
      </w:r>
    </w:p>
    <w:p>
      <w:pPr>
        <w:pStyle w:val="Heading1"/>
      </w:pPr>
      <w:r>
        <w:t xml:space="preserve">Step 7 — Migrating Calibration History (Optional)</w:t>
      </w:r>
    </w:p>
    <w:p>
      <w:pPr>
        <w:spacing w:after="140"/>
      </w:pPr>
      <w:r>
        <w:rPr>
          <w:rFonts w:ascii="Arial" w:cs="Arial" w:eastAsia="Arial" w:hAnsi="Arial"/>
          <w:color w:val="64748B"/>
          <w:sz w:val="22"/>
          <w:szCs w:val="22"/>
        </w:rPr>
        <w:t xml:space="preserve">Bringing across full calibration history from MEX is optional and is primarily valuable if you need historical trend data available from day one, or if your compliance framework requires a defined number of previous calibration records to be accessible in the system.</w:t>
      </w:r>
    </w:p>
    <w:p>
      <w:pPr>
        <w:spacing w:after="160"/>
      </w:pPr>
      <w:r>
        <w:t xml:space="preserve"/>
      </w:r>
    </w:p>
    <w:p>
      <w:pPr>
        <w:spacing w:after="140"/>
      </w:pPr>
      <w:r>
        <w:rPr>
          <w:rFonts w:ascii="Arial" w:cs="Arial" w:eastAsia="Arial" w:hAnsi="Arial"/>
          <w:color w:val="64748B"/>
          <w:sz w:val="22"/>
          <w:szCs w:val="22"/>
        </w:rPr>
        <w:t xml:space="preserve">For most sites, the recommended approach is:</w:t>
      </w:r>
    </w:p>
    <w:p>
      <w:pPr>
        <w:pStyle w:val="ListParagraph"/>
        <w:numPr>
          <w:ilvl w:val="0"/>
          <w:numId w:val="3"/>
        </w:numPr>
        <w:spacing w:after="80"/>
      </w:pPr>
      <w:r>
        <w:rPr>
          <w:rFonts w:ascii="Arial" w:cs="Arial" w:eastAsia="Arial" w:hAnsi="Arial"/>
          <w:color w:val="64748B"/>
          <w:sz w:val="22"/>
          <w:szCs w:val="22"/>
        </w:rPr>
        <w:t xml:space="preserve">Import the instrument register (Steps 1–6 above) to establish your current calibration status.</w:t>
      </w:r>
    </w:p>
    <w:p>
      <w:pPr>
        <w:pStyle w:val="ListParagraph"/>
        <w:numPr>
          <w:ilvl w:val="0"/>
          <w:numId w:val="3"/>
        </w:numPr>
        <w:spacing w:after="80"/>
      </w:pPr>
      <w:r>
        <w:rPr>
          <w:rFonts w:ascii="Arial" w:cs="Arial" w:eastAsia="Arial" w:hAnsi="Arial"/>
          <w:color w:val="64748B"/>
          <w:sz w:val="22"/>
          <w:szCs w:val="22"/>
        </w:rPr>
        <w:t xml:space="preserve">Enter the most recent calibration record for each critical instrument manually in CalTrack Pro. This gives you an as-left baseline and accurate due dates.</w:t>
      </w:r>
    </w:p>
    <w:p>
      <w:pPr>
        <w:pStyle w:val="ListParagraph"/>
        <w:numPr>
          <w:ilvl w:val="0"/>
          <w:numId w:val="3"/>
        </w:numPr>
        <w:spacing w:after="80"/>
      </w:pPr>
      <w:r>
        <w:rPr>
          <w:rFonts w:ascii="Arial" w:cs="Arial" w:eastAsia="Arial" w:hAnsi="Arial"/>
          <w:color w:val="64748B"/>
          <w:sz w:val="22"/>
          <w:szCs w:val="22"/>
        </w:rPr>
        <w:t xml:space="preserve">Go live with new calibrations being entered in CalTrack Pro from this point forward.</w:t>
      </w:r>
    </w:p>
    <w:p>
      <w:pPr>
        <w:pStyle w:val="ListParagraph"/>
        <w:numPr>
          <w:ilvl w:val="0"/>
          <w:numId w:val="3"/>
        </w:numPr>
        <w:spacing w:after="80"/>
      </w:pPr>
      <w:r>
        <w:rPr>
          <w:rFonts w:ascii="Arial" w:cs="Arial" w:eastAsia="Arial" w:hAnsi="Arial"/>
          <w:color w:val="64748B"/>
          <w:sz w:val="22"/>
          <w:szCs w:val="22"/>
        </w:rPr>
        <w:t xml:space="preserve">If historical records are needed for audit purposes, keep the MEX system accessible (read-only) for reference for the duration of your record retention period.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100"/>
              <w:left w:type="dxa" w:w="180"/>
              <w:bottom w:type="dxa" w:w="80"/>
              <w:right w:type="dxa" w:w="180"/>
            </w:tcMar>
          </w:tcPr>
          <w:p>
            <w:r>
              <w:rPr>
                <w:rFonts w:ascii="Arial" w:cs="Arial" w:eastAsia="Arial" w:hAnsi="Arial"/>
                <w:b/>
                <w:bCs/>
                <w:color w:val="FFFFFF"/>
                <w:sz w:val="21"/>
                <w:szCs w:val="21"/>
              </w:rPr>
              <w:t xml:space="preserve">Full history migration is available as a paid service</w:t>
            </w:r>
          </w:p>
        </w:tc>
      </w:tr>
      <w:tr>
        <w:tc>
          <w:tcPr>
            <w:tcW w:type="dxa" w:w="9360"/>
            <w:tcBorders>
              <w:top w:val="none" w:color="FFFFFF" w:sz="0"/>
              <w:left w:val="none" w:color="FFFFFF" w:sz="0"/>
              <w:bottom w:val="none" w:color="FFFFFF" w:sz="0"/>
              <w:right w:val="none" w:color="FFFFFF" w:sz="0"/>
            </w:tcBorders>
            <w:shd w:fill="DCFCE7" w:val="clear"/>
            <w:tcMar>
              <w:top w:type="dxa" w:w="120"/>
              <w:left w:type="dxa" w:w="180"/>
              <w:bottom w:type="dxa" w:w="40"/>
              <w:right w:type="dxa" w:w="180"/>
            </w:tcMar>
          </w:tcPr>
          <w:p>
            <w:r>
              <w:rPr>
                <w:rFonts w:ascii="Arial" w:cs="Arial" w:eastAsia="Arial" w:hAnsi="Arial"/>
                <w:color w:val="64748B"/>
                <w:sz w:val="20"/>
                <w:szCs w:val="20"/>
              </w:rPr>
              <w:t xml:space="preserve">If your site requires full calibration history migration (including all test point data, adjustment records, and reference standard details), CalTrack Pro offers a professional migration service.</w:t>
            </w:r>
          </w:p>
        </w:tc>
      </w:tr>
      <w:tr>
        <w:tc>
          <w:tcPr>
            <w:tcW w:type="dxa" w:w="9360"/>
            <w:tcBorders>
              <w:top w:val="none" w:color="FFFFFF" w:sz="0"/>
              <w:left w:val="none" w:color="FFFFFF" w:sz="0"/>
              <w:bottom w:val="none" w:color="FFFFFF" w:sz="0"/>
              <w:right w:val="none" w:color="FFFFFF" w:sz="0"/>
            </w:tcBorders>
            <w:shd w:fill="DCFCE7" w:val="clear"/>
            <w:tcMar>
              <w:top w:type="dxa" w:w="40"/>
              <w:left w:type="dxa" w:w="180"/>
              <w:bottom w:type="dxa" w:w="40"/>
              <w:right w:type="dxa" w:w="180"/>
            </w:tcMar>
          </w:tcPr>
          <w:p>
            <w:r>
              <w:rPr>
                <w:rFonts w:ascii="Arial" w:cs="Arial" w:eastAsia="Arial" w:hAnsi="Arial"/>
                <w:color w:val="64748B"/>
                <w:sz w:val="20"/>
                <w:szCs w:val="20"/>
              </w:rPr>
              <w:t xml:space="preserve">We will extract, map, and import your complete MEX calibration history at a fixed rate.</w:t>
            </w:r>
          </w:p>
        </w:tc>
      </w:tr>
      <w:tr>
        <w:tc>
          <w:tcPr>
            <w:tcW w:type="dxa" w:w="9360"/>
            <w:tcBorders>
              <w:top w:val="none" w:color="FFFFFF" w:sz="0"/>
              <w:left w:val="none" w:color="FFFFFF" w:sz="0"/>
              <w:bottom w:val="none" w:color="FFFFFF" w:sz="0"/>
              <w:right w:val="none" w:color="FFFFFF" w:sz="0"/>
            </w:tcBorders>
            <w:shd w:fill="DCFCE7" w:val="clear"/>
            <w:tcMar>
              <w:top w:type="dxa" w:w="40"/>
              <w:left w:type="dxa" w:w="180"/>
              <w:bottom w:type="dxa" w:w="40"/>
              <w:right w:type="dxa" w:w="180"/>
            </w:tcMar>
          </w:tcPr>
          <w:p>
            <w:r>
              <w:rPr>
                <w:rFonts w:ascii="Arial" w:cs="Arial" w:eastAsia="Arial" w:hAnsi="Arial"/>
                <w:color w:val="64748B"/>
                <w:sz w:val="20"/>
                <w:szCs w:val="20"/>
              </w:rPr>
              <w:t xml:space="preserve">Contact support@caltrackpro.com with the subject line 'History Migration' for a quote.</w:t>
            </w:r>
          </w:p>
        </w:tc>
      </w:tr>
      <w:tr>
        <w:tc>
          <w:tcPr>
            <w:tcW w:type="dxa" w:w="9360"/>
            <w:tcBorders>
              <w:top w:val="none" w:color="FFFFFF" w:sz="0"/>
              <w:left w:val="none" w:color="FFFFFF" w:sz="0"/>
              <w:bottom w:val="none" w:color="FFFFFF" w:sz="0"/>
              <w:right w:val="none" w:color="FFFFFF" w:sz="0"/>
            </w:tcBorders>
            <w:shd w:fill="DCFCE7" w:val="clear"/>
            <w:tcMar>
              <w:top w:type="dxa" w:w="40"/>
              <w:left w:type="dxa" w:w="180"/>
              <w:bottom w:type="dxa" w:w="120"/>
              <w:right w:type="dxa" w:w="180"/>
            </w:tcMar>
          </w:tcPr>
          <w:p>
            <w:r>
              <w:rPr>
                <w:rFonts w:ascii="Arial" w:cs="Arial" w:eastAsia="Arial" w:hAnsi="Arial"/>
                <w:color w:val="64748B"/>
                <w:sz w:val="20"/>
                <w:szCs w:val="20"/>
              </w:rPr>
              <w:t xml:space="preserve">Typical cost: AUD $200–$500 depending on history volume. Includes data review, import, and verification report.</w:t>
            </w:r>
          </w:p>
        </w:tc>
      </w:tr>
    </w:tbl>
    <w:p>
      <w:pPr>
        <w:spacing w:after="200"/>
      </w:pPr>
      <w:r>
        <w:t xml:space="preserve"/>
      </w:r>
    </w:p>
    <w:p>
      <w:r>
        <w:br w:type="page"/>
      </w:r>
    </w:p>
    <w:p>
      <w:pPr>
        <w:pStyle w:val="Heading1"/>
      </w:pPr>
      <w: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Problem</w:t>
            </w:r>
          </w:p>
        </w:tc>
        <w:tc>
          <w:tcPr>
            <w:tcW w:type="dxa" w:w="61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Solution</w:t>
            </w:r>
          </w:p>
        </w:tc>
      </w:tr>
      <w:tr>
        <w:tc>
          <w:tcPr>
            <w:tcW w:type="dxa" w:w="320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991B1B"/>
                <w:sz w:val="19"/>
                <w:szCs w:val="19"/>
              </w:rPr>
              <w:t xml:space="preserve">Script says 'Python not found' or 'python is not recognized'</w:t>
            </w:r>
          </w:p>
        </w:tc>
        <w:tc>
          <w:tcPr>
            <w:tcW w:type="dxa" w:w="616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Python is not installed or not in your system PATH. Download Python 3.11+ from python.org, install with 'Add to PATH' checkbox ticked, then restart Command Prompt and try again.</w:t>
            </w:r>
          </w:p>
        </w:tc>
      </w:tr>
      <w:tr>
        <w:tc>
          <w:tcPr>
            <w:tcW w:type="dxa" w:w="320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991B1B"/>
                <w:sz w:val="19"/>
                <w:szCs w:val="19"/>
              </w:rPr>
              <w:t xml:space="preserve">CSV has commas in description fields causing wrong column count</w:t>
            </w:r>
          </w:p>
        </w:tc>
        <w:tc>
          <w:tcPr>
            <w:tcW w:type="dxa" w:w="616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Open the CSV in Excel and check for commas in text fields. Wrap those cells in double quotes or replace commas with dashes. Re-save as CSV.</w:t>
            </w:r>
          </w:p>
        </w:tc>
      </w:tr>
      <w:tr>
        <w:tc>
          <w:tcPr>
            <w:tcW w:type="dxa" w:w="320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991B1B"/>
                <w:sz w:val="19"/>
                <w:szCs w:val="19"/>
              </w:rPr>
              <w:t xml:space="preserve">Instruments imported with wrong calibration due date</w:t>
            </w:r>
          </w:p>
        </w:tc>
        <w:tc>
          <w:tcPr>
            <w:tcW w:type="dxa" w:w="616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Check that last_calibration_date is in YYYY-MM-DD format in your CSV. Dates in DD/MM/YYYY or MM/DD/YYYY format will be misread. Use the Excel TEXT formula to convert.</w:t>
            </w:r>
          </w:p>
        </w:tc>
      </w:tr>
      <w:tr>
        <w:tc>
          <w:tcPr>
            <w:tcW w:type="dxa" w:w="320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991B1B"/>
                <w:sz w:val="19"/>
                <w:szCs w:val="19"/>
              </w:rPr>
              <w:t xml:space="preserve">instrument_type errors in the log</w:t>
            </w:r>
          </w:p>
        </w:tc>
        <w:tc>
          <w:tcPr>
            <w:tcW w:type="dxa" w:w="616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CalTrack Pro only accepts specific values for instrument_type. Check the valid values in the mapping table in Step 3 and update your CSV accordingly.</w:t>
            </w:r>
          </w:p>
        </w:tc>
      </w:tr>
      <w:tr>
        <w:tc>
          <w:tcPr>
            <w:tcW w:type="dxa" w:w="320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991B1B"/>
                <w:sz w:val="19"/>
                <w:szCs w:val="19"/>
              </w:rPr>
              <w:t xml:space="preserve">status errors in the log</w:t>
            </w:r>
          </w:p>
        </w:tc>
        <w:tc>
          <w:tcPr>
            <w:tcW w:type="dxa" w:w="616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CalTrack Pro accepts: active, spare, out_of_service, decommissioned. Map any other values (e.g. 'Inactive', 'Archived') to one of these four.</w:t>
            </w:r>
          </w:p>
        </w:tc>
      </w:tr>
      <w:tr>
        <w:tc>
          <w:tcPr>
            <w:tcW w:type="dxa" w:w="320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991B1B"/>
                <w:sz w:val="19"/>
                <w:szCs w:val="19"/>
              </w:rPr>
              <w:t xml:space="preserve">Some instruments imported but with wrong area</w:t>
            </w:r>
          </w:p>
        </w:tc>
        <w:tc>
          <w:tcPr>
            <w:tcW w:type="dxa" w:w="616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Check for leading/trailing spaces in the area column. Use =TRIM() in Excel to clean these before saving the CSV.</w:t>
            </w:r>
          </w:p>
        </w:tc>
      </w:tr>
      <w:tr>
        <w:tc>
          <w:tcPr>
            <w:tcW w:type="dxa" w:w="320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991B1B"/>
                <w:sz w:val="19"/>
                <w:szCs w:val="19"/>
              </w:rPr>
              <w:t xml:space="preserve">Dashboard shows no data after import</w:t>
            </w:r>
          </w:p>
        </w:tc>
        <w:tc>
          <w:tcPr>
            <w:tcW w:type="dxa" w:w="616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Sign out and sign back in to CalTrack Pro to ensure your site name is correctly set. The site name in the script (SITE_NAME) must exactly match the site name you used when signing in.</w:t>
            </w:r>
          </w:p>
        </w:tc>
      </w:tr>
      <w:tr>
        <w:tc>
          <w:tcPr>
            <w:tcW w:type="dxa" w:w="320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991B1B"/>
                <w:sz w:val="19"/>
                <w:szCs w:val="19"/>
              </w:rPr>
              <w:t xml:space="preserve">Script runs but creates 0 instruments</w:t>
            </w:r>
          </w:p>
        </w:tc>
        <w:tc>
          <w:tcPr>
            <w:tcW w:type="dxa" w:w="616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The CSV column headers may not match exactly. Open import_instruments.py in a text editor and check the FIELD_MAP section — ensure your CSV column names match what the script expects.</w:t>
            </w:r>
          </w:p>
        </w:tc>
      </w:tr>
    </w:tbl>
    <w:p>
      <w:pPr>
        <w:spacing w:after="240"/>
      </w:pPr>
      <w:r>
        <w:t xml:space="preserve"/>
      </w:r>
    </w:p>
    <w:p>
      <w:pPr>
        <w:pStyle w:val="Heading1"/>
      </w:pPr>
      <w:r>
        <w:t xml:space="preserve">Quick Reference — Valid Field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9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Valid Values</w:t>
            </w:r>
          </w:p>
        </w:tc>
      </w:tr>
      <w:tr>
        <w:tc>
          <w:tcPr>
            <w:tcW w:type="dxa" w:w="240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0F172A"/>
                <w:sz w:val="19"/>
                <w:szCs w:val="19"/>
              </w:rPr>
              <w:t xml:space="preserve">instrument_type</w:t>
            </w:r>
          </w:p>
        </w:tc>
        <w:tc>
          <w:tcPr>
            <w:tcW w:type="dxa" w:w="696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pressure  |  temperature  |  flow  |  level  |  analyser  |  switch  |  valve  |  other</w:t>
            </w:r>
          </w:p>
        </w:tc>
      </w:tr>
      <w:tr>
        <w:tc>
          <w:tcPr>
            <w:tcW w:type="dxa" w:w="240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0F172A"/>
                <w:sz w:val="19"/>
                <w:szCs w:val="19"/>
              </w:rPr>
              <w:t xml:space="preserve">tolerance_type</w:t>
            </w:r>
          </w:p>
        </w:tc>
        <w:tc>
          <w:tcPr>
            <w:tcW w:type="dxa" w:w="696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percent_span  |  percent_reading  |  absolute</w:t>
            </w:r>
          </w:p>
        </w:tc>
      </w:tr>
      <w:tr>
        <w:tc>
          <w:tcPr>
            <w:tcW w:type="dxa" w:w="240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0F172A"/>
                <w:sz w:val="19"/>
                <w:szCs w:val="19"/>
              </w:rPr>
              <w:t xml:space="preserve">criticality</w:t>
            </w:r>
          </w:p>
        </w:tc>
        <w:tc>
          <w:tcPr>
            <w:tcW w:type="dxa" w:w="696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safety_critical  |  process_critical  |  standard  |  non_critical</w:t>
            </w:r>
          </w:p>
        </w:tc>
      </w:tr>
      <w:tr>
        <w:tc>
          <w:tcPr>
            <w:tcW w:type="dxa" w:w="240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0F172A"/>
                <w:sz w:val="19"/>
                <w:szCs w:val="19"/>
              </w:rPr>
              <w:t xml:space="preserve">status</w:t>
            </w:r>
          </w:p>
        </w:tc>
        <w:tc>
          <w:tcPr>
            <w:tcW w:type="dxa" w:w="696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active  |  spare  |  out_of_service  |  decommissioned</w:t>
            </w:r>
          </w:p>
        </w:tc>
      </w:tr>
      <w:tr>
        <w:tc>
          <w:tcPr>
            <w:tcW w:type="dxa" w:w="240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0F172A"/>
                <w:sz w:val="19"/>
                <w:szCs w:val="19"/>
              </w:rPr>
              <w:t xml:space="preserve">last_calibration_result</w:t>
            </w:r>
          </w:p>
        </w:tc>
        <w:tc>
          <w:tcPr>
            <w:tcW w:type="dxa" w:w="696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pass  |  fail  |  marginal  |  not_calibrated  (or leave blank)</w:t>
            </w:r>
          </w:p>
        </w:tc>
      </w:tr>
      <w:tr>
        <w:tc>
          <w:tcPr>
            <w:tcW w:type="dxa" w:w="240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bCs/>
                <w:color w:val="0F172A"/>
                <w:sz w:val="19"/>
                <w:szCs w:val="19"/>
              </w:rPr>
              <w:t xml:space="preserve">last_calibration_date</w:t>
            </w:r>
          </w:p>
        </w:tc>
        <w:tc>
          <w:tcPr>
            <w:tcW w:type="dxa" w:w="6960"/>
            <w:tcBorders>
              <w:top w:val="single" w:color="CBD5E1" w:sz="1"/>
              <w:left w:val="single" w:color="CBD5E1" w:sz="1"/>
              <w:bottom w:val="single" w:color="CBD5E1" w:sz="1"/>
              <w:right w:val="single" w:color="CBD5E1" w:sz="1"/>
            </w:tcBorders>
            <w:shd w:fill="FFFFFF"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YYYY-MM-DD format only  (e.g. 2025-08-15)</w:t>
            </w:r>
          </w:p>
        </w:tc>
      </w:tr>
      <w:tr>
        <w:tc>
          <w:tcPr>
            <w:tcW w:type="dxa" w:w="240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bCs/>
                <w:color w:val="0F172A"/>
                <w:sz w:val="19"/>
                <w:szCs w:val="19"/>
              </w:rPr>
              <w:t xml:space="preserve">calibration_interval_days</w:t>
            </w:r>
          </w:p>
        </w:tc>
        <w:tc>
          <w:tcPr>
            <w:tcW w:type="dxa" w:w="6960"/>
            <w:tcBorders>
              <w:top w:val="single" w:color="CBD5E1" w:sz="1"/>
              <w:left w:val="single" w:color="CBD5E1" w:sz="1"/>
              <w:bottom w:val="single" w:color="CBD5E1" w:sz="1"/>
              <w:right w:val="single" w:color="CBD5E1" w:sz="1"/>
            </w:tcBorders>
            <w:shd w:fill="F1F5F9" w:val="clear"/>
            <w:tcMar>
              <w:top w:type="dxa" w:w="72"/>
              <w:left w:type="dxa" w:w="120"/>
              <w:bottom w:type="dxa" w:w="72"/>
              <w:right w:type="dxa" w:w="120"/>
            </w:tcMar>
          </w:tcPr>
          <w:p>
            <w:pPr>
              <w:jc w:val="left"/>
            </w:pPr>
            <w:r>
              <w:rPr>
                <w:rFonts w:ascii="Arial" w:cs="Arial" w:eastAsia="Arial" w:hAnsi="Arial"/>
                <w:b w:val="false"/>
                <w:bCs w:val="false"/>
                <w:color w:val="64748B"/>
                <w:sz w:val="19"/>
                <w:szCs w:val="19"/>
              </w:rPr>
              <w:t xml:space="preserve">Positive integer  (e.g. 90, 180, 365, 730)</w:t>
            </w:r>
          </w:p>
        </w:tc>
      </w:tr>
    </w:tbl>
    <w:p>
      <w:pPr>
        <w:spacing w:after="300"/>
      </w:pPr>
      <w:r>
        <w:t xml:space="preserve"/>
      </w:r>
    </w:p>
    <w:p>
      <w:pPr>
        <w:pBdr>
          <w:top w:val="single" w:color="E2E8F0" w:sz="4" w:space="8"/>
        </w:pBdr>
        <w:spacing w:before="200"/>
        <w:jc w:val="center"/>
      </w:pPr>
      <w:r>
        <w:rPr>
          <w:rFonts w:ascii="Arial" w:cs="Arial" w:eastAsia="Arial" w:hAnsi="Arial"/>
          <w:i/>
          <w:iCs/>
          <w:color w:val="64748B"/>
          <w:sz w:val="20"/>
          <w:szCs w:val="20"/>
        </w:rPr>
        <w:t xml:space="preserve">Need help? Contact support@caltrackpro.com with your import CSV and error log attached.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spacing w:before="100"/>
      <w:jc w:val="right"/>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   caltrackpro.com   ·   support@caltrackpro.com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spacing w:after="100"/>
    </w:pPr>
    <w:r>
      <w:rPr>
        <w:rFonts w:ascii="Arial" w:cs="Arial" w:eastAsia="Arial" w:hAnsi="Arial"/>
        <w:b/>
        <w:bCs/>
        <w:color w:val="1E40AF"/>
        <w:sz w:val="18"/>
        <w:szCs w:val="18"/>
      </w:rPr>
      <w:t xml:space="preserve">CalTrack Pro</w:t>
    </w:r>
    <w:r>
      <w:rPr>
        <w:rFonts w:ascii="Arial" w:cs="Arial" w:eastAsia="Arial" w:hAnsi="Arial"/>
        <w:color w:val="64748B"/>
        <w:sz w:val="18"/>
        <w:szCs w:val="18"/>
      </w:rPr>
      <w:t xml:space="preserve">  —  MEX Migration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293B"/>
      <w:sz w:val="38"/>
      <w:szCs w:val="38"/>
    </w:rPr>
  </w:style>
  <w:style w:type="paragraph" w:styleId="Heading2">
    <w:name w:val="Heading 2"/>
    <w:basedOn w:val="Normal"/>
    <w:next w:val="Normal"/>
    <w:qFormat/>
    <w:pPr>
      <w:spacing w:after="120" w:before="280"/>
      <w:outlineLvl w:val="1"/>
    </w:pPr>
    <w:rPr>
      <w:rFonts w:ascii="Arial" w:cs="Arial" w:eastAsia="Arial" w:hAnsi="Arial"/>
      <w:b/>
      <w:bCs/>
      <w:color w:val="1E40AF"/>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E293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2026-04-06T09:41:55.486Z</dcterms:created>
  <dcterms:modified xsi:type="dcterms:W3CDTF">2026-04-06T09:41:55.487Z</dcterms:modified>
</cp:coreProperties>
</file>

<file path=docProps/custom.xml><?xml version="1.0" encoding="utf-8"?>
<Properties xmlns="http://schemas.openxmlformats.org/officeDocument/2006/custom-properties" xmlns:vt="http://schemas.openxmlformats.org/officeDocument/2006/docPropsVTypes"/>
</file>