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A84C" w:sz="6" w:space="1"/>
        </w:pBdr>
        <w:spacing w:after="80" w:before="0"/>
      </w:pPr>
      <w:r>
        <w:rPr>
          <w:rFonts w:ascii="Arial" w:cs="Arial" w:eastAsia="Arial" w:hAnsi="Arial"/>
          <w:b/>
          <w:bCs/>
          <w:i/>
          <w:iCs/>
          <w:color w:val="C9A84C"/>
          <w:sz w:val="36"/>
          <w:szCs w:val="36"/>
        </w:rPr>
        <w:t xml:space="preserve">RMA MOTORS</w:t>
      </w:r>
      <w:r>
        <w:rPr>
          <w:rFonts w:ascii="Arial" w:cs="Arial" w:eastAsia="Arial" w:hAnsi="Arial"/>
          <w:color w:val="333333"/>
          <w:sz w:val="28"/>
          <w:szCs w:val="28"/>
        </w:rPr>
        <w:t xml:space="preserve">  |  Stock &amp; Pricing SOP</w:t>
      </w:r>
    </w:p>
    <w:p>
      <w:pPr>
        <w:spacing w:after="300" w:before="100"/>
      </w:pPr>
      <w:r>
        <w:rPr>
          <w:rFonts w:ascii="Arial" w:cs="Arial" w:eastAsia="Arial" w:hAnsi="Arial"/>
          <w:i/>
          <w:iCs/>
          <w:color w:val="8A90B0"/>
          <w:sz w:val="20"/>
          <w:szCs w:val="20"/>
        </w:rPr>
        <w:t xml:space="preserve">Vehicle Stock Management &amp; Discount Policy | RMA Motors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SOP outlines procedures for managing vehicle stock including pricing, discounting, part exchange handling, and margin protection. The goal is to maintain optimal stock levels and protect dealership margins.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2. Age-Based Discount Ladder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Discounting must be strategic and controlled to protect Gross Profit while minimising financial risk.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Days in Stock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Pricing Action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Max Discount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0–14 days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retail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0–1%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 the market. No panic discounting.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15–30 days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Soft adjust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1–2%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Minor online positioning tweak.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31–45 days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Tactical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2–3%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Trigger more activity.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46–60 days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Defensive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3–5%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Must sell soon — capital risk increasing.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61–75 days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Aggressive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5–7%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Capital risk. Prioritise moving the unit.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75+ days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Exit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Whatever clears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Auction, trade, or wholesale.</w:t>
            </w:r>
          </w:p>
        </w:tc>
      </w:tr>
    </w:tbl>
    <w:p>
      <w:pPr>
        <w:spacing w:after="160"/>
      </w:pPr>
    </w:p>
    <w:p>
      <w:pPr>
        <w:pBdr>
          <w:left w:val="single" w:color="E07840" w:sz="8" w:space="4"/>
        </w:pBdr>
        <w:shd w:fill="FFF3CD" w:val="clear"/>
        <w:spacing w:after="120" w:before="120"/>
        <w:ind w:left="30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⚠  Never discount below minimum GP without written approval from the Purchasing Manager (Barry) or General Manager (Naz). Verbal approvals are not valid.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3. Part Exchange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part exchange vehicles must follow the approved purchasing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Pricing provided must be based on an inspection approved by the Purchasing Manager.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rely on external bidders or third-party prices.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customer is not present during inspection, the vehicle must be brought in before finalising the deal.</w:t>
      </w:r>
    </w:p>
    <w:p>
      <w:pPr>
        <w:pBdr>
          <w:left w:val="single" w:color="E07840" w:sz="8" w:space="4"/>
        </w:pBdr>
        <w:shd w:fill="FFF3CD" w:val="clear"/>
        <w:spacing w:after="120" w:before="120"/>
        <w:ind w:left="30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⚠  Discounts and FOC items for part exchanges are conditional on inspection and Purchasing approval. If inspection is not completed, discounts will be cancelled or reimbursed by the responsible salesperson.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4. Top ROI Brands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Avg Days to Deposit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Avg Gross Profit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Cadillac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 days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AED 38,748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Porsche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15 days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AED 31,541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22 days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AED 23,301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BMW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37 days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AED 23,967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Mercedes-Benz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35 days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AED 20,154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5. Non-Compliance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Deal rejection.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Discount reversal.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Disciplinary action as appropriate.</w:t>
      </w:r>
    </w:p>
    <w:p>
      <w:pPr>
        <w:pBdr>
          <w:top w:val="single" w:color="DDDDDD" w:sz="2" w:space="1"/>
        </w:pBd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A90B0"/>
          <w:sz w:val="18"/>
          <w:szCs w:val="18"/>
        </w:rPr>
        <w:t xml:space="preserve">RMA Motors — Confidential. For internal use only. Showroom 6, Speedex Centre, DIP 1, Dubai.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C9A84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34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2026-05-15T07:20:38.302Z</dcterms:created>
  <dcterms:modified xsi:type="dcterms:W3CDTF">2026-05-15T07:20:38.302Z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