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0"/>
      </w:pPr>
      <w:r>
        <w:rPr>
          <w:b/>
          <w:color w:val="386631"/>
          <w:sz w:val="52"/>
        </w:rPr>
        <w:t>FARO</w:t>
      </w:r>
    </w:p>
    <w:p>
      <w:pPr>
        <w:spacing w:after="40"/>
      </w:pPr>
      <w:r>
        <w:rPr>
          <w:color w:val="4C700B"/>
          <w:sz w:val="26"/>
        </w:rPr>
        <w:t>Que ningún proyecto navegue a ciegas</w:t>
      </w:r>
    </w:p>
    <w:tbl>
      <w:tblPr>
        <w:tblW w:type="auto" w:w="0"/>
        <w:tblLook w:firstColumn="1" w:firstRow="1" w:lastColumn="0" w:lastRow="0" w:noHBand="0" w:noVBand="1" w:val="04A0"/>
      </w:tblPr>
      <w:tblGrid>
        <w:gridCol w:w="9638"/>
      </w:tblGrid>
      <w:tr>
        <w:tc>
          <w:tcPr>
            <w:tcW w:type="dxa" w:w="1701"/>
            <w:shd w:val="clear" w:color="auto" w:fill="7C401D"/>
          </w:tcPr>
          <w:p>
            <w:pPr>
              <w:spacing w:after="0"/>
            </w:pPr>
            <w:r>
              <w:rPr>
                <w:sz w:val="4"/>
              </w:rPr>
              <w:t xml:space="preserve"> </w:t>
            </w:r>
          </w:p>
        </w:tc>
      </w:tr>
    </w:tbl>
    <w:p>
      <w:pPr>
        <w:spacing w:before="120"/>
      </w:pPr>
      <w:r>
        <w:rPr>
          <w:color w:val="555552"/>
          <w:sz w:val="19"/>
        </w:rPr>
        <w:t>Guion de video · Versión 1.0 (borrador) · Duración objetivo: 3 min 30 s · Voz: [Tu nombre], GreenLand · Para colegas y para compartir</w:t>
      </w:r>
    </w:p>
    <w:p>
      <w:pPr>
        <w:pStyle w:val="Heading1"/>
      </w:pPr>
      <w:r>
        <w:t>Ficha de producción</w:t>
      </w:r>
    </w:p>
    <w:tbl>
      <w:tblPr>
        <w:tblW w:type="auto" w:w="0"/>
        <w:jc w:val="center"/>
        <w:tblLayout w:type="fixed"/>
        <w:tblLook w:firstColumn="1" w:firstRow="1" w:lastColumn="0" w:lastRow="0" w:noHBand="0" w:noVBand="1" w:val="04A0"/>
        <w:tblLayout w:type="fixed"/>
      </w:tblPr>
      <w:tblGrid>
        <w:gridCol w:w="2268"/>
        <w:gridCol w:w="7370"/>
      </w:tblGrid>
      <w:tr>
        <w:tc>
          <w:tcPr>
            <w:tcW w:type="dxa" w:w="2268"/>
            <w:shd w:val="clear" w:color="auto" w:fill="4C700B"/>
          </w:tcPr>
          <w:p>
            <w:pPr>
              <w:spacing w:after="20"/>
            </w:pPr>
            <w:r>
              <w:rPr>
                <w:b/>
                <w:color w:val="FFFFFF"/>
                <w:sz w:val="19"/>
              </w:rPr>
              <w:t>Elemento</w:t>
            </w:r>
          </w:p>
        </w:tc>
        <w:tc>
          <w:tcPr>
            <w:tcW w:type="dxa" w:w="7370"/>
            <w:shd w:val="clear" w:color="auto" w:fill="4C700B"/>
          </w:tcPr>
          <w:p>
            <w:pPr>
              <w:spacing w:after="20"/>
            </w:pPr>
            <w:r>
              <w:rPr>
                <w:b/>
                <w:color w:val="FFFFFF"/>
                <w:sz w:val="19"/>
              </w:rPr>
              <w:t>Detalle</w:t>
            </w:r>
          </w:p>
        </w:tc>
      </w:tr>
      <w:tr>
        <w:tc>
          <w:tcPr>
            <w:tcW w:type="dxa" w:w="2268"/>
            <w:tcBorders>
              <w:top w:val="nil"/>
              <w:left w:val="nil"/>
              <w:bottom w:val="single" w:sz="4" w:color="DCDCD8"/>
              <w:right w:val="nil"/>
            </w:tcBorders>
          </w:tcPr>
          <w:p>
            <w:pPr>
              <w:spacing w:after="20"/>
            </w:pPr>
            <w:r>
              <w:rPr>
                <w:b w:val="0"/>
                <w:i w:val="0"/>
                <w:sz w:val="19"/>
              </w:rPr>
              <w:t>Formato</w:t>
            </w:r>
          </w:p>
        </w:tc>
        <w:tc>
          <w:tcPr>
            <w:tcW w:type="dxa" w:w="7370"/>
            <w:tcBorders>
              <w:top w:val="nil"/>
              <w:left w:val="nil"/>
              <w:bottom w:val="single" w:sz="4" w:color="DCDCD8"/>
              <w:right w:val="nil"/>
            </w:tcBorders>
          </w:tcPr>
          <w:p>
            <w:pPr>
              <w:spacing w:after="20"/>
            </w:pPr>
            <w:r>
              <w:rPr>
                <w:b w:val="0"/>
                <w:i w:val="0"/>
                <w:sz w:val="19"/>
              </w:rPr>
              <w:t>Horizontal 16:9. Con subtítulos incrustados (mucha gente lo verá sin sonido).</w:t>
            </w:r>
          </w:p>
        </w:tc>
      </w:tr>
      <w:tr>
        <w:tc>
          <w:tcPr>
            <w:tcW w:type="dxa" w:w="2268"/>
            <w:shd w:val="clear" w:color="auto" w:fill="F4F9EA"/>
            <w:tcBorders>
              <w:top w:val="nil"/>
              <w:left w:val="nil"/>
              <w:bottom w:val="single" w:sz="4" w:color="DCDCD8"/>
              <w:right w:val="nil"/>
            </w:tcBorders>
          </w:tcPr>
          <w:p>
            <w:pPr>
              <w:spacing w:after="20"/>
            </w:pPr>
            <w:r>
              <w:rPr>
                <w:b w:val="0"/>
                <w:i w:val="0"/>
                <w:sz w:val="19"/>
              </w:rPr>
              <w:t>Tono</w:t>
            </w:r>
          </w:p>
        </w:tc>
        <w:tc>
          <w:tcPr>
            <w:tcW w:type="dxa" w:w="7370"/>
            <w:shd w:val="clear" w:color="auto" w:fill="F4F9EA"/>
            <w:tcBorders>
              <w:top w:val="nil"/>
              <w:left w:val="nil"/>
              <w:bottom w:val="single" w:sz="4" w:color="DCDCD8"/>
              <w:right w:val="nil"/>
            </w:tcBorders>
          </w:tcPr>
          <w:p>
            <w:pPr>
              <w:spacing w:after="20"/>
            </w:pPr>
            <w:r>
              <w:rPr>
                <w:b w:val="0"/>
                <w:i w:val="0"/>
                <w:sz w:val="19"/>
              </w:rPr>
              <w:t>Sereno, cercano y concreto. Sin dramatismo. Ritmo lento en la apertura; normal en los pasos.</w:t>
            </w:r>
          </w:p>
        </w:tc>
      </w:tr>
      <w:tr>
        <w:tc>
          <w:tcPr>
            <w:tcW w:type="dxa" w:w="2268"/>
            <w:tcBorders>
              <w:top w:val="nil"/>
              <w:left w:val="nil"/>
              <w:bottom w:val="single" w:sz="4" w:color="DCDCD8"/>
              <w:right w:val="nil"/>
            </w:tcBorders>
          </w:tcPr>
          <w:p>
            <w:pPr>
              <w:spacing w:after="20"/>
            </w:pPr>
            <w:r>
              <w:rPr>
                <w:b w:val="0"/>
                <w:i w:val="0"/>
                <w:sz w:val="19"/>
              </w:rPr>
              <w:t>Identidad</w:t>
            </w:r>
          </w:p>
        </w:tc>
        <w:tc>
          <w:tcPr>
            <w:tcW w:type="dxa" w:w="7370"/>
            <w:tcBorders>
              <w:top w:val="nil"/>
              <w:left w:val="nil"/>
              <w:bottom w:val="single" w:sz="4" w:color="DCDCD8"/>
              <w:right w:val="nil"/>
            </w:tcBorders>
          </w:tcPr>
          <w:p>
            <w:pPr>
              <w:spacing w:after="20"/>
            </w:pPr>
            <w:r>
              <w:rPr>
                <w:b w:val="0"/>
                <w:i w:val="0"/>
                <w:sz w:val="19"/>
              </w:rPr>
              <w:t>Logo GreenLand, paleta verde de la plataforma. Letras grandes F-A-R-O que aparecen una a una.</w:t>
            </w:r>
          </w:p>
        </w:tc>
      </w:tr>
      <w:tr>
        <w:tc>
          <w:tcPr>
            <w:tcW w:type="dxa" w:w="2268"/>
            <w:shd w:val="clear" w:color="auto" w:fill="F4F9EA"/>
            <w:tcBorders>
              <w:top w:val="nil"/>
              <w:left w:val="nil"/>
              <w:bottom w:val="single" w:sz="4" w:color="DCDCD8"/>
              <w:right w:val="nil"/>
            </w:tcBorders>
          </w:tcPr>
          <w:p>
            <w:pPr>
              <w:spacing w:after="20"/>
            </w:pPr>
            <w:r>
              <w:rPr>
                <w:b w:val="0"/>
                <w:i w:val="0"/>
                <w:sz w:val="19"/>
              </w:rPr>
              <w:t>Pantallas de la plataforma</w:t>
            </w:r>
          </w:p>
        </w:tc>
        <w:tc>
          <w:tcPr>
            <w:tcW w:type="dxa" w:w="7370"/>
            <w:shd w:val="clear" w:color="auto" w:fill="F4F9EA"/>
            <w:tcBorders>
              <w:top w:val="nil"/>
              <w:left w:val="nil"/>
              <w:bottom w:val="single" w:sz="4" w:color="DCDCD8"/>
              <w:right w:val="nil"/>
            </w:tcBorders>
          </w:tcPr>
          <w:p>
            <w:pPr>
              <w:spacing w:after="20"/>
            </w:pPr>
            <w:r>
              <w:rPr>
                <w:b w:val="0"/>
                <w:i w:val="0"/>
                <w:sz w:val="19"/>
              </w:rPr>
              <w:t xml:space="preserve">Grabar SOLO con </w:t>
            </w:r>
            <w:r>
              <w:rPr>
                <w:b/>
                <w:i w:val="0"/>
                <w:sz w:val="19"/>
              </w:rPr>
              <w:t>datos ficticios</w:t>
            </w:r>
            <w:r>
              <w:rPr>
                <w:b w:val="0"/>
                <w:i w:val="0"/>
                <w:sz w:val="19"/>
              </w:rPr>
              <w:t>: tablero del portafolio, pantalla de un proyecto, correo de aviso, informe gerencial en PDF.</w:t>
            </w:r>
          </w:p>
        </w:tc>
      </w:tr>
      <w:tr>
        <w:tc>
          <w:tcPr>
            <w:tcW w:type="dxa" w:w="2268"/>
            <w:tcBorders>
              <w:top w:val="nil"/>
              <w:left w:val="nil"/>
              <w:bottom w:val="single" w:sz="4" w:color="DCDCD8"/>
              <w:right w:val="nil"/>
            </w:tcBorders>
          </w:tcPr>
          <w:p>
            <w:pPr>
              <w:spacing w:after="20"/>
            </w:pPr>
            <w:r>
              <w:rPr>
                <w:b w:val="0"/>
                <w:i w:val="0"/>
                <w:sz w:val="19"/>
              </w:rPr>
              <w:t>Música</w:t>
            </w:r>
          </w:p>
        </w:tc>
        <w:tc>
          <w:tcPr>
            <w:tcW w:type="dxa" w:w="7370"/>
            <w:tcBorders>
              <w:top w:val="nil"/>
              <w:left w:val="nil"/>
              <w:bottom w:val="single" w:sz="4" w:color="DCDCD8"/>
              <w:right w:val="nil"/>
            </w:tcBorders>
          </w:tcPr>
          <w:p>
            <w:pPr>
              <w:spacing w:after="20"/>
            </w:pPr>
            <w:r>
              <w:rPr>
                <w:b w:val="0"/>
                <w:i w:val="0"/>
                <w:sz w:val="19"/>
              </w:rPr>
              <w:t>Opcional: pista suave e instrumental, por debajo de la voz. Sin voz cantada.</w:t>
            </w:r>
          </w:p>
        </w:tc>
      </w:tr>
      <w:tr>
        <w:tc>
          <w:tcPr>
            <w:tcW w:type="dxa" w:w="2268"/>
            <w:shd w:val="clear" w:color="auto" w:fill="F4F9EA"/>
            <w:tcBorders>
              <w:top w:val="nil"/>
              <w:left w:val="nil"/>
              <w:bottom w:val="single" w:sz="4" w:color="DCDCD8"/>
              <w:right w:val="nil"/>
            </w:tcBorders>
          </w:tcPr>
          <w:p>
            <w:pPr>
              <w:spacing w:after="20"/>
            </w:pPr>
            <w:r>
              <w:rPr>
                <w:b w:val="0"/>
                <w:i w:val="0"/>
                <w:sz w:val="19"/>
              </w:rPr>
              <w:t>Palabras por minuto</w:t>
            </w:r>
          </w:p>
        </w:tc>
        <w:tc>
          <w:tcPr>
            <w:tcW w:type="dxa" w:w="7370"/>
            <w:shd w:val="clear" w:color="auto" w:fill="F4F9EA"/>
            <w:tcBorders>
              <w:top w:val="nil"/>
              <w:left w:val="nil"/>
              <w:bottom w:val="single" w:sz="4" w:color="DCDCD8"/>
              <w:right w:val="nil"/>
            </w:tcBorders>
          </w:tcPr>
          <w:p>
            <w:pPr>
              <w:spacing w:after="20"/>
            </w:pPr>
            <w:r>
              <w:rPr>
                <w:b w:val="0"/>
                <w:i w:val="0"/>
                <w:sz w:val="19"/>
              </w:rPr>
              <w:t>Unas 140. La locución de abajo suma unas 370 palabras (alrededor de 2 min 40 s hablados, más pausas e imágenes).</w:t>
            </w:r>
          </w:p>
        </w:tc>
      </w:tr>
    </w:tbl>
    <w:p>
      <w:pPr>
        <w:spacing w:after="40"/>
      </w:pPr>
    </w:p>
    <w:p>
      <w:pPr>
        <w:pStyle w:val="Heading1"/>
      </w:pPr>
      <w:r>
        <w:t>Guion escena por escena</w:t>
      </w:r>
    </w:p>
    <w:tbl>
      <w:tblPr>
        <w:tblW w:type="auto" w:w="0"/>
        <w:jc w:val="center"/>
        <w:tblLayout w:type="fixed"/>
        <w:tblLook w:firstColumn="1" w:firstRow="1" w:lastColumn="0" w:lastRow="0" w:noHBand="0" w:noVBand="1" w:val="04A0"/>
        <w:tblLayout w:type="fixed"/>
      </w:tblPr>
      <w:tblGrid>
        <w:gridCol w:w="1701"/>
        <w:gridCol w:w="2381"/>
        <w:gridCol w:w="3855"/>
        <w:gridCol w:w="1701"/>
      </w:tblGrid>
      <w:tr>
        <w:tc>
          <w:tcPr>
            <w:tcW w:type="dxa" w:w="1701"/>
            <w:shd w:val="clear" w:color="auto" w:fill="4C700B"/>
          </w:tcPr>
          <w:p>
            <w:pPr>
              <w:spacing w:after="20"/>
            </w:pPr>
            <w:r>
              <w:rPr>
                <w:b/>
                <w:color w:val="FFFFFF"/>
                <w:sz w:val="17"/>
              </w:rPr>
              <w:t>Escena · Tiempo</w:t>
            </w:r>
          </w:p>
        </w:tc>
        <w:tc>
          <w:tcPr>
            <w:tcW w:type="dxa" w:w="2381"/>
            <w:shd w:val="clear" w:color="auto" w:fill="4C700B"/>
          </w:tcPr>
          <w:p>
            <w:pPr>
              <w:spacing w:after="20"/>
            </w:pPr>
            <w:r>
              <w:rPr>
                <w:b/>
                <w:color w:val="FFFFFF"/>
                <w:sz w:val="17"/>
              </w:rPr>
              <w:t>Imagen</w:t>
            </w:r>
          </w:p>
        </w:tc>
        <w:tc>
          <w:tcPr>
            <w:tcW w:type="dxa" w:w="3855"/>
            <w:shd w:val="clear" w:color="auto" w:fill="4C700B"/>
          </w:tcPr>
          <w:p>
            <w:pPr>
              <w:spacing w:after="20"/>
            </w:pPr>
            <w:r>
              <w:rPr>
                <w:b/>
                <w:color w:val="FFFFFF"/>
                <w:sz w:val="17"/>
              </w:rPr>
              <w:t>Locución</w:t>
            </w:r>
          </w:p>
        </w:tc>
        <w:tc>
          <w:tcPr>
            <w:tcW w:type="dxa" w:w="1701"/>
            <w:shd w:val="clear" w:color="auto" w:fill="4C700B"/>
          </w:tcPr>
          <w:p>
            <w:pPr>
              <w:spacing w:after="20"/>
            </w:pPr>
            <w:r>
              <w:rPr>
                <w:b/>
                <w:color w:val="FFFFFF"/>
                <w:sz w:val="17"/>
              </w:rPr>
              <w:t>Texto en pantalla</w:t>
            </w:r>
          </w:p>
        </w:tc>
      </w:tr>
      <w:tr>
        <w:tc>
          <w:tcPr>
            <w:tcW w:type="dxa" w:w="1701"/>
            <w:tcBorders>
              <w:top w:val="nil"/>
              <w:left w:val="nil"/>
              <w:bottom w:val="single" w:sz="4" w:color="DCDCD8"/>
              <w:right w:val="nil"/>
            </w:tcBorders>
          </w:tcPr>
          <w:p>
            <w:pPr>
              <w:spacing w:after="20"/>
            </w:pPr>
            <w:r>
              <w:rPr>
                <w:b/>
                <w:i w:val="0"/>
                <w:sz w:val="17"/>
              </w:rPr>
              <w:t>1 · Apertura</w:t>
            </w:r>
            <w:r>
              <w:rPr>
                <w:b w:val="0"/>
                <w:i w:val="0"/>
                <w:sz w:val="17"/>
              </w:rPr>
              <w:br/>
              <w:t>0:00 – 0:20</w:t>
            </w:r>
          </w:p>
        </w:tc>
        <w:tc>
          <w:tcPr>
            <w:tcW w:type="dxa" w:w="2381"/>
            <w:tcBorders>
              <w:top w:val="nil"/>
              <w:left w:val="nil"/>
              <w:bottom w:val="single" w:sz="4" w:color="DCDCD8"/>
              <w:right w:val="nil"/>
            </w:tcBorders>
          </w:tcPr>
          <w:p>
            <w:pPr>
              <w:spacing w:after="20"/>
            </w:pPr>
            <w:r>
              <w:rPr>
                <w:b w:val="0"/>
                <w:i w:val="0"/>
                <w:sz w:val="17"/>
              </w:rPr>
              <w:t>Pantalla casi negra. Un haz de luz cruza el mar (animación sencilla o imagen fija).</w:t>
            </w:r>
          </w:p>
        </w:tc>
        <w:tc>
          <w:tcPr>
            <w:tcW w:type="dxa" w:w="3855"/>
            <w:tcBorders>
              <w:top w:val="nil"/>
              <w:left w:val="nil"/>
              <w:bottom w:val="single" w:sz="4" w:color="DCDCD8"/>
              <w:right w:val="nil"/>
            </w:tcBorders>
          </w:tcPr>
          <w:p>
            <w:pPr>
              <w:spacing w:after="20"/>
            </w:pPr>
            <w:r>
              <w:rPr>
                <w:b w:val="0"/>
                <w:i w:val="0"/>
                <w:sz w:val="17"/>
              </w:rPr>
              <w:t>«Imagina un barco, de noche, en el mar. No hay faro. No necesita una tormenta para chocar: le basta con no ver. Hoy, a veces, nuestros proyectos se parecen a ese barco.»</w:t>
            </w:r>
          </w:p>
        </w:tc>
        <w:tc>
          <w:tcPr>
            <w:tcW w:type="dxa" w:w="1701"/>
            <w:tcBorders>
              <w:top w:val="nil"/>
              <w:left w:val="nil"/>
              <w:bottom w:val="single" w:sz="4" w:color="DCDCD8"/>
              <w:right w:val="nil"/>
            </w:tcBorders>
          </w:tcPr>
          <w:p>
            <w:pPr>
              <w:spacing w:after="20"/>
            </w:pPr>
            <w:r>
              <w:rPr>
                <w:b w:val="0"/>
                <w:i w:val="0"/>
                <w:sz w:val="17"/>
              </w:rPr>
              <w:t>«No necesita una tormenta para chocar. Le basta con no ver.»</w:t>
            </w:r>
          </w:p>
        </w:tc>
      </w:tr>
      <w:tr>
        <w:tc>
          <w:tcPr>
            <w:tcW w:type="dxa" w:w="1701"/>
            <w:shd w:val="clear" w:color="auto" w:fill="F4F9EA"/>
            <w:tcBorders>
              <w:top w:val="nil"/>
              <w:left w:val="nil"/>
              <w:bottom w:val="single" w:sz="4" w:color="DCDCD8"/>
              <w:right w:val="nil"/>
            </w:tcBorders>
          </w:tcPr>
          <w:p>
            <w:pPr>
              <w:spacing w:after="20"/>
            </w:pPr>
            <w:r>
              <w:rPr>
                <w:b/>
                <w:i w:val="0"/>
                <w:sz w:val="17"/>
              </w:rPr>
              <w:t>2 · Idea central</w:t>
            </w:r>
            <w:r>
              <w:rPr>
                <w:b w:val="0"/>
                <w:i w:val="0"/>
                <w:sz w:val="17"/>
              </w:rPr>
              <w:br/>
              <w:t>0:20 – 0:50</w:t>
            </w:r>
          </w:p>
        </w:tc>
        <w:tc>
          <w:tcPr>
            <w:tcW w:type="dxa" w:w="2381"/>
            <w:shd w:val="clear" w:color="auto" w:fill="F4F9EA"/>
            <w:tcBorders>
              <w:top w:val="nil"/>
              <w:left w:val="nil"/>
              <w:bottom w:val="single" w:sz="4" w:color="DCDCD8"/>
              <w:right w:val="nil"/>
            </w:tcBorders>
          </w:tcPr>
          <w:p>
            <w:pPr>
              <w:spacing w:after="20"/>
            </w:pPr>
            <w:r>
              <w:rPr>
                <w:b w:val="0"/>
                <w:i w:val="0"/>
                <w:sz w:val="17"/>
              </w:rPr>
              <w:t>Aparece un círculo de 360° que se divide en cuatro cuartos: F, A, R, O. En el centro, «PMO360».</w:t>
            </w:r>
          </w:p>
        </w:tc>
        <w:tc>
          <w:tcPr>
            <w:tcW w:type="dxa" w:w="3855"/>
            <w:shd w:val="clear" w:color="auto" w:fill="F4F9EA"/>
            <w:tcBorders>
              <w:top w:val="nil"/>
              <w:left w:val="nil"/>
              <w:bottom w:val="single" w:sz="4" w:color="DCDCD8"/>
              <w:right w:val="nil"/>
            </w:tcBorders>
          </w:tcPr>
          <w:p>
            <w:pPr>
              <w:spacing w:after="20"/>
            </w:pPr>
            <w:r>
              <w:rPr>
                <w:b w:val="0"/>
                <w:i w:val="0"/>
                <w:sz w:val="17"/>
              </w:rPr>
              <w:t>«Un faro no evita la tormenta. Evita que naveguemos a ciegas. Esa luz se llama PMO360: gira los trescientos sesenta grados para que nada quede en la sombra. Y la encendemos en cuatro pasos, uno por cada cuarto de vuelta: FARO.»</w:t>
            </w:r>
          </w:p>
        </w:tc>
        <w:tc>
          <w:tcPr>
            <w:tcW w:type="dxa" w:w="1701"/>
            <w:shd w:val="clear" w:color="auto" w:fill="F4F9EA"/>
            <w:tcBorders>
              <w:top w:val="nil"/>
              <w:left w:val="nil"/>
              <w:bottom w:val="single" w:sz="4" w:color="DCDCD8"/>
              <w:right w:val="nil"/>
            </w:tcBorders>
          </w:tcPr>
          <w:p>
            <w:pPr>
              <w:spacing w:after="20"/>
            </w:pPr>
            <w:r>
              <w:rPr>
                <w:b w:val="0"/>
                <w:i w:val="0"/>
                <w:sz w:val="17"/>
              </w:rPr>
              <w:t>PMO360 = la vuelta completa (360°)</w:t>
              <w:br/>
              <w:t>FARO = cuatro pasos, cuatro cuartos de vuelta</w:t>
            </w:r>
          </w:p>
        </w:tc>
      </w:tr>
      <w:tr>
        <w:tc>
          <w:tcPr>
            <w:tcW w:type="dxa" w:w="1701"/>
            <w:tcBorders>
              <w:top w:val="nil"/>
              <w:left w:val="nil"/>
              <w:bottom w:val="single" w:sz="4" w:color="DCDCD8"/>
              <w:right w:val="nil"/>
            </w:tcBorders>
          </w:tcPr>
          <w:p>
            <w:pPr>
              <w:spacing w:after="20"/>
            </w:pPr>
            <w:r>
              <w:rPr>
                <w:b/>
                <w:i w:val="0"/>
                <w:sz w:val="17"/>
              </w:rPr>
              <w:t>3 · F</w:t>
            </w:r>
            <w:r>
              <w:rPr>
                <w:b w:val="0"/>
                <w:i w:val="0"/>
                <w:sz w:val="17"/>
              </w:rPr>
              <w:br/>
              <w:t>0:50 – 1:25</w:t>
            </w:r>
          </w:p>
        </w:tc>
        <w:tc>
          <w:tcPr>
            <w:tcW w:type="dxa" w:w="2381"/>
            <w:tcBorders>
              <w:top w:val="nil"/>
              <w:left w:val="nil"/>
              <w:bottom w:val="single" w:sz="4" w:color="DCDCD8"/>
              <w:right w:val="nil"/>
            </w:tcBorders>
          </w:tcPr>
          <w:p>
            <w:pPr>
              <w:spacing w:after="20"/>
            </w:pPr>
            <w:r>
              <w:rPr>
                <w:b w:val="0"/>
                <w:i w:val="0"/>
                <w:sz w:val="17"/>
              </w:rPr>
              <w:t>Letra F. Pantalla del tablero con los semáforos (datos ficticios). Resaltar un proyecto en «Sin datos».</w:t>
            </w:r>
          </w:p>
        </w:tc>
        <w:tc>
          <w:tcPr>
            <w:tcW w:type="dxa" w:w="3855"/>
            <w:tcBorders>
              <w:top w:val="nil"/>
              <w:left w:val="nil"/>
              <w:bottom w:val="single" w:sz="4" w:color="DCDCD8"/>
              <w:right w:val="nil"/>
            </w:tcBorders>
          </w:tcPr>
          <w:p>
            <w:pPr>
              <w:spacing w:after="20"/>
            </w:pPr>
            <w:r>
              <w:rPr>
                <w:b w:val="0"/>
                <w:i w:val="0"/>
                <w:sz w:val="17"/>
              </w:rPr>
              <w:t>«Primer cuarto: F de Fuente única. En la Segunda Guerra Mundial, un matemático, Abraham Wald, notó que todos miraban los aviones que volvían, cuando lo importante estaba en los que no volvieron. Nos pasa igual: vemos los informes que llegan, no los que faltan. La plataforma calcula el estado de cada proyecto con cuatro dimensiones, y manda la peor. Y si falta información, no pinta verde: dice «Sin datos».»</w:t>
            </w:r>
          </w:p>
        </w:tc>
        <w:tc>
          <w:tcPr>
            <w:tcW w:type="dxa" w:w="1701"/>
            <w:tcBorders>
              <w:top w:val="nil"/>
              <w:left w:val="nil"/>
              <w:bottom w:val="single" w:sz="4" w:color="DCDCD8"/>
              <w:right w:val="nil"/>
            </w:tcBorders>
          </w:tcPr>
          <w:p>
            <w:pPr>
              <w:spacing w:after="20"/>
            </w:pPr>
            <w:r>
              <w:rPr>
                <w:b w:val="0"/>
                <w:i w:val="0"/>
                <w:sz w:val="17"/>
              </w:rPr>
              <w:t>F · Fuente única</w:t>
              <w:br/>
              <w:t>Cronograma · Costo · Riesgos · Cambios</w:t>
              <w:br/>
              <w:t>«Sin datos» ≠ verde</w:t>
            </w:r>
          </w:p>
        </w:tc>
      </w:tr>
      <w:tr>
        <w:tc>
          <w:tcPr>
            <w:tcW w:type="dxa" w:w="1701"/>
            <w:shd w:val="clear" w:color="auto" w:fill="F4F9EA"/>
            <w:tcBorders>
              <w:top w:val="nil"/>
              <w:left w:val="nil"/>
              <w:bottom w:val="single" w:sz="4" w:color="DCDCD8"/>
              <w:right w:val="nil"/>
            </w:tcBorders>
          </w:tcPr>
          <w:p>
            <w:pPr>
              <w:spacing w:after="20"/>
            </w:pPr>
            <w:r>
              <w:rPr>
                <w:b/>
                <w:i w:val="0"/>
                <w:sz w:val="17"/>
              </w:rPr>
              <w:t>4 · A</w:t>
            </w:r>
            <w:r>
              <w:rPr>
                <w:b w:val="0"/>
                <w:i w:val="0"/>
                <w:sz w:val="17"/>
              </w:rPr>
              <w:br/>
              <w:t>1:25 – 2:00</w:t>
            </w:r>
          </w:p>
        </w:tc>
        <w:tc>
          <w:tcPr>
            <w:tcW w:type="dxa" w:w="2381"/>
            <w:shd w:val="clear" w:color="auto" w:fill="F4F9EA"/>
            <w:tcBorders>
              <w:top w:val="nil"/>
              <w:left w:val="nil"/>
              <w:bottom w:val="single" w:sz="4" w:color="DCDCD8"/>
              <w:right w:val="nil"/>
            </w:tcBorders>
          </w:tcPr>
          <w:p>
            <w:pPr>
              <w:spacing w:after="20"/>
            </w:pPr>
            <w:r>
              <w:rPr>
                <w:b w:val="0"/>
                <w:i w:val="0"/>
                <w:sz w:val="17"/>
              </w:rPr>
              <w:t>Letra A. Correo de aviso de un cambio en aprobación. Luego, el informe de una página.</w:t>
            </w:r>
          </w:p>
        </w:tc>
        <w:tc>
          <w:tcPr>
            <w:tcW w:type="dxa" w:w="3855"/>
            <w:shd w:val="clear" w:color="auto" w:fill="F4F9EA"/>
            <w:tcBorders>
              <w:top w:val="nil"/>
              <w:left w:val="nil"/>
              <w:bottom w:val="single" w:sz="4" w:color="DCDCD8"/>
              <w:right w:val="nil"/>
            </w:tcBorders>
          </w:tcPr>
          <w:p>
            <w:pPr>
              <w:spacing w:after="20"/>
            </w:pPr>
            <w:r>
              <w:rPr>
                <w:b w:val="0"/>
                <w:i w:val="0"/>
                <w:sz w:val="17"/>
              </w:rPr>
              <w:t>«Segundo cuarto: A de Alerta a tiempo. Un cambio queda esperando firma y nadie sabe dónde está. Cuando por fin se firma, la obra ya avanzó. Ahora, cuando un cambio pasa a aprobación, le llega un correo a quien debe decidir. Y cada lunes a las 7:30 de la mañana sale un informe de una página.»</w:t>
            </w:r>
          </w:p>
        </w:tc>
        <w:tc>
          <w:tcPr>
            <w:tcW w:type="dxa" w:w="1701"/>
            <w:shd w:val="clear" w:color="auto" w:fill="F4F9EA"/>
            <w:tcBorders>
              <w:top w:val="nil"/>
              <w:left w:val="nil"/>
              <w:bottom w:val="single" w:sz="4" w:color="DCDCD8"/>
              <w:right w:val="nil"/>
            </w:tcBorders>
          </w:tcPr>
          <w:p>
            <w:pPr>
              <w:spacing w:after="20"/>
            </w:pPr>
            <w:r>
              <w:rPr>
                <w:b w:val="0"/>
                <w:i w:val="0"/>
                <w:sz w:val="17"/>
              </w:rPr>
              <w:t>A · Alerta a tiempo</w:t>
              <w:br/>
              <w:t>Aviso al que decide</w:t>
              <w:br/>
              <w:t>Informe: lunes 7:30 a. m.</w:t>
            </w:r>
          </w:p>
        </w:tc>
      </w:tr>
      <w:tr>
        <w:tc>
          <w:tcPr>
            <w:tcW w:type="dxa" w:w="1701"/>
            <w:tcBorders>
              <w:top w:val="nil"/>
              <w:left w:val="nil"/>
              <w:bottom w:val="single" w:sz="4" w:color="DCDCD8"/>
              <w:right w:val="nil"/>
            </w:tcBorders>
          </w:tcPr>
          <w:p>
            <w:pPr>
              <w:spacing w:after="20"/>
            </w:pPr>
            <w:r>
              <w:rPr>
                <w:b/>
                <w:i w:val="0"/>
                <w:sz w:val="17"/>
              </w:rPr>
              <w:t>5 · R</w:t>
            </w:r>
            <w:r>
              <w:rPr>
                <w:b w:val="0"/>
                <w:i w:val="0"/>
                <w:sz w:val="17"/>
              </w:rPr>
              <w:br/>
              <w:t>2:00 – 2:35</w:t>
            </w:r>
          </w:p>
        </w:tc>
        <w:tc>
          <w:tcPr>
            <w:tcW w:type="dxa" w:w="2381"/>
            <w:tcBorders>
              <w:top w:val="nil"/>
              <w:left w:val="nil"/>
              <w:bottom w:val="single" w:sz="4" w:color="DCDCD8"/>
              <w:right w:val="nil"/>
            </w:tcBorders>
          </w:tcPr>
          <w:p>
            <w:pPr>
              <w:spacing w:after="20"/>
            </w:pPr>
            <w:r>
              <w:rPr>
                <w:b w:val="0"/>
                <w:i w:val="0"/>
                <w:sz w:val="17"/>
              </w:rPr>
              <w:t>Letra R. Pantalla de registro de cambios y de permisos (datos ficticios). Cifra: «casi 800 comprobaciones».</w:t>
            </w:r>
          </w:p>
        </w:tc>
        <w:tc>
          <w:tcPr>
            <w:tcW w:type="dxa" w:w="3855"/>
            <w:tcBorders>
              <w:top w:val="nil"/>
              <w:left w:val="nil"/>
              <w:bottom w:val="single" w:sz="4" w:color="DCDCD8"/>
              <w:right w:val="nil"/>
            </w:tcBorders>
          </w:tcPr>
          <w:p>
            <w:pPr>
              <w:spacing w:after="20"/>
            </w:pPr>
            <w:r>
              <w:rPr>
                <w:b w:val="0"/>
                <w:i w:val="0"/>
                <w:sz w:val="17"/>
              </w:rPr>
              <w:t>«Tercer cuarto: R de Respaldo. Llega una reclamación y no hay quién demuestre qué se aprobó, cuándo y con qué cifra. Un dato sin historial no se defiende. En la plataforma, cada persona ve solo lo que le corresponde, los cambios quedan registrados y las reglas están escritas y probadas con casi ochocientas comprobaciones automáticas.»</w:t>
            </w:r>
          </w:p>
        </w:tc>
        <w:tc>
          <w:tcPr>
            <w:tcW w:type="dxa" w:w="1701"/>
            <w:tcBorders>
              <w:top w:val="nil"/>
              <w:left w:val="nil"/>
              <w:bottom w:val="single" w:sz="4" w:color="DCDCD8"/>
              <w:right w:val="nil"/>
            </w:tcBorders>
          </w:tcPr>
          <w:p>
            <w:pPr>
              <w:spacing w:after="20"/>
            </w:pPr>
            <w:r>
              <w:rPr>
                <w:b w:val="0"/>
                <w:i w:val="0"/>
                <w:sz w:val="17"/>
              </w:rPr>
              <w:t>R · Respaldo</w:t>
              <w:br/>
              <w:t>Permisos por rol · Registro de cambios</w:t>
              <w:br/>
              <w:t>≈ 800 comprobaciones automáticas</w:t>
            </w:r>
          </w:p>
        </w:tc>
      </w:tr>
      <w:tr>
        <w:tc>
          <w:tcPr>
            <w:tcW w:type="dxa" w:w="1701"/>
            <w:shd w:val="clear" w:color="auto" w:fill="F4F9EA"/>
            <w:tcBorders>
              <w:top w:val="nil"/>
              <w:left w:val="nil"/>
              <w:bottom w:val="single" w:sz="4" w:color="DCDCD8"/>
              <w:right w:val="nil"/>
            </w:tcBorders>
          </w:tcPr>
          <w:p>
            <w:pPr>
              <w:spacing w:after="20"/>
            </w:pPr>
            <w:r>
              <w:rPr>
                <w:b/>
                <w:i w:val="0"/>
                <w:sz w:val="17"/>
              </w:rPr>
              <w:t>6 · O</w:t>
            </w:r>
            <w:r>
              <w:rPr>
                <w:b w:val="0"/>
                <w:i w:val="0"/>
                <w:sz w:val="17"/>
              </w:rPr>
              <w:br/>
              <w:t>2:35 – 3:05</w:t>
            </w:r>
          </w:p>
        </w:tc>
        <w:tc>
          <w:tcPr>
            <w:tcW w:type="dxa" w:w="2381"/>
            <w:shd w:val="clear" w:color="auto" w:fill="F4F9EA"/>
            <w:tcBorders>
              <w:top w:val="nil"/>
              <w:left w:val="nil"/>
              <w:bottom w:val="single" w:sz="4" w:color="DCDCD8"/>
              <w:right w:val="nil"/>
            </w:tcBorders>
          </w:tcPr>
          <w:p>
            <w:pPr>
              <w:spacing w:after="20"/>
            </w:pPr>
            <w:r>
              <w:rPr>
                <w:b w:val="0"/>
                <w:i w:val="0"/>
                <w:sz w:val="17"/>
              </w:rPr>
              <w:t>Letra O. Un Excel «final_v7» que se cierra; luego, el logo de la base de datos estándar.</w:t>
            </w:r>
          </w:p>
        </w:tc>
        <w:tc>
          <w:tcPr>
            <w:tcW w:type="dxa" w:w="3855"/>
            <w:shd w:val="clear" w:color="auto" w:fill="F4F9EA"/>
            <w:tcBorders>
              <w:top w:val="nil"/>
              <w:left w:val="nil"/>
              <w:bottom w:val="single" w:sz="4" w:color="DCDCD8"/>
              <w:right w:val="nil"/>
            </w:tcBorders>
          </w:tcPr>
          <w:p>
            <w:pPr>
              <w:spacing w:after="20"/>
            </w:pPr>
            <w:r>
              <w:rPr>
                <w:b w:val="0"/>
                <w:i w:val="0"/>
                <w:sz w:val="17"/>
              </w:rPr>
              <w:t>«Cuarto cuarto: O de Operación que escala. Todos conocemos ese Excel que nadie se atreve a tocar. Una herramienta que depende de una sola persona es un riesgo. Aquí los datos viven en una base estándar, con instalación documentada, para que la luz siga encendida cuando alguien falte. Y con este cuarto se completa la vuelta: trescientos sesenta grados.»</w:t>
            </w:r>
          </w:p>
        </w:tc>
        <w:tc>
          <w:tcPr>
            <w:tcW w:type="dxa" w:w="1701"/>
            <w:shd w:val="clear" w:color="auto" w:fill="F4F9EA"/>
            <w:tcBorders>
              <w:top w:val="nil"/>
              <w:left w:val="nil"/>
              <w:bottom w:val="single" w:sz="4" w:color="DCDCD8"/>
              <w:right w:val="nil"/>
            </w:tcBorders>
          </w:tcPr>
          <w:p>
            <w:pPr>
              <w:spacing w:after="20"/>
            </w:pPr>
            <w:r>
              <w:rPr>
                <w:b w:val="0"/>
                <w:i w:val="0"/>
                <w:sz w:val="17"/>
              </w:rPr>
              <w:t>O · Operación que escala</w:t>
              <w:br/>
              <w:t>Base estándar · Documentada</w:t>
            </w:r>
          </w:p>
        </w:tc>
      </w:tr>
      <w:tr>
        <w:tc>
          <w:tcPr>
            <w:tcW w:type="dxa" w:w="1701"/>
            <w:tcBorders>
              <w:top w:val="nil"/>
              <w:left w:val="nil"/>
              <w:bottom w:val="single" w:sz="4" w:color="DCDCD8"/>
              <w:right w:val="nil"/>
            </w:tcBorders>
          </w:tcPr>
          <w:p>
            <w:pPr>
              <w:spacing w:after="20"/>
            </w:pPr>
            <w:r>
              <w:rPr>
                <w:b/>
                <w:i w:val="0"/>
                <w:sz w:val="17"/>
              </w:rPr>
              <w:t>7 · Lo que declaramos</w:t>
            </w:r>
            <w:r>
              <w:rPr>
                <w:b w:val="0"/>
                <w:i w:val="0"/>
                <w:sz w:val="17"/>
              </w:rPr>
              <w:br/>
              <w:t>3:05 – 3:12</w:t>
            </w:r>
          </w:p>
        </w:tc>
        <w:tc>
          <w:tcPr>
            <w:tcW w:type="dxa" w:w="2381"/>
            <w:tcBorders>
              <w:top w:val="nil"/>
              <w:left w:val="nil"/>
              <w:bottom w:val="single" w:sz="4" w:color="DCDCD8"/>
              <w:right w:val="nil"/>
            </w:tcBorders>
          </w:tcPr>
          <w:p>
            <w:pPr>
              <w:spacing w:after="20"/>
            </w:pPr>
            <w:r>
              <w:rPr>
                <w:b w:val="0"/>
                <w:i w:val="0"/>
                <w:sz w:val="17"/>
              </w:rPr>
              <w:t>Texto sobre fondo verde, uno a uno.</w:t>
            </w:r>
          </w:p>
        </w:tc>
        <w:tc>
          <w:tcPr>
            <w:tcW w:type="dxa" w:w="3855"/>
            <w:tcBorders>
              <w:top w:val="nil"/>
              <w:left w:val="nil"/>
              <w:bottom w:val="single" w:sz="4" w:color="DCDCD8"/>
              <w:right w:val="nil"/>
            </w:tcBorders>
          </w:tcPr>
          <w:p>
            <w:pPr>
              <w:spacing w:after="20"/>
            </w:pPr>
            <w:r>
              <w:rPr>
                <w:b w:val="0"/>
                <w:i w:val="0"/>
                <w:sz w:val="17"/>
              </w:rPr>
              <w:t>«Hoy solo se ha probado con datos ficticios, y no tenemos cifras de ahorro, porque nunca se midió.»</w:t>
            </w:r>
          </w:p>
        </w:tc>
        <w:tc>
          <w:tcPr>
            <w:tcW w:type="dxa" w:w="1701"/>
            <w:tcBorders>
              <w:top w:val="nil"/>
              <w:left w:val="nil"/>
              <w:bottom w:val="single" w:sz="4" w:color="DCDCD8"/>
              <w:right w:val="nil"/>
            </w:tcBorders>
          </w:tcPr>
          <w:p>
            <w:pPr>
              <w:spacing w:after="20"/>
            </w:pPr>
            <w:r>
              <w:rPr>
                <w:b w:val="0"/>
                <w:i w:val="0"/>
                <w:sz w:val="17"/>
              </w:rPr>
              <w:t>Datos ficticios · Sin línea base · Costo por calcular</w:t>
            </w:r>
          </w:p>
        </w:tc>
      </w:tr>
      <w:tr>
        <w:tc>
          <w:tcPr>
            <w:tcW w:type="dxa" w:w="1701"/>
            <w:shd w:val="clear" w:color="auto" w:fill="F4F9EA"/>
            <w:tcBorders>
              <w:top w:val="nil"/>
              <w:left w:val="nil"/>
              <w:bottom w:val="single" w:sz="4" w:color="DCDCD8"/>
              <w:right w:val="nil"/>
            </w:tcBorders>
          </w:tcPr>
          <w:p>
            <w:pPr>
              <w:spacing w:after="20"/>
            </w:pPr>
            <w:r>
              <w:rPr>
                <w:b/>
                <w:i w:val="0"/>
                <w:sz w:val="17"/>
              </w:rPr>
              <w:t>8 · Cierre y pedido</w:t>
            </w:r>
            <w:r>
              <w:rPr>
                <w:b w:val="0"/>
                <w:i w:val="0"/>
                <w:sz w:val="17"/>
              </w:rPr>
              <w:br/>
              <w:t>3:12 – 3:30</w:t>
            </w:r>
          </w:p>
        </w:tc>
        <w:tc>
          <w:tcPr>
            <w:tcW w:type="dxa" w:w="2381"/>
            <w:shd w:val="clear" w:color="auto" w:fill="F4F9EA"/>
            <w:tcBorders>
              <w:top w:val="nil"/>
              <w:left w:val="nil"/>
              <w:bottom w:val="single" w:sz="4" w:color="DCDCD8"/>
              <w:right w:val="nil"/>
            </w:tcBorders>
          </w:tcPr>
          <w:p>
            <w:pPr>
              <w:spacing w:after="20"/>
            </w:pPr>
            <w:r>
              <w:rPr>
                <w:b w:val="0"/>
                <w:i w:val="0"/>
                <w:sz w:val="17"/>
              </w:rPr>
              <w:t>Logo GreenLand y FARO. Tres tarjetas: 90 días · 3–4 de 12 proyectos · criterios acordados antes.</w:t>
            </w:r>
          </w:p>
        </w:tc>
        <w:tc>
          <w:tcPr>
            <w:tcW w:type="dxa" w:w="3855"/>
            <w:shd w:val="clear" w:color="auto" w:fill="F4F9EA"/>
            <w:tcBorders>
              <w:top w:val="nil"/>
              <w:left w:val="nil"/>
              <w:bottom w:val="single" w:sz="4" w:color="DCDCD8"/>
              <w:right w:val="nil"/>
            </w:tcBorders>
          </w:tcPr>
          <w:p>
            <w:pPr>
              <w:spacing w:after="20"/>
            </w:pPr>
            <w:r>
              <w:rPr>
                <w:b w:val="0"/>
                <w:i w:val="0"/>
                <w:sz w:val="17"/>
              </w:rPr>
              <w:t>«PMO360 es la luz, FARO es cómo la mantenemos encendida. Pedimos noventa días con tres o cuatro proyectos para medirlo. Un faro no se evalúa por cuánto brilla, sino por los barcos que evita perder. Probémoslo.»</w:t>
            </w:r>
          </w:p>
        </w:tc>
        <w:tc>
          <w:tcPr>
            <w:tcW w:type="dxa" w:w="1701"/>
            <w:shd w:val="clear" w:color="auto" w:fill="F4F9EA"/>
            <w:tcBorders>
              <w:top w:val="nil"/>
              <w:left w:val="nil"/>
              <w:bottom w:val="single" w:sz="4" w:color="DCDCD8"/>
              <w:right w:val="nil"/>
            </w:tcBorders>
          </w:tcPr>
          <w:p>
            <w:pPr>
              <w:spacing w:after="20"/>
            </w:pPr>
            <w:r>
              <w:rPr>
                <w:b w:val="0"/>
                <w:i w:val="0"/>
                <w:sz w:val="17"/>
              </w:rPr>
              <w:t>90 días · 3–4 de 12 proyectos</w:t>
              <w:br/>
              <w:t>Probémoslo.</w:t>
            </w:r>
          </w:p>
        </w:tc>
      </w:tr>
    </w:tbl>
    <w:p>
      <w:pPr>
        <w:spacing w:after="40"/>
      </w:pPr>
    </w:p>
    <w:p>
      <w:pPr>
        <w:pStyle w:val="Heading1"/>
      </w:pPr>
      <w:r>
        <w:t>Texto completo de la locución (para leer corrido)</w:t>
      </w:r>
    </w:p>
    <w:p>
      <w:r>
        <w:rPr>
          <w:b w:val="0"/>
          <w:i w:val="0"/>
        </w:rPr>
        <w:t>Imagina un barco, de noche, en el mar. No hay faro. No necesita una tormenta para chocar: le basta con no ver. Hoy, a veces, nuestros proyectos se parecen a ese barco.</w:t>
      </w:r>
    </w:p>
    <w:p>
      <w:r>
        <w:rPr>
          <w:b w:val="0"/>
          <w:i w:val="0"/>
        </w:rPr>
        <w:t>Un faro no evita la tormenta. Evita que naveguemos a ciegas. Esa luz se llama PMO360: gira los trescientos sesenta grados para que nada quede en la sombra. Y la encendemos en cuatro pasos, uno por cada cuarto de vuelta: FARO.</w:t>
      </w:r>
    </w:p>
    <w:p>
      <w:r>
        <w:rPr>
          <w:b w:val="0"/>
          <w:i w:val="0"/>
        </w:rPr>
        <w:t>Primer cuarto: F de Fuente única. En la Segunda Guerra Mundial, un matemático, Abraham Wald, notó que todos miraban los aviones que volvían, cuando lo importante estaba en los que no volvieron. Nos pasa igual: vemos los informes que llegan, no los que faltan. La plataforma calcula el estado de cada proyecto con cuatro dimensiones, y manda la peor. Y si falta información, no pinta verde: dice «Sin datos».</w:t>
      </w:r>
    </w:p>
    <w:p>
      <w:r>
        <w:rPr>
          <w:b w:val="0"/>
          <w:i w:val="0"/>
        </w:rPr>
        <w:t>Segundo cuarto: A de Alerta a tiempo. Un cambio queda esperando firma y nadie sabe dónde está. Cuando por fin se firma, la obra ya avanzó. Ahora, cuando un cambio pasa a aprobación, le llega un correo a quien debe decidir. Y cada lunes a las 7:30 de la mañana sale un informe de una página.</w:t>
      </w:r>
    </w:p>
    <w:p>
      <w:r>
        <w:rPr>
          <w:b w:val="0"/>
          <w:i w:val="0"/>
        </w:rPr>
        <w:t>Tercer cuarto: R de Respaldo. Llega una reclamación y no hay quién demuestre qué se aprobó, cuándo y con qué cifra. Un dato sin historial no se defiende. En la plataforma, cada persona ve solo lo que le corresponde, los cambios quedan registrados y las reglas están escritas y probadas con casi ochocientas comprobaciones automáticas.</w:t>
      </w:r>
    </w:p>
    <w:p>
      <w:r>
        <w:rPr>
          <w:b w:val="0"/>
          <w:i w:val="0"/>
        </w:rPr>
        <w:t>Cuarto cuarto: O de Operación que escala. Todos conocemos ese Excel que nadie se atreve a tocar. Una herramienta que depende de una sola persona es un riesgo. Aquí los datos viven en una base estándar, con instalación documentada, para que la luz siga encendida cuando alguien falte. Y con este cuarto se completa la vuelta: trescientos sesenta grados.</w:t>
      </w:r>
    </w:p>
    <w:p>
      <w:r>
        <w:rPr>
          <w:b w:val="0"/>
          <w:i w:val="0"/>
        </w:rPr>
        <w:t>Hoy solo se ha probado con datos ficticios, y no tenemos cifras de ahorro, porque nunca se midió.</w:t>
      </w:r>
    </w:p>
    <w:p>
      <w:r>
        <w:rPr>
          <w:b w:val="0"/>
          <w:i w:val="0"/>
        </w:rPr>
        <w:t>PMO360 es la luz, FARO es cómo la mantenemos encendida. Pedimos noventa días con tres o cuatro proyectos para medirlo. Un faro no se evalúa por cuánto brilla, sino por los barcos que evita perder. Probémoslo.</w:t>
      </w:r>
    </w:p>
    <w:p>
      <w:pPr>
        <w:pStyle w:val="Heading1"/>
      </w:pPr>
      <w:r>
        <w:t>Notas para la grabación</w:t>
      </w:r>
    </w:p>
    <w:p>
      <w:pPr>
        <w:pStyle w:val="ListBullet"/>
        <w:spacing w:after="40"/>
        <w:ind w:left="340"/>
      </w:pPr>
      <w:r>
        <w:rPr>
          <w:b w:val="0"/>
          <w:i w:val="0"/>
        </w:rPr>
        <w:t xml:space="preserve">Las escenas de A, R y O hablan de </w:t>
      </w:r>
      <w:r>
        <w:rPr>
          <w:b/>
          <w:i w:val="0"/>
        </w:rPr>
        <w:t>situaciones típicas, no de casos reales</w:t>
      </w:r>
      <w:r>
        <w:rPr>
          <w:b w:val="0"/>
          <w:i w:val="0"/>
        </w:rPr>
        <w:t>; si lo prefieres, añade al inicio de la escena 4 la frase «una escena que seguramente reconoces».</w:t>
      </w:r>
    </w:p>
    <w:p>
      <w:pPr>
        <w:pStyle w:val="ListBullet"/>
        <w:spacing w:after="40"/>
        <w:ind w:left="340"/>
      </w:pPr>
      <w:r>
        <w:rPr>
          <w:b w:val="0"/>
          <w:i w:val="0"/>
        </w:rPr>
        <w:t>No muestres nombres de proyectos, clientes ni contratistas reales. Usa solo datos ficticios.</w:t>
      </w:r>
    </w:p>
    <w:p>
      <w:pPr>
        <w:pStyle w:val="ListBullet"/>
        <w:spacing w:after="40"/>
        <w:ind w:left="340"/>
      </w:pPr>
      <w:r>
        <w:rPr>
          <w:b w:val="0"/>
          <w:i w:val="0"/>
        </w:rPr>
        <w:t>Si alguna cifra cambia (por ejemplo, el número de comprobaciones automáticas), actualiza la escena 5 antes de grabar.</w:t>
      </w:r>
    </w:p>
    <w:p>
      <w:pPr>
        <w:pStyle w:val="ListBullet"/>
        <w:spacing w:after="40"/>
        <w:ind w:left="340"/>
      </w:pPr>
      <w:r>
        <w:rPr>
          <w:b w:val="0"/>
          <w:i w:val="0"/>
        </w:rPr>
        <w:t>Versión corta de 60 s para mensajería: escenas 1, 2, 7 y 8, con una sola frase por paso.</w:t>
      </w:r>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2"/>
        <w:sz w:val="16"/>
      </w:rPr>
      <w:t xml:space="preserve">GreenLand · PMO360  |  FARO · Guion de video  |  Página </w:t>
    </w:r>
    <w:r>
      <w:rPr>
        <w:color w:val="555552"/>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296000" cy="393948"/>
          <wp:docPr id="1" name="Picture 1"/>
          <wp:cNvGraphicFramePr>
            <a:graphicFrameLocks noChangeAspect="1"/>
          </wp:cNvGraphicFramePr>
          <a:graphic>
            <a:graphicData uri="http://schemas.openxmlformats.org/drawingml/2006/picture">
              <pic:pic>
                <pic:nvPicPr>
                  <pic:cNvPr id="0" name="logo-greenland.png"/>
                  <pic:cNvPicPr/>
                </pic:nvPicPr>
                <pic:blipFill>
                  <a:blip r:embed="rId1"/>
                  <a:stretch>
                    <a:fillRect/>
                  </a:stretch>
                </pic:blipFill>
                <pic:spPr>
                  <a:xfrm>
                    <a:off x="0" y="0"/>
                    <a:ext cx="1296000" cy="393948"/>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olor w:val="16450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80"/>
      <w:outlineLvl w:val="0"/>
    </w:pPr>
    <w:rPr>
      <w:rFonts w:asciiTheme="majorHAnsi" w:eastAsiaTheme="majorEastAsia" w:hAnsiTheme="majorHAnsi" w:cstheme="majorBidi" w:ascii="Calibri" w:hAnsi="Calibri" w:eastAsia="Calibri"/>
      <w:b/>
      <w:bCs/>
      <w:color w:val="386631"/>
      <w:sz w:val="3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eastAsia="Calibri"/>
      <w:b/>
      <w:bCs/>
      <w:color w:val="4C700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38663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