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跨年度调休结转规则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跨年度调休结转规则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假期与加班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[结转, 上限, 失效]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[调休与补休规则.md, 加班补偿政策.md, 调休结转纠纷案例.md]</w:t>
            </w:r>
          </w:p>
        </w:tc>
      </w:tr>
    </w:tbl>
    <w:p/>
    <w:p>
      <w:r>
        <w:t># 跨年度调休结转规则</w:t>
      </w:r>
    </w:p>
    <w:p>
      <w:pPr>
        <w:pStyle w:val="Heading2"/>
      </w:pPr>
      <w:r>
        <w:t>1. 适用范围</w:t>
      </w:r>
    </w:p>
    <w:p>
      <w:r>
        <w:t>本规则适用于公司全体员工每年 12 月 31 日前未使用完毕的调休余额结转处理。涉及多个法人主体的，按各法人主体劳动合同关系单独结转，不跨主体合并。本规则不适用于法定年假，年假结转按年假管理规定执行。</w:t>
      </w:r>
    </w:p>
    <w:p>
      <w:pPr>
        <w:pStyle w:val="Heading2"/>
      </w:pPr>
      <w:r>
        <w:t>2. 定义与术语</w:t>
      </w:r>
    </w:p>
    <w:p>
      <w:pPr>
        <w:pStyle w:val="ListBullet"/>
      </w:pPr>
      <w:r>
        <w:t>**结转**：将上一自然年度未使用的调休余额延续至下一年度继续使用的安排。</w:t>
      </w:r>
    </w:p>
    <w:p>
      <w:pPr>
        <w:pStyle w:val="ListBullet"/>
      </w:pPr>
      <w:r>
        <w:t>**结转上限**：可跨年度结转的调休时长最高值，本规则规定为 40 小时。</w:t>
      </w:r>
    </w:p>
    <w:p>
      <w:pPr>
        <w:pStyle w:val="ListBullet"/>
      </w:pPr>
      <w:r>
        <w:t>**结转期限**：结转后调休的最终失效日期，本规则规定为次年 6 月 30 日。</w:t>
      </w:r>
    </w:p>
    <w:p>
      <w:pPr>
        <w:pStyle w:val="ListBullet"/>
      </w:pPr>
      <w:r>
        <w:t>**强制安排**：因业务原因连续无法休假的，由部门主导制定的休假计划。</w:t>
      </w:r>
    </w:p>
    <w:p>
      <w:pPr>
        <w:pStyle w:val="ListBullet"/>
      </w:pPr>
      <w:r>
        <w:t>**货币补偿**：以工资形式替代调休的折算方式。</w:t>
      </w:r>
    </w:p>
    <w:p>
      <w:pPr>
        <w:pStyle w:val="Heading2"/>
      </w:pPr>
      <w:r>
        <w:t>3. 核心规则</w:t>
      </w:r>
    </w:p>
    <w:p>
      <w:pPr>
        <w:pStyle w:val="Heading3"/>
      </w:pPr>
      <w:r>
        <w:t>3.1 结转上限与折算</w:t>
      </w:r>
    </w:p>
    <w:p>
      <w:r>
        <w:t>每名员工跨年度可结转调休时长不超过 40 小时；超出部分由公司按 150% 倍率折算工资在次年 1 月发薪日一并支付。法定节假日加班产生的工资性补偿不在结转范围。</w:t>
      </w:r>
    </w:p>
    <w:p>
      <w:pPr>
        <w:pStyle w:val="Heading3"/>
      </w:pPr>
      <w:r>
        <w:t>3.2 结转期限与失效</w:t>
      </w:r>
    </w:p>
    <w:p>
      <w:pPr>
        <w:pStyle w:val="ListBullet"/>
      </w:pPr>
      <w:r>
        <w:t>跨年度结转的调休须在次年 6 月 30 日前使用完毕，逾期作废且不再补偿。</w:t>
      </w:r>
    </w:p>
    <w:p>
      <w:pPr>
        <w:pStyle w:val="ListBullet"/>
      </w:pPr>
      <w:r>
        <w:t>因病假、产假、长期项目派驻等原因 6 月 30 日前确无法使用的，可申请延期至 12 月 31 日。</w:t>
      </w:r>
    </w:p>
    <w:p>
      <w:pPr>
        <w:pStyle w:val="ListBullet"/>
      </w:pPr>
      <w:r>
        <w:t>离职员工的结转调休按结转生效日折算 150% 工资支付。</w:t>
      </w:r>
    </w:p>
    <w:p>
      <w:pPr>
        <w:pStyle w:val="Heading3"/>
      </w:pPr>
      <w:r>
        <w:t>3.3 通知与提醒</w:t>
      </w:r>
    </w:p>
    <w:p>
      <w:r>
        <w:t>工时管理系统于每年 11 月 1 日、12 月 1 日、12 月 25 日发送 3 次结转预警；次年 4 月 1 日、5 月 15 日、6 月 15 日发送 3 次失效预警。员工和主管均应及时关注。</w:t>
      </w:r>
    </w:p>
    <w:p>
      <w:pPr>
        <w:pStyle w:val="Heading2"/>
      </w:pPr>
      <w:r>
        <w:t>4. 例外情况</w:t>
      </w:r>
    </w:p>
    <w:p>
      <w:pPr>
        <w:pStyle w:val="ListBullet"/>
      </w:pPr>
      <w:r>
        <w:t>**业务高峰期**：因季度结算、年终冲刺、客户审计等业务原因导致部门 70% 以上员工无法在 12 月使用调休的，可由部门负责人申请将结转上限提升至 60 小时，但需经管理层审批。</w:t>
      </w:r>
    </w:p>
    <w:p>
      <w:pPr>
        <w:pStyle w:val="ListBullet"/>
      </w:pPr>
      <w:r>
        <w:t>**新入职员工**：当年入职不满 6 个月、未达到 40 小时结转上限的员工，按实际余额结转，不另作折算。</w:t>
      </w:r>
    </w:p>
    <w:p>
      <w:pPr>
        <w:pStyle w:val="ListBullet"/>
      </w:pPr>
      <w:r>
        <w:t>**法务案件**：涉及劳动争议、仲裁的员工调休结转按生效裁决处理。</w:t>
      </w:r>
    </w:p>
    <w:p>
      <w:pPr>
        <w:pStyle w:val="Heading2"/>
      </w:pPr>
      <w:r>
        <w:t>5. 处罚与追责</w:t>
      </w:r>
    </w:p>
    <w:p>
      <w:pPr>
        <w:pStyle w:val="ListBullet"/>
      </w:pPr>
      <w:r>
        <w:t>部门未在 12 月组织员工排休、导致超额折薪给企业带来支出的，纳入部门成本中心考核。</w:t>
      </w:r>
    </w:p>
    <w:p>
      <w:pPr>
        <w:pStyle w:val="ListBullet"/>
      </w:pPr>
      <w:r>
        <w:t>员工故意囤积调休拒不使用的，由人力资源部门约谈并强制排休。</w:t>
      </w:r>
    </w:p>
    <w:p>
      <w:pPr>
        <w:pStyle w:val="ListBullet"/>
      </w:pPr>
      <w:r>
        <w:t>系统未按规则失效或折算造成员工损失的，由信息部门修复并赔偿差额。</w:t>
      </w:r>
    </w:p>
    <w:p>
      <w:pPr>
        <w:pStyle w:val="Heading2"/>
      </w:pPr>
      <w:r>
        <w:t>6. 附则</w:t>
      </w:r>
    </w:p>
    <w:p>
      <w:r>
        <w:t>本规则与调休与补休规则、加班补偿政策共同构成公司加班调休管理体系。本规则每年 12 月评估一次，必要时调整结转上限和失效期。本规则由人力资源部门解释，员工可通过 OA 公告查询历年结转数据和补偿明细。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