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项目变更控制案例</w:t>
      </w:r>
    </w:p>
    <w:tbl>
      <w:tblPr>
        <w:tblStyle w:val="LightGrid-Accent1"/>
        <w:tblW w:type="auto" w:w="0"/>
        <w:tblLook w:firstColumn="1" w:firstRow="1" w:lastColumn="0" w:lastRow="0" w:noHBand="0" w:noVBand="1" w:val="04A0"/>
      </w:tblPr>
      <w:tblGrid>
        <w:gridCol w:w="4320"/>
        <w:gridCol w:w="4320"/>
      </w:tblGrid>
      <w:tr>
        <w:tc>
          <w:tcPr>
            <w:tcW w:type="dxa" w:w="4320"/>
          </w:tcPr>
          <w:p>
            <w:r>
              <w:t>属性</w:t>
            </w:r>
          </w:p>
        </w:tc>
        <w:tc>
          <w:tcPr>
            <w:tcW w:type="dxa" w:w="4320"/>
          </w:tcPr>
          <w:p>
            <w:r>
              <w:t>值</w:t>
            </w:r>
          </w:p>
        </w:tc>
      </w:tr>
      <w:tr>
        <w:tc>
          <w:tcPr>
            <w:tcW w:type="dxa" w:w="4320"/>
          </w:tcPr>
          <w:p>
            <w:r>
              <w:t>title</w:t>
            </w:r>
          </w:p>
        </w:tc>
        <w:tc>
          <w:tcPr>
            <w:tcW w:type="dxa" w:w="4320"/>
          </w:tcPr>
          <w:p>
            <w:r>
              <w:t>项目变更控制案例</w:t>
            </w:r>
          </w:p>
        </w:tc>
      </w:tr>
      <w:tr>
        <w:tc>
          <w:tcPr>
            <w:tcW w:type="dxa" w:w="4320"/>
          </w:tcPr>
          <w:p>
            <w:r>
              <w:t>category</w:t>
            </w:r>
          </w:p>
        </w:tc>
        <w:tc>
          <w:tcPr>
            <w:tcW w:type="dxa" w:w="4320"/>
          </w:tcPr>
          <w:p>
            <w:r>
              <w:t>项目管理流程</w:t>
            </w:r>
          </w:p>
        </w:tc>
      </w:tr>
      <w:tr>
        <w:tc>
          <w:tcPr>
            <w:tcW w:type="dxa" w:w="4320"/>
          </w:tcPr>
          <w:p>
            <w:r>
              <w:t>genre</w:t>
            </w:r>
          </w:p>
        </w:tc>
        <w:tc>
          <w:tcPr>
            <w:tcW w:type="dxa" w:w="4320"/>
          </w:tcPr>
          <w:p>
            <w:r>
              <w:t>case</w:t>
            </w:r>
          </w:p>
        </w:tc>
      </w:tr>
      <w:tr>
        <w:tc>
          <w:tcPr>
            <w:tcW w:type="dxa" w:w="4320"/>
          </w:tcPr>
          <w:p>
            <w:r>
              <w:t>version</w:t>
            </w:r>
          </w:p>
        </w:tc>
        <w:tc>
          <w:tcPr>
            <w:tcW w:type="dxa" w:w="4320"/>
          </w:tcPr>
          <w:p>
            <w:r>
              <w:t>1.0</w:t>
            </w:r>
          </w:p>
        </w:tc>
      </w:tr>
      <w:tr>
        <w:tc>
          <w:tcPr>
            <w:tcW w:type="dxa" w:w="4320"/>
          </w:tcPr>
          <w:p>
            <w:r>
              <w:t>effective_date</w:t>
            </w:r>
          </w:p>
        </w:tc>
        <w:tc>
          <w:tcPr>
            <w:tcW w:type="dxa" w:w="4320"/>
          </w:tcPr>
          <w:p>
            <w:r>
              <w:t>2026-01-01</w:t>
            </w:r>
          </w:p>
        </w:tc>
      </w:tr>
      <w:tr>
        <w:tc>
          <w:tcPr>
            <w:tcW w:type="dxa" w:w="4320"/>
          </w:tcPr>
          <w:p>
            <w:r>
              <w:t>audience</w:t>
            </w:r>
          </w:p>
        </w:tc>
        <w:tc>
          <w:tcPr>
            <w:tcW w:type="dxa" w:w="4320"/>
          </w:tcPr>
          <w:p>
            <w:r>
              <w:t>pm</w:t>
            </w:r>
          </w:p>
        </w:tc>
      </w:tr>
      <w:tr>
        <w:tc>
          <w:tcPr>
            <w:tcW w:type="dxa" w:w="4320"/>
          </w:tcPr>
          <w:p>
            <w:r>
              <w:t>tags</w:t>
            </w:r>
          </w:p>
        </w:tc>
        <w:tc>
          <w:tcPr>
            <w:tcW w:type="dxa" w:w="4320"/>
          </w:tcPr>
          <w:p>
            <w:r>
              <w:t>[变更, 失控, 补救]</w:t>
            </w:r>
          </w:p>
        </w:tc>
      </w:tr>
      <w:tr>
        <w:tc>
          <w:tcPr>
            <w:tcW w:type="dxa" w:w="4320"/>
          </w:tcPr>
          <w:p>
            <w:r>
              <w:t>acl</w:t>
            </w:r>
          </w:p>
        </w:tc>
        <w:tc>
          <w:tcPr>
            <w:tcW w:type="dxa" w:w="4320"/>
          </w:tcPr>
          <w:p>
            <w:r>
              <w:t>public</w:t>
            </w:r>
          </w:p>
        </w:tc>
      </w:tr>
      <w:tr>
        <w:tc>
          <w:tcPr>
            <w:tcW w:type="dxa" w:w="4320"/>
          </w:tcPr>
          <w:p>
            <w:r>
              <w:t>related_docs</w:t>
            </w:r>
          </w:p>
        </w:tc>
        <w:tc>
          <w:tcPr>
            <w:tcW w:type="dxa" w:w="4320"/>
          </w:tcPr>
          <w:p>
            <w:r>
              <w:t>[项目变更管理办法, 项目变更申请流程, 项目变更常见问题]</w:t>
            </w:r>
          </w:p>
        </w:tc>
      </w:tr>
    </w:tbl>
    <w:p/>
    <w:p>
      <w:r>
        <w:t># 项目变更控制案例</w:t>
      </w:r>
    </w:p>
    <w:p>
      <w:pPr>
        <w:pStyle w:val="Heading2"/>
      </w:pPr>
      <w:r>
        <w:t>1. 案例背景</w:t>
      </w:r>
    </w:p>
    <w:p>
      <w:r>
        <w:t>某客户交付项目原计划周期 6 个月，预算 80 万元。项目立项时定义了 5 个里程碑，工作分解结构包含 32 个工作包。项目启动后第 3 个月，客户业务部门提出多项功能调整，期望"在不延期不增加成本的情况下"快速纳入。该项目的项目经理出于客户关系考虑，未走变更流程便接受了 3 项需求并安排团队开发，仅在内部周报中口头提及。</w:t>
      </w:r>
    </w:p>
    <w:p>
      <w:pPr>
        <w:pStyle w:val="Heading2"/>
      </w:pPr>
      <w:r>
        <w:t>2. 涉及问题</w:t>
      </w:r>
    </w:p>
    <w:p>
      <w:pPr>
        <w:pStyle w:val="ListBullet"/>
      </w:pPr>
      <w:r>
        <w:t>**未走变更流程**：3 项需求未填写《项目变更申请单》，未做影响评估，未取得审批。</w:t>
      </w:r>
    </w:p>
    <w:p>
      <w:pPr>
        <w:pStyle w:val="ListBullet"/>
      </w:pPr>
      <w:r>
        <w:t>**基线未更新**：工时管理系统中的进度计划、工作包预算、里程碑日期均未调整，团队按原计划继续填报工时。</w:t>
      </w:r>
    </w:p>
    <w:p>
      <w:pPr>
        <w:pStyle w:val="ListBullet"/>
      </w:pPr>
      <w:r>
        <w:t>**变更日志缺失**：项目变更日志中未登记任何条目，无法追溯。</w:t>
      </w:r>
    </w:p>
    <w:p>
      <w:pPr>
        <w:pStyle w:val="ListBullet"/>
      </w:pPr>
      <w:r>
        <w:t>**客户期望被强化**：客户在未签署确认书的情况下默认这 3 项需求"已包含"，并继续口头追加新需求。</w:t>
      </w:r>
    </w:p>
    <w:p>
      <w:pPr>
        <w:pStyle w:val="ListBullet"/>
      </w:pPr>
      <w:r>
        <w:t>**资源被挤占**：原计划工作包被压缩，第 4 个里程碑延期 12 个工作日，质量自检发现严重缺陷 5 个、一般缺陷 17 个。</w:t>
      </w:r>
    </w:p>
    <w:p>
      <w:pPr>
        <w:pStyle w:val="ListBullet"/>
      </w:pPr>
      <w:r>
        <w:t>**结算争议**：项目验收时客户认为该 3 项需求理应免费，团队成员则认为已超出合同范围，分管负责人介入协调时缺乏书面依据。</w:t>
      </w:r>
    </w:p>
    <w:p>
      <w:pPr>
        <w:pStyle w:val="Heading2"/>
      </w:pPr>
      <w:r>
        <w:t>3. 处理过程</w:t>
      </w:r>
    </w:p>
    <w:p>
      <w:r>
        <w:t>项目管理办公室在月度审计中发现该项目里程碑大幅偏差且变更日志为空，立刻启动专项核查。第 1 步，项目经理被要求 3 个工作日内补齐 3 项需求的变更申请单与影响评估报告，量化已发生的工期与人力消耗。第 2 步，变更控制委员会召开专题会议，对 3 项需求逐一回溯定级：1 项被认定为二级变更，2 项被认定为一级变更，因为合并后工期影响超过 15 个工作日。</w:t>
      </w:r>
    </w:p>
    <w:p>
      <w:r>
        <w:t>第 3 步，分管负责人组织与客户的正式商务协商，将 1 项一级变更纳入合同补充协议，约定追加费用 18 万元；另 1 项一级变更因客户业务调整不再需要，达成撤销共识，相关已完成工作以"研究探索成果"的形式归档。第 4 步，项目经理在工时管理系统中更新基线，将进度计划顺延 15 个工作日，里程碑重新排定，工作包预算调整。第 5 步，团队针对暴露出的 5 个严重缺陷进行专项修复，10 个工作日内修复完毕并通过复测。第 6 步，专项会议形成《变更控制整改报告》，纳入项目档案。</w:t>
      </w:r>
    </w:p>
    <w:p>
      <w:pPr>
        <w:pStyle w:val="Heading2"/>
      </w:pPr>
      <w:r>
        <w:t>4. 结论与启示</w:t>
      </w:r>
    </w:p>
    <w:p>
      <w:r>
        <w:t>该案例最大的教训是**"客户友好"不能替代流程纪律**。项目经理出于维护客户关系的善意，跳过变更流程，结果反而带来了更严重的后果：成本失控、工期延误、质量下降、商务争议。流程纪律不是阻碍效率的障碍，而是保护项目与人员的护栏。</w:t>
      </w:r>
    </w:p>
    <w:p>
      <w:r>
        <w:t>具体启示：第一，凡是客户提出的需求调整，无论大小都要立即填写变更申请单，3 个工作日内提交；第二，5 个维度的影响评估必须独立完成，不能为了"快速响应"而省略；第三，客户口头承诺不算确认，必须形成书面确认书或邮件回执；第四，工时管理系统中的基线必须与实际工作一致，否则团队成员的工时申报和考核都会失真；第五，变更日志须实时维护，超过 30 天未更新的应被视为流程异常。</w:t>
      </w:r>
    </w:p>
    <w:p>
      <w:r>
        <w:t>整改后该项目最终在追加预算与延期后通过验收，项目经理被记过 1 次并扣减奖金 30%，但通过补救保住了客户关系与公司声誉。该案例成为公司项目管理办公室后续培训的典型素材。</w:t>
      </w:r>
    </w:p>
    <w:p>
      <w:pPr>
        <w:pStyle w:val="Heading2"/>
      </w:pPr>
      <w:r>
        <w:t>5. 涉及制度</w:t>
      </w:r>
    </w:p>
    <w:p>
      <w:pPr>
        <w:pStyle w:val="ListBullet"/>
      </w:pPr>
      <w:r>
        <w:t>项目变更管理办法（核心依据，第 3.1 至 3.4 节）</w:t>
      </w:r>
    </w:p>
    <w:p>
      <w:pPr>
        <w:pStyle w:val="ListBullet"/>
      </w:pPr>
      <w:r>
        <w:t>项目变更申请流程（操作规范）</w:t>
      </w:r>
    </w:p>
    <w:p>
      <w:pPr>
        <w:pStyle w:val="ListBullet"/>
      </w:pPr>
      <w:r>
        <w:t>项目验收管理办法（结算阶段引用）</w:t>
      </w:r>
    </w:p>
    <w:p>
      <w:pPr>
        <w:pStyle w:val="ListBullet"/>
      </w:pPr>
      <w:r>
        <w:t>项目立项管理办法（基线定义来源）</w:t>
      </w:r>
    </w:p>
    <w:p>
      <w:pPr>
        <w:pStyle w:val="ListBullet"/>
      </w:pPr>
      <w:r>
        <w:t>公司诚信与责任追究相关制度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