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项目归档管理办法</w:t>
      </w:r>
    </w:p>
    <w:tbl>
      <w:tblPr>
        <w:tblStyle w:val="LightGrid-Accent1"/>
        <w:tblW w:type="auto" w:w="0"/>
        <w:tblLook w:firstColumn="1" w:firstRow="1" w:lastColumn="0" w:lastRow="0" w:noHBand="0" w:noVBand="1" w:val="04A0"/>
      </w:tblPr>
      <w:tblGrid>
        <w:gridCol w:w="4320"/>
        <w:gridCol w:w="4320"/>
      </w:tblGrid>
      <w:tr>
        <w:tc>
          <w:tcPr>
            <w:tcW w:type="dxa" w:w="4320"/>
          </w:tcPr>
          <w:p>
            <w:r>
              <w:t>属性</w:t>
            </w:r>
          </w:p>
        </w:tc>
        <w:tc>
          <w:tcPr>
            <w:tcW w:type="dxa" w:w="4320"/>
          </w:tcPr>
          <w:p>
            <w:r>
              <w:t>值</w:t>
            </w:r>
          </w:p>
        </w:tc>
      </w:tr>
      <w:tr>
        <w:tc>
          <w:tcPr>
            <w:tcW w:type="dxa" w:w="4320"/>
          </w:tcPr>
          <w:p>
            <w:r>
              <w:t>title</w:t>
            </w:r>
          </w:p>
        </w:tc>
        <w:tc>
          <w:tcPr>
            <w:tcW w:type="dxa" w:w="4320"/>
          </w:tcPr>
          <w:p>
            <w:r>
              <w:t>项目归档管理办法</w:t>
            </w:r>
          </w:p>
        </w:tc>
      </w:tr>
      <w:tr>
        <w:tc>
          <w:tcPr>
            <w:tcW w:type="dxa" w:w="4320"/>
          </w:tcPr>
          <w:p>
            <w:r>
              <w:t>category</w:t>
            </w:r>
          </w:p>
        </w:tc>
        <w:tc>
          <w:tcPr>
            <w:tcW w:type="dxa" w:w="4320"/>
          </w:tcPr>
          <w:p>
            <w:r>
              <w:t>项目管理流程</w:t>
            </w:r>
          </w:p>
        </w:tc>
      </w:tr>
      <w:tr>
        <w:tc>
          <w:tcPr>
            <w:tcW w:type="dxa" w:w="4320"/>
          </w:tcPr>
          <w:p>
            <w:r>
              <w:t>genre</w:t>
            </w:r>
          </w:p>
        </w:tc>
        <w:tc>
          <w:tcPr>
            <w:tcW w:type="dxa" w:w="4320"/>
          </w:tcPr>
          <w:p>
            <w:r>
              <w:t>policy</w:t>
            </w:r>
          </w:p>
        </w:tc>
      </w:tr>
      <w:tr>
        <w:tc>
          <w:tcPr>
            <w:tcW w:type="dxa" w:w="4320"/>
          </w:tcPr>
          <w:p>
            <w:r>
              <w:t>version</w:t>
            </w:r>
          </w:p>
        </w:tc>
        <w:tc>
          <w:tcPr>
            <w:tcW w:type="dxa" w:w="4320"/>
          </w:tcPr>
          <w:p>
            <w:r>
              <w:t>1.0</w:t>
            </w:r>
          </w:p>
        </w:tc>
      </w:tr>
      <w:tr>
        <w:tc>
          <w:tcPr>
            <w:tcW w:type="dxa" w:w="4320"/>
          </w:tcPr>
          <w:p>
            <w:r>
              <w:t>effective_date</w:t>
            </w:r>
          </w:p>
        </w:tc>
        <w:tc>
          <w:tcPr>
            <w:tcW w:type="dxa" w:w="4320"/>
          </w:tcPr>
          <w:p>
            <w:r>
              <w:t>2026-01-01</w:t>
            </w:r>
          </w:p>
        </w:tc>
      </w:tr>
      <w:tr>
        <w:tc>
          <w:tcPr>
            <w:tcW w:type="dxa" w:w="4320"/>
          </w:tcPr>
          <w:p>
            <w:r>
              <w:t>audience</w:t>
            </w:r>
          </w:p>
        </w:tc>
        <w:tc>
          <w:tcPr>
            <w:tcW w:type="dxa" w:w="4320"/>
          </w:tcPr>
          <w:p>
            <w:r>
              <w:t>pm</w:t>
            </w:r>
          </w:p>
        </w:tc>
      </w:tr>
      <w:tr>
        <w:tc>
          <w:tcPr>
            <w:tcW w:type="dxa" w:w="4320"/>
          </w:tcPr>
          <w:p>
            <w:r>
              <w:t>tags</w:t>
            </w:r>
          </w:p>
        </w:tc>
        <w:tc>
          <w:tcPr>
            <w:tcW w:type="dxa" w:w="4320"/>
          </w:tcPr>
          <w:p>
            <w:r>
              <w:t>[归档, 留存, 保密]</w:t>
            </w:r>
          </w:p>
        </w:tc>
      </w:tr>
      <w:tr>
        <w:tc>
          <w:tcPr>
            <w:tcW w:type="dxa" w:w="4320"/>
          </w:tcPr>
          <w:p>
            <w:r>
              <w:t>acl</w:t>
            </w:r>
          </w:p>
        </w:tc>
        <w:tc>
          <w:tcPr>
            <w:tcW w:type="dxa" w:w="4320"/>
          </w:tcPr>
          <w:p>
            <w:r>
              <w:t>public</w:t>
            </w:r>
          </w:p>
        </w:tc>
      </w:tr>
      <w:tr>
        <w:tc>
          <w:tcPr>
            <w:tcW w:type="dxa" w:w="4320"/>
          </w:tcPr>
          <w:p>
            <w:r>
              <w:t>related_docs</w:t>
            </w:r>
          </w:p>
        </w:tc>
        <w:tc>
          <w:tcPr>
            <w:tcW w:type="dxa" w:w="4320"/>
          </w:tcPr>
          <w:p>
            <w:r>
              <w:t>[项目归档流程, 项目验收管理办法, 保密协议管理办法]</w:t>
            </w:r>
          </w:p>
        </w:tc>
      </w:tr>
    </w:tbl>
    <w:p/>
    <w:p>
      <w:r>
        <w:t># 项目归档管理办法</w:t>
      </w:r>
    </w:p>
    <w:p>
      <w:pPr>
        <w:pStyle w:val="Heading2"/>
      </w:pPr>
      <w:r>
        <w:t>1. 适用范围</w:t>
      </w:r>
    </w:p>
    <w:p>
      <w:r>
        <w:t>本办法适用于公司所有项目在通过最终验收后或被批准终止后的资料归档行为。覆盖项目立项、计划、执行、监控、收尾全过程产生的电子文档、纸质材料、源代码、数据集、测试记录、合同文本、变更日志以及客户往来邮件。本办法不适用于个人临时笔记、未纳入项目基线的草稿。</w:t>
      </w:r>
    </w:p>
    <w:p>
      <w:pPr>
        <w:pStyle w:val="Heading2"/>
      </w:pPr>
      <w:r>
        <w:t>2. 定义与术语</w:t>
      </w:r>
    </w:p>
    <w:p>
      <w:pPr>
        <w:pStyle w:val="ListBullet"/>
      </w:pPr>
      <w:r>
        <w:t>**归档**：将项目过程中形成的有保存价值的资料，按规定格式整理后移交至公司档案库的活动。</w:t>
      </w:r>
    </w:p>
    <w:p>
      <w:pPr>
        <w:pStyle w:val="ListBullet"/>
      </w:pPr>
      <w:r>
        <w:t>**归档清单**：列明须归档资料类别、数量、责任人、保密级别的目录。</w:t>
      </w:r>
    </w:p>
    <w:p>
      <w:pPr>
        <w:pStyle w:val="ListBullet"/>
      </w:pPr>
      <w:r>
        <w:t>**保管期限**：分为永久、长期（不少于 10 年）、短期（不少于 3 年）3 档。</w:t>
      </w:r>
    </w:p>
    <w:p>
      <w:pPr>
        <w:pStyle w:val="ListBullet"/>
      </w:pPr>
      <w:r>
        <w:t>**归档检查表**：由档案管理员核对资料完整性、规范性的工作表。</w:t>
      </w:r>
    </w:p>
    <w:p>
      <w:pPr>
        <w:pStyle w:val="ListBullet"/>
      </w:pPr>
      <w:r>
        <w:t>**数字化归档**：将纸质材料扫描成 PDF 并校验后存入档案系统的过程。</w:t>
      </w:r>
    </w:p>
    <w:p>
      <w:pPr>
        <w:pStyle w:val="Heading2"/>
      </w:pPr>
      <w:r>
        <w:t>3. 核心规则</w:t>
      </w:r>
    </w:p>
    <w:p>
      <w:pPr>
        <w:pStyle w:val="Heading3"/>
      </w:pPr>
      <w:r>
        <w:t>3.1 归档时限</w:t>
      </w:r>
    </w:p>
    <w:p>
      <w:r>
        <w:t>项目通过验收或终止决议后 15 个工作日内，项目经理须完成归档前的整理工作，并向档案管理员提交《归档清单》。30 个工作日内必须完成全部归档动作，并在工时管理系统中将项目状态切换为"已归档"。逾期未归档的项目，系统自动锁定相关人员的项目奖金发放。</w:t>
      </w:r>
    </w:p>
    <w:p>
      <w:pPr>
        <w:pStyle w:val="Heading3"/>
      </w:pPr>
      <w:r>
        <w:t>3.2 归档范围</w:t>
      </w:r>
    </w:p>
    <w:p>
      <w:r>
        <w:t>须归档的资料至少包括立项材料、合同、需求规格说明书、设计文档、测试报告、验收报告、变更日志、会议纪要、源代码、关键往来邮件、培训材料以及结项总结。任何项目至少应有 10 类归档资料，缺一项须在归档清单中说明原因。</w:t>
      </w:r>
    </w:p>
    <w:p>
      <w:pPr>
        <w:pStyle w:val="Heading3"/>
      </w:pPr>
      <w:r>
        <w:t>3.3 保密与权限</w:t>
      </w:r>
    </w:p>
    <w:p>
      <w:r>
        <w:t>归档资料按公开、内部、机密、绝密 4 级管理，由项目经理与档案管理员共同确定。机密及以上级别资料须存放于专用档案柜或加密存储介质，访问须经分管负责人书面批准，单次访问期限不得超过 5 个工作日。</w:t>
      </w:r>
    </w:p>
    <w:p>
      <w:pPr>
        <w:pStyle w:val="Heading3"/>
      </w:pPr>
      <w:r>
        <w:t>3.4 保管期限</w:t>
      </w:r>
    </w:p>
    <w:p>
      <w:r>
        <w:t>合同、验收报告、客户签字记录保管期限为永久。立项材料、设计文档、源代码保管期限为长期（不少于 10 年）。会议纪要、测试用例、培训材料保管期限为短期（不少于 3 年）。到期资料的销毁须由档案管理员、项目经理与监督人员 3 人共同确认。</w:t>
      </w:r>
    </w:p>
    <w:p>
      <w:pPr>
        <w:pStyle w:val="Heading2"/>
      </w:pPr>
      <w:r>
        <w:t>4. 例外情况</w:t>
      </w:r>
    </w:p>
    <w:p>
      <w:r>
        <w:t>涉及法律诉讼的项目资料，无论原保管期限长短，须延长至诉讼终结后 5 年。客户合同中明确约定特殊保管要求的，按合同执行。研究探索类项目的中间产物，可由项目经理在归档清单中说明并申请简化归档。</w:t>
      </w:r>
    </w:p>
    <w:p>
      <w:pPr>
        <w:pStyle w:val="Heading2"/>
      </w:pPr>
      <w:r>
        <w:t>5. 处罚与追责</w:t>
      </w:r>
    </w:p>
    <w:p>
      <w:r>
        <w:t>故意销毁、隐匿、伪造归档资料的，按违纪处理，情节严重者解除劳动合同。归档资料外泄造成损失的，依法追究责任。未按时归档累计 2 次的项目经理，取消当年评优资格。</w:t>
      </w:r>
    </w:p>
    <w:p>
      <w:pPr>
        <w:pStyle w:val="Heading2"/>
      </w:pPr>
      <w:r>
        <w:t>6. 附则</w:t>
      </w:r>
    </w:p>
    <w:p>
      <w:r>
        <w:t>本办法由公司档案管理办公室解释，自 2026 年 1 月 1 日起施行。归档清单模板、检查表、数字化操作规范见工时管理系统的项目模板库与档案管理系统。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