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内部调岗流程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内部调岗流程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通用制度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[申请, 沟通, 交接]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[入职管理制度, 调岗常见问题]</w:t>
            </w:r>
          </w:p>
        </w:tc>
      </w:tr>
    </w:tbl>
    <w:p/>
    <w:p>
      <w:r>
        <w:t># 内部调岗流程</w:t>
      </w:r>
    </w:p>
    <w:p>
      <w:pPr>
        <w:pStyle w:val="Heading2"/>
      </w:pPr>
      <w:r>
        <w:t>1. 流程目的</w:t>
      </w:r>
    </w:p>
    <w:p>
      <w:r>
        <w:t>为公司员工的内部岗位调动提供标准化路径，平衡员工发展意愿与业务连续性，确保调岗过程透明、协商充分、交接规范，使工时管理系统、组织架构、权限分配同步更新。</w:t>
      </w:r>
    </w:p>
    <w:p>
      <w:pPr>
        <w:pStyle w:val="Heading2"/>
      </w:pPr>
      <w:r>
        <w:t>2. 适用场景</w:t>
      </w:r>
    </w:p>
    <w:p>
      <w:r>
        <w:t>适用于公司全职员工跨部门调岗、同部门跨岗位调动、晋升性质调岗 3 种情形。新员工试用期内不办理调岗，紧急业务支持类的临时借调按借调流程办理。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调岗员工 | 提出申请，准备材料 |</w:t>
      </w:r>
    </w:p>
    <w:p>
      <w:r>
        <w:t>| 现部门负责人 | 提供工作鉴定，组织交接 |</w:t>
      </w:r>
    </w:p>
    <w:p>
      <w:r>
        <w:t>| 拟入部门负责人 | 评估匹配性，决定是否接收 |</w:t>
      </w:r>
    </w:p>
    <w:p>
      <w:r>
        <w:t>| 人力资源业务伙伴 | 协调沟通，办理手续 |</w:t>
      </w:r>
    </w:p>
    <w:p>
      <w:r>
        <w:t>| 工时管理员 | 更新组织架构、项目归属 |</w:t>
      </w:r>
    </w:p>
    <w:p>
      <w:pPr>
        <w:pStyle w:val="Heading2"/>
      </w:pPr>
      <w:r>
        <w:t>4. 操作步骤</w:t>
      </w:r>
    </w:p>
    <w:p>
      <w:r>
        <w:t>**Step 1 — 调岗意向沟通**</w:t>
      </w:r>
    </w:p>
    <w:p>
      <w:pPr>
        <w:pStyle w:val="ListBullet"/>
      </w:pPr>
      <w:r>
        <w:t>操作人：调岗员工</w:t>
      </w:r>
    </w:p>
    <w:p>
      <w:pPr>
        <w:pStyle w:val="ListBullet"/>
      </w:pPr>
      <w:r>
        <w:t>输入：发展意愿或部门空缺信息</w:t>
      </w:r>
    </w:p>
    <w:p>
      <w:pPr>
        <w:pStyle w:val="ListBullet"/>
      </w:pPr>
      <w:r>
        <w:t>动作：与拟入部门负责人初步沟通，确认岗位与时间窗口</w:t>
      </w:r>
    </w:p>
    <w:p>
      <w:pPr>
        <w:pStyle w:val="ListBullet"/>
      </w:pPr>
      <w:r>
        <w:t>输出：意向沟通记录</w:t>
      </w:r>
    </w:p>
    <w:p>
      <w:pPr>
        <w:pStyle w:val="ListBullet"/>
      </w:pPr>
      <w:r>
        <w:t>时限：申请提交前完成</w:t>
      </w:r>
    </w:p>
    <w:p>
      <w:r>
        <w:t>**Step 2 — 提交调岗申请**</w:t>
      </w:r>
    </w:p>
    <w:p>
      <w:pPr>
        <w:pStyle w:val="ListBullet"/>
      </w:pPr>
      <w:r>
        <w:t>操作人：调岗员工</w:t>
      </w:r>
    </w:p>
    <w:p>
      <w:pPr>
        <w:pStyle w:val="ListBullet"/>
      </w:pPr>
      <w:r>
        <w:t>输入：意向沟通确认</w:t>
      </w:r>
    </w:p>
    <w:p>
      <w:pPr>
        <w:pStyle w:val="ListBullet"/>
      </w:pPr>
      <w:r>
        <w:t>动作：在人力资源系统填写《内部调岗申请表》，注明调岗原因、目标岗位</w:t>
      </w:r>
    </w:p>
    <w:p>
      <w:pPr>
        <w:pStyle w:val="ListBullet"/>
      </w:pPr>
      <w:r>
        <w:t>输出：调岗申请表</w:t>
      </w:r>
    </w:p>
    <w:p>
      <w:pPr>
        <w:pStyle w:val="ListBullet"/>
      </w:pPr>
      <w:r>
        <w:t>时限：拟定调岗日前 30 个工作日</w:t>
      </w:r>
    </w:p>
    <w:p>
      <w:r>
        <w:t>**Step 3 — 现部门评估**</w:t>
      </w:r>
    </w:p>
    <w:p>
      <w:pPr>
        <w:pStyle w:val="ListBullet"/>
      </w:pPr>
      <w:r>
        <w:t>操作人：现部门负责人</w:t>
      </w:r>
    </w:p>
    <w:p>
      <w:pPr>
        <w:pStyle w:val="ListBullet"/>
      </w:pPr>
      <w:r>
        <w:t>输入：调岗申请</w:t>
      </w:r>
    </w:p>
    <w:p>
      <w:pPr>
        <w:pStyle w:val="ListBullet"/>
      </w:pPr>
      <w:r>
        <w:t>动作：评估在管工作影响，给出工作鉴定意见</w:t>
      </w:r>
    </w:p>
    <w:p>
      <w:pPr>
        <w:pStyle w:val="ListBullet"/>
      </w:pPr>
      <w:r>
        <w:t>输出：工作鉴定与放行意见</w:t>
      </w:r>
    </w:p>
    <w:p>
      <w:pPr>
        <w:pStyle w:val="ListBullet"/>
      </w:pPr>
      <w:r>
        <w:t>时限：5 个工作日内</w:t>
      </w:r>
    </w:p>
    <w:p>
      <w:r>
        <w:t>**Step 4 — 拟入部门评估**</w:t>
      </w:r>
    </w:p>
    <w:p>
      <w:pPr>
        <w:pStyle w:val="ListBullet"/>
      </w:pPr>
      <w:r>
        <w:t>操作人：拟入部门负责人</w:t>
      </w:r>
    </w:p>
    <w:p>
      <w:pPr>
        <w:pStyle w:val="ListBullet"/>
      </w:pPr>
      <w:r>
        <w:t>输入：调岗申请 + 工作鉴定</w:t>
      </w:r>
    </w:p>
    <w:p>
      <w:pPr>
        <w:pStyle w:val="ListBullet"/>
      </w:pPr>
      <w:r>
        <w:t>动作：评估能力匹配，必要时安排面谈</w:t>
      </w:r>
    </w:p>
    <w:p>
      <w:pPr>
        <w:pStyle w:val="ListBullet"/>
      </w:pPr>
      <w:r>
        <w:t>输出：接收意见</w:t>
      </w:r>
    </w:p>
    <w:p>
      <w:pPr>
        <w:pStyle w:val="ListBullet"/>
      </w:pPr>
      <w:r>
        <w:t>时限：5 个工作日内</w:t>
      </w:r>
    </w:p>
    <w:p>
      <w:r>
        <w:t>**Step 5 — 人力资源审核**</w:t>
      </w:r>
    </w:p>
    <w:p>
      <w:pPr>
        <w:pStyle w:val="ListBullet"/>
      </w:pPr>
      <w:r>
        <w:t>操作人：人力资源业务伙伴</w:t>
      </w:r>
    </w:p>
    <w:p>
      <w:pPr>
        <w:pStyle w:val="ListBullet"/>
      </w:pPr>
      <w:r>
        <w:t>输入：双部门意见</w:t>
      </w:r>
    </w:p>
    <w:p>
      <w:pPr>
        <w:pStyle w:val="ListBullet"/>
      </w:pPr>
      <w:r>
        <w:t>动作：审核薪资、级别、合同条款的调整</w:t>
      </w:r>
    </w:p>
    <w:p>
      <w:pPr>
        <w:pStyle w:val="ListBullet"/>
      </w:pPr>
      <w:r>
        <w:t>输出：调岗审批单</w:t>
      </w:r>
    </w:p>
    <w:p>
      <w:pPr>
        <w:pStyle w:val="ListBullet"/>
      </w:pPr>
      <w:r>
        <w:t>时限：3 个工作日内</w:t>
      </w:r>
    </w:p>
    <w:p>
      <w:r>
        <w:t>**Step 6 — 工作交接**</w:t>
      </w:r>
    </w:p>
    <w:p>
      <w:pPr>
        <w:pStyle w:val="ListBullet"/>
      </w:pPr>
      <w:r>
        <w:t>操作人：调岗员工 + 现部门接收人</w:t>
      </w:r>
    </w:p>
    <w:p>
      <w:pPr>
        <w:pStyle w:val="ListBullet"/>
      </w:pPr>
      <w:r>
        <w:t>输入：调岗审批单</w:t>
      </w:r>
    </w:p>
    <w:p>
      <w:pPr>
        <w:pStyle w:val="ListBullet"/>
      </w:pPr>
      <w:r>
        <w:t>动作：列出 5 大类交接事项；交接清单签字</w:t>
      </w:r>
    </w:p>
    <w:p>
      <w:pPr>
        <w:pStyle w:val="ListBullet"/>
      </w:pPr>
      <w:r>
        <w:t>输出：交接记录</w:t>
      </w:r>
    </w:p>
    <w:p>
      <w:pPr>
        <w:pStyle w:val="ListBullet"/>
      </w:pPr>
      <w:r>
        <w:t>时限：调岗生效前 10 个工作日内完成</w:t>
      </w:r>
    </w:p>
    <w:p>
      <w:r>
        <w:t>**Step 7 — 系统切换与到岗**</w:t>
      </w:r>
    </w:p>
    <w:p>
      <w:pPr>
        <w:pStyle w:val="ListBullet"/>
      </w:pPr>
      <w:r>
        <w:t>操作人：工时管理员 + IT 部门 + 调岗员工</w:t>
      </w:r>
    </w:p>
    <w:p>
      <w:pPr>
        <w:pStyle w:val="ListBullet"/>
      </w:pPr>
      <w:r>
        <w:t>输入：交接完成确认</w:t>
      </w:r>
    </w:p>
    <w:p>
      <w:pPr>
        <w:pStyle w:val="ListBullet"/>
      </w:pPr>
      <w:r>
        <w:t>动作：更新组织架构、权限、项目归属；员工到拟入部门报到</w:t>
      </w:r>
    </w:p>
    <w:p>
      <w:pPr>
        <w:pStyle w:val="ListBullet"/>
      </w:pPr>
      <w:r>
        <w:t>输出：到岗确认</w:t>
      </w:r>
    </w:p>
    <w:p>
      <w:pPr>
        <w:pStyle w:val="ListBullet"/>
      </w:pPr>
      <w:r>
        <w:t>时限：调岗生效日完成</w:t>
      </w:r>
    </w:p>
    <w:p>
      <w:pPr>
        <w:pStyle w:val="Heading2"/>
      </w:pPr>
      <w:r>
        <w:t>5. 异常处理</w:t>
      </w:r>
    </w:p>
    <w:p>
      <w:r>
        <w:t>现部门以业务需要为由阻止调岗超过 30 个工作日的，由人力资源部协调，必要时升级至分管负责人裁决。能力不匹配但员工坚持调岗的，可通过试用调岗方式过渡，试用期 3 个月。调岗后 6 个月内业绩明显下降的，启动专项辅导或回岗机制。</w:t>
      </w:r>
    </w:p>
    <w:p>
      <w:pPr>
        <w:pStyle w:val="Heading2"/>
      </w:pPr>
      <w:r>
        <w:t>6. 时效要求</w:t>
      </w:r>
    </w:p>
    <w:p>
      <w:r>
        <w:t>调岗全流程从申请到到岗不超过 60 个工作日。两部门评估各不超过 5 个工作日。交接不超过 10 个工作日。试用调岗期不超过 3 个月。</w:t>
      </w:r>
    </w:p>
    <w:p>
      <w:pPr>
        <w:pStyle w:val="Heading2"/>
      </w:pPr>
      <w:r>
        <w:t>7. 相关表单与系统</w:t>
      </w:r>
    </w:p>
    <w:p>
      <w:r>
        <w:t>人力资源系统：调岗申请、审批、合同变更。模板库：内部调岗申请表、工作鉴定表、交接清单。工时管理系统：组织架构、项目归属、权限切换。IT 服务门户：账号权限调整。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