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SYNTHÈSE</w:t>
      </w:r>
    </w:p>
    <w:p>
      <w:r>
        <w:t># NOTE DE SYNTHÈSE</w:t>
      </w:r>
    </w:p>
    <w:p>
      <w:pPr>
        <w:pStyle w:val="Heading1"/>
      </w:pPr>
      <w:r>
        <w:t>Augmentation cognitive et capitalisation des connaissances en front office</w:t>
      </w:r>
    </w:p>
    <w:p>
      <w:r>
        <w:t>## Augmentation cognitive et capitalisation des connaissances en front office</w:t>
      </w:r>
    </w:p>
    <w:p>
      <w:r>
        <w:rPr>
          <w:i/>
        </w:rPr>
        <w:t>24/09/2026 — version approfondie : mécanique de capitalisation, ligne rouge de conformité, feuille de route d'adoption.</w:t>
      </w:r>
    </w:p>
    <w:p>
      <w:pPr>
        <w:pStyle w:val="Heading2"/>
      </w:pPr>
      <w:r>
        <w:t>1. Introduction : dépasser le modèle statique</w:t>
      </w:r>
    </w:p>
    <w:p>
      <w:r>
        <w:t>### 1. Introduction : dépasser le modèle statique</w:t>
      </w:r>
    </w:p>
    <w:p>
      <w:r>
        <w:rPr>
          <w:b/>
        </w:rPr>
        <w:t>Le constat d'obsolescence.</w:t>
      </w:r>
      <w:r>
        <w:t xml:space="preserve"> Les processus traditionnels de recrutement et de formation reposent encore sur des schémas linéaires hérités du passé : l'individu apprend en répétant les gestes manuels, le savoir reste dans les têtes, il se perd au départ de chaque senior, et le coût d'une erreur n'est connu que le jour où elle coûte. Sur des marchés où l'exécution se mesure en secondes, ce modèle linéaire est un goulot d'étranglement — et un risque.</w:t>
      </w:r>
    </w:p>
    <w:p>
      <w:r>
        <w:rPr>
          <w:b/>
        </w:rPr>
        <w:t>La vraie question.</w:t>
      </w:r>
      <w:r>
        <w:t xml:space="preserve"> Un professionnel — ou un stagiaire — doit-il « faire perdre » de l'argent à son institution pour apprendre ? Non : personne ne finance un apprentissage par la perte, et la grosse erreur ne forme pas — elle sort. La question correcte est : </w:t>
      </w:r>
      <w:r>
        <w:rPr>
          <w:b/>
        </w:rPr>
        <w:t>comment livrer immédiatement la qualité d'un profil confirmé, sans jamais exposer de donnée réelle au risque d'erreur d'apprentissage ?</w:t>
      </w:r>
    </w:p>
    <w:p>
      <w:r>
        <w:rPr>
          <w:b/>
        </w:rPr>
        <w:t>Le paradigme du second cerveau.</w:t>
      </w:r>
      <w:r>
        <w:t xml:space="preserve"> La valeur d'un collaborateur ne se mesure plus par sa capacité de mémorisation, mais par </w:t>
      </w:r>
      <w:r>
        <w:rPr>
          <w:b/>
        </w:rPr>
        <w:t>la structure, la propreté et la profondeur de son capital de connaissances connectées</w:t>
      </w:r>
      <w:r>
        <w:t xml:space="preserve"> à l'écosystème de l'entreprise — et par la rigueur de la frontière entre ce capital et les données. Définition opérationnelle : le second cerveau est un corpus versionné de </w:t>
      </w:r>
      <w:r>
        <w:rPr>
          <w:b/>
        </w:rPr>
        <w:t>méthodes, de pratiques, de stratégies et de corrections</w:t>
      </w:r>
      <w:r>
        <w:t xml:space="preserve">, enrichi en continu, sur lequel une IA travaille. Le second cerveau, ce n'est pas la donnée : </w:t>
      </w:r>
      <w:r>
        <w:rPr>
          <w:b/>
        </w:rPr>
        <w:t>c'est la méthode. La donnée, elle, ne reste que sur les systèmes de l'institution.</w:t>
      </w:r>
    </w:p>
    <w:p>
      <w:pPr>
        <w:pStyle w:val="Heading2"/>
      </w:pPr>
      <w:r>
        <w:t>2. Le rôle de l'IA : penser « avec » et non « à notre place »</w:t>
      </w:r>
    </w:p>
    <w:p>
      <w:r>
        <w:t>### 2. Le rôle de l'IA : penser « avec » et non « à notre place »</w:t>
      </w:r>
    </w:p>
    <w:p>
      <w:r>
        <w:rPr>
          <w:b/>
        </w:rPr>
        <w:t>Prothèse cognitive, pas délégation passive.</w:t>
      </w:r>
      <w:r>
        <w:t xml:space="preserve"> L'IA ne remplace pas l'humain : elle agit comme un amplificateur d'expertise qui shunte la courbe d'apprentissage purement linéaire. Le professionnel qui sait *ce qu'il demande*, *comment vérifier* et *où est la limite* obtient un gain de vitesse et de fiabilité ; celui qui délègue passivement obtient du bruit — et une fausse confiance, qui est pire que le bruit.</w:t>
      </w:r>
    </w:p>
    <w:p>
      <w:r>
        <w:rPr>
          <w:b/>
        </w:rPr>
        <w:t>La mécanique de la capitalisation</w:t>
      </w:r>
      <w:r>
        <w:t xml:space="preserve"> (ce qui distingue un second cerveau d'un simple dossier de notes) :</w:t>
      </w:r>
    </w:p>
    <w:p>
      <w:pPr>
        <w:pStyle w:val="ListBullet"/>
      </w:pPr>
      <w:r>
        <w:t xml:space="preserve">L'output d'une IA s'écrit : </w:t>
      </w:r>
      <w:r>
        <w:rPr>
          <w:b/>
        </w:rPr>
        <w:t>output = f(modèle, contexte)</w:t>
      </w:r>
      <w:r>
        <w:t xml:space="preserve">. Le modèle est une commodité — le même pour tout le monde, le même jour. </w:t>
      </w:r>
      <w:r>
        <w:rPr>
          <w:b/>
        </w:rPr>
        <w:t>Le corpus est la moat</w:t>
      </w:r>
      <w:r>
        <w:t xml:space="preserve"> : méthode + pratiques internes + stratégie + corrections. Deux profils, même modèle, même data de base : outputs différents, parce que les corpus sont différents.</w:t>
      </w:r>
    </w:p>
    <w:p>
      <w:pPr>
        <w:pStyle w:val="ListBullet"/>
      </w:pPr>
      <w:r>
        <w:rPr>
          <w:b/>
        </w:rPr>
        <w:t>Le log de corrections est l'actif compound.</w:t>
      </w:r>
      <w:r>
        <w:t xml:space="preserve"> Chaque hallucination ou erreur repérée est consignée en une ligne (date | erreur | correction | pourquoi). Le log est relu avant chaque session : l'erreur ne se répète plus, sans que le modèle soit modifié. Dans six mois, ce log vaut des centaines d'heures d'expertise de desk transférée.</w:t>
      </w:r>
    </w:p>
    <w:p>
      <w:pPr>
        <w:pStyle w:val="ListBullet"/>
      </w:pPr>
      <w:r>
        <w:rPr>
          <w:b/>
        </w:rPr>
        <w:t>La validation se fait en amont, sur du synthétique.</w:t>
      </w:r>
      <w:r>
        <w:t xml:space="preserve"> Dataset construit (mêmes structures que le réel), réponse « attendue » calculée indépendamment, exécution répétée, écarts consignés, itération jusqu'à zéro écart. Le risque d'apprentissage est ainsi déporté sur des données qui ne coûtent rien : c'est la réponse concrète à la question du « perdre pour apprendre ».</w:t>
      </w:r>
    </w:p>
    <w:p>
      <w:r>
        <w:rPr>
          <w:b/>
        </w:rPr>
        <w:t>Souveraineté et sécurité — l'architecture en deux cerveaux.</w:t>
      </w:r>
    </w:p>
    <w:p>
      <w:r>
        <w:t xml:space="preserve">L'objectif n'est en aucun cas d'exposer des données confidentielles ou des portefeuilles clients à l'extérieur. La règle qui tient en une phrase : </w:t>
      </w:r>
      <w:r>
        <w:rPr>
          <w:b/>
        </w:rPr>
        <w:t>le second cerveau = la méthode, pas les données.</w:t>
      </w:r>
    </w:p>
    <w:p>
      <w:pPr>
        <w:pStyle w:val="ListBullet"/>
      </w:pPr>
      <w:r>
        <w:rPr>
          <w:b/>
        </w:rPr>
        <w:t>Cerveau public</w:t>
      </w:r>
      <w:r>
        <w:t xml:space="preserve"> (versionné par le professionnel) : méthodes, formules, prompts testés, log de corrections, data synthétique ou publique.</w:t>
      </w:r>
    </w:p>
    <w:p>
      <w:pPr>
        <w:pStyle w:val="ListBullet"/>
      </w:pPr>
      <w:r>
        <w:rPr>
          <w:b/>
        </w:rPr>
        <w:t>Cerveau interne</w:t>
      </w:r>
      <w:r>
        <w:t xml:space="preserve"> (système de l'institution, seul autorisé à traiter la donnée réelle) : data des clients, positions, documents de stratégie, information price-sensitive.</w:t>
      </w:r>
    </w:p>
    <w:p>
      <w:pPr>
        <w:pStyle w:val="ListBullet"/>
      </w:pPr>
      <w:r>
        <w:rPr>
          <w:b/>
        </w:rPr>
        <w:t>Le flux entre les deux</w:t>
      </w:r>
      <w:r>
        <w:t xml:space="preserve"> n'est que de l'anonymisation et de la methodisation : ce qui sort du cerveau interne vers le cerveau public est une *méthode*, jamais une *donnée*.</w:t>
      </w:r>
    </w:p>
    <w:p>
      <w:pPr>
        <w:pStyle w:val="ListBullet"/>
      </w:pPr>
      <w:r>
        <w:t xml:space="preserve">La traversée de la ligne (data réelle sur un système personnel) n'est pas un incident de sécurité : c'est une </w:t>
      </w:r>
      <w:r>
        <w:rPr>
          <w:b/>
        </w:rPr>
        <w:t>data exfiltration</w:t>
      </w:r>
      <w:r>
        <w:t xml:space="preserve"> — rupture immédiate du lien de confiance, exposition au secret de fabrique, et au délit d'initié si l'information est price-sensitive.</w:t>
      </w:r>
    </w:p>
    <w:p>
      <w:pPr>
        <w:pStyle w:val="ListBullet"/>
      </w:pPr>
      <w:r>
        <w:rPr>
          <w:b/>
        </w:rPr>
        <w:t>Première question à poser en arrivant dans une banque : « Quel est l'outil IA autorisé, et quelle est la politique — ce qu'on y entre, ce qui en sort ? »</w:t>
      </w:r>
    </w:p>
    <w:p>
      <w:pPr>
        <w:pStyle w:val="Heading2"/>
      </w:pPr>
      <w:r>
        <w:t>3. Applications stratégiques en front office (CIB / marchés de capitaux)</w:t>
      </w:r>
    </w:p>
    <w:p>
      <w:r>
        <w:t>### 3. Applications stratégiques en front office (CIB / marchés de capitaux)</w:t>
      </w:r>
    </w:p>
    <w:p>
      <w:r>
        <w:rPr>
          <w:b/>
        </w:rPr>
        <w:t>A. Pour le Trading</w:t>
      </w:r>
    </w:p>
    <w:p>
      <w:pPr>
        <w:pStyle w:val="ListBullet"/>
      </w:pPr>
      <w:r>
        <w:rPr>
          <w:b/>
        </w:rPr>
        <w:t>Élimination des erreurs de base</w:t>
      </w:r>
      <w:r>
        <w:t xml:space="preserve"> : les formules quantitatives de référence étant posées, indexées et couvertes par un log de corrections, le desk ne reprend plus l'Excel de zéro — il démarre sur la stratégie, l'exécution et l'intuition de marché.</w:t>
      </w:r>
    </w:p>
    <w:p>
      <w:pPr>
        <w:pStyle w:val="ListBullet"/>
      </w:pPr>
      <w:r>
        <w:rPr>
          <w:b/>
        </w:rPr>
        <w:t>Agilité accrue</w:t>
      </w:r>
      <w:r>
        <w:t xml:space="preserve"> : la fusion des données historiques de volatilité et du corpus de retours d'expérience des seniors (chacun de leurs « ne fais jamais X » consigné) maximise la réactivité face aux ruptures de marché.</w:t>
      </w:r>
    </w:p>
    <w:p>
      <w:pPr>
        <w:pStyle w:val="ListBullet"/>
      </w:pPr>
      <w:r>
        <w:rPr>
          <w:b/>
        </w:rPr>
        <w:t>Positionnement</w:t>
      </w:r>
      <w:r>
        <w:t xml:space="preserve"> : le desk voit un Excel propre ; l'automate (formules générées, audit de références, détection de cassures) reste en amont. L'accélération est invisible du desk, mesurable dans la journée.</w:t>
      </w:r>
    </w:p>
    <w:p>
      <w:r>
        <w:rPr>
          <w:b/>
        </w:rPr>
        <w:t>B. Pour la Gestion des Risques (Risk Management)</w:t>
      </w:r>
    </w:p>
    <w:p>
      <w:pPr>
        <w:pStyle w:val="ListBullet"/>
      </w:pPr>
      <w:r>
        <w:rPr>
          <w:b/>
        </w:rPr>
        <w:t>Simulation et anticipation</w:t>
      </w:r>
      <w:r>
        <w:t xml:space="preserve"> : les crises passées et les anomalies comportementales, consignées dans le corpus, alimentent la génération de scénarios de stress sur portefeuille synthétique — la robustesse est testée avant d'être demandée.</w:t>
      </w:r>
    </w:p>
    <w:p>
      <w:pPr>
        <w:pStyle w:val="ListBullet"/>
      </w:pPr>
      <w:r>
        <w:rPr>
          <w:b/>
        </w:rPr>
        <w:t>Garde-fous dynamiques</w:t>
      </w:r>
      <w:r>
        <w:t xml:space="preserve"> : l'IA sert de filtre de validation des prises de position par rapport aux limites internes et au contexte macro — chaque validation est tracée, chaque écart est corrigé et consigné.</w:t>
      </w:r>
    </w:p>
    <w:p>
      <w:pPr>
        <w:pStyle w:val="ListBullet"/>
      </w:pPr>
      <w:r>
        <w:rPr>
          <w:b/>
        </w:rPr>
        <w:t>Différence de nature</w:t>
      </w:r>
      <w:r>
        <w:t xml:space="preserve"> : le risk ne délègue pas le jugement ; il obtient un deuxième regard systématique, reproductible et auditable — exactement ce que les comités de risque et les auditeurs attendent.</w:t>
      </w:r>
    </w:p>
    <w:p>
      <w:r>
        <w:rPr>
          <w:b/>
        </w:rPr>
        <w:t>C. Pour la Conformité (Compliance)</w:t>
      </w:r>
    </w:p>
    <w:p>
      <w:pPr>
        <w:pStyle w:val="ListBullet"/>
      </w:pPr>
      <w:r>
        <w:rPr>
          <w:b/>
        </w:rPr>
        <w:t>Le système est lui-même un artefact de conformité</w:t>
      </w:r>
      <w:r>
        <w:t xml:space="preserve"> : chaque génération d'IA est traçable (qu'elle a dit, ce qui a été corrigé, selon quelle règle). La conformité n'est plus seulement un contrôle a posteriori : c'est une propriété du process.</w:t>
      </w:r>
    </w:p>
    <w:p>
      <w:pPr>
        <w:pStyle w:val="ListBullet"/>
      </w:pPr>
      <w:r>
        <w:rPr>
          <w:b/>
        </w:rPr>
        <w:t>Veille proactive</w:t>
      </w:r>
      <w:r>
        <w:t xml:space="preserve"> : transformation d'un centre de coût bureaucratique en pôle de veille intelligente — croisement des réglementations complexes et changeantes (marchés émergents, finance islamique, la régulation de l'IA elle-même) via une bibliothèque de prompts testés et datés.</w:t>
      </w:r>
    </w:p>
    <w:p>
      <w:pPr>
        <w:pStyle w:val="ListBullet"/>
      </w:pPr>
      <w:r>
        <w:rPr>
          <w:b/>
        </w:rPr>
        <w:t>Le profil conforme, c'est celui qui sait où est sa ligne</w:t>
      </w:r>
      <w:r>
        <w:t xml:space="preserve"> : la séparation méthode/données n'est pas une contrainte technique, c'est la compétence qui distingue, en 2026, un professionnel qui utilise l'IA d'un problème de conformité.</w:t>
      </w:r>
    </w:p>
    <w:p>
      <w:pPr>
        <w:pStyle w:val="Heading2"/>
      </w:pPr>
      <w:r>
        <w:t>4. Conclusion &amp; perspectives — l'avantage compétitif de 2026</w:t>
      </w:r>
    </w:p>
    <w:p>
      <w:r>
        <w:t>### 4. Conclusion &amp; perspectives — l'avantage compétitif de 2026</w:t>
      </w:r>
    </w:p>
    <w:p>
      <w:r>
        <w:rPr>
          <w:b/>
        </w:rPr>
        <w:t>La course n'est pas à l'adoption de l'IA — tout le monde l'aura. La course est au corpus.</w:t>
      </w:r>
      <w:r>
        <w:t xml:space="preserve"> Les institutions, et les individus, qui intègrent cette culture de l'augmentation cognitive — avec sa mécanique (log de corrections, validation sur synthétique, frontière méthode/données) — s'imposeront face aux structures frileuses figées dans des méthodes obsolètes, et face aux utilisateurs superficiels de l'IA qui n'ont ni corpus ni ligne.</w:t>
      </w:r>
    </w:p>
    <w:p>
      <w:r>
        <w:rPr>
          <w:b/>
        </w:rPr>
        <w:t>Les trois règles, sur une carte :</w:t>
      </w:r>
    </w:p>
    <w:p>
      <w:pPr>
        <w:pStyle w:val="ListNumber"/>
      </w:pPr>
      <w:r>
        <w:t>Méthode sur le second cerveau. Données réelles uniquement sur les systèmes de l'institution autorisés.</w:t>
      </w:r>
    </w:p>
    <w:p>
      <w:pPr>
        <w:pStyle w:val="ListNumber"/>
      </w:pPr>
      <w:r>
        <w:t>Une ligne par correction, log relu avant chaque session.</w:t>
      </w:r>
    </w:p>
    <w:p>
      <w:pPr>
        <w:pStyle w:val="ListNumber"/>
      </w:pPr>
      <w:r>
        <w:t>Zéro écart sur du synthétique avant de toucher du réel.</w:t>
      </w:r>
    </w:p>
    <w:p>
      <w:r>
        <w:rPr>
          <w:b/>
        </w:rPr>
        <w:t>Feuille de route d'adoption (4 étapes) :</w:t>
      </w:r>
    </w:p>
    <w:p>
      <w:pPr>
        <w:pStyle w:val="ListBullet"/>
      </w:pPr>
      <w:r>
        <w:rPr>
          <w:b/>
        </w:rPr>
        <w:t>Semaine 1</w:t>
      </w:r>
      <w:r>
        <w:t xml:space="preserve"> — identifier l'outil IA autorisé et la politique (entrée/sortie) ; cartographier ce qui est donnée, ce qui est méthode.</w:t>
      </w:r>
    </w:p>
    <w:p>
      <w:pPr>
        <w:pStyle w:val="ListBullet"/>
      </w:pPr>
      <w:r>
        <w:rPr>
          <w:b/>
        </w:rPr>
        <w:t>Mois 1</w:t>
      </w:r>
      <w:r>
        <w:t xml:space="preserve"> — mettre en place le log de corrections et la première bibliothèque de prompts ; constituer le premier dataset de validation.</w:t>
      </w:r>
    </w:p>
    <w:p>
      <w:pPr>
        <w:pStyle w:val="ListBullet"/>
      </w:pPr>
      <w:r>
        <w:rPr>
          <w:b/>
        </w:rPr>
        <w:t>Semestre</w:t>
      </w:r>
      <w:r>
        <w:t xml:space="preserve"> — automatiser la boucle (générer → valider → corriger → consigner) sur les process récurrents du desk ; le corpus devient l'actif le plus précieux du poste.</w:t>
      </w:r>
    </w:p>
    <w:p>
      <w:pPr>
        <w:pStyle w:val="ListBullet"/>
      </w:pPr>
      <w:r>
        <w:rPr>
          <w:b/>
        </w:rPr>
        <w:t>En continu</w:t>
      </w:r>
      <w:r>
        <w:t xml:space="preserve"> — test de régression : reposer les questions corrigées, vérifier que les corrections tiennent ; transférer le corpus à la génération suivante.</w:t>
      </w:r>
    </w:p>
    <w:p>
      <w:r>
        <w:rPr>
          <w:i/>
        </w:rPr>
        <w:t>Le paradoxe du modèle ancien : le turnover détruisait le savoir. Dans le modèle augmenté, le turnover le transmet — à condition que le savoir ait été consigné, corrigé et séparé de la donnée.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