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</w:pPr>
      <w:r>
        <w:rPr>
          <w:rFonts w:ascii="Arial" w:hAnsi="Arial"/>
          <w:b/>
          <w:i w:val="0"/>
          <w:color w:val="08A5A5"/>
          <w:sz w:val="16"/>
        </w:rPr>
        <w:t>CHAPTER 10  ·  THE BANKING BUSINESS</w:t>
      </w:r>
      <w:r>
        <w:rPr>
          <w:rFonts w:ascii="Arial" w:hAnsi="Arial"/>
          <w:b/>
          <w:i w:val="0"/>
          <w:color w:val="667085"/>
          <w:sz w:val="16"/>
        </w:rPr>
        <w:t xml:space="preserve">     |     SLIDE 9</w:t>
      </w:r>
    </w:p>
    <w:p>
      <w:pPr>
        <w:spacing w:before="0" w:after="20" w:line="228" w:lineRule="auto"/>
      </w:pPr>
      <w:r>
        <w:rPr>
          <w:rFonts w:ascii="Arial" w:hAnsi="Arial"/>
          <w:b/>
          <w:i w:val="0"/>
          <w:color w:val="172B4D"/>
          <w:sz w:val="40"/>
        </w:rPr>
        <w:t>Securitization fuels the growth of subprime lending</w:t>
      </w:r>
    </w:p>
    <w:p>
      <w:pPr>
        <w:spacing w:before="0" w:after="60" w:line="240" w:lineRule="auto"/>
      </w:pPr>
      <w:r>
        <w:rPr>
          <w:rFonts w:ascii="Arial" w:hAnsi="Arial"/>
          <w:b w:val="0"/>
          <w:i w:val="0"/>
          <w:color w:val="667085"/>
          <w:sz w:val="19"/>
        </w:rPr>
        <w:t>As credit becomes scalable and distributable, subprime originations expand in volume and share.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738360" cy="4420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9_chart_body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738360" cy="44204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09"/>
        <w:gridCol w:w="7909"/>
      </w:tblGrid>
      <w:tr>
        <w:tc>
          <w:tcPr>
            <w:tcW w:type="dxa" w:w="7516"/>
            <w:shd w:fill="FBF4DD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/>
                <w:b/>
                <w:i w:val="0"/>
                <w:color w:val="08A5A5"/>
                <w:sz w:val="16"/>
              </w:rPr>
              <w:t>KEY TAKEAWAY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i w:val="0"/>
                <w:color w:val="243447"/>
                <w:sz w:val="17"/>
              </w:rPr>
              <w:t>Securitization made it possible to originate, pool and distribute a much larger volume of subprime mortgages.</w:t>
            </w:r>
          </w:p>
        </w:tc>
        <w:tc>
          <w:tcPr>
            <w:tcW w:type="dxa" w:w="7516"/>
            <w:shd w:fill="E8F5F3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/>
                <w:b/>
                <w:i w:val="0"/>
                <w:color w:val="08A5A5"/>
                <w:sz w:val="16"/>
              </w:rPr>
              <w:t>SPEAKER NOTE — OUTSIDE THE SLIDE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i w:val="0"/>
                <w:color w:val="243447"/>
                <w:sz w:val="17"/>
              </w:rPr>
              <w:t>The chart shows scale, not a causal proof. Originations rise from $190bn in 2001 to $625bn in 2005, while the subprime share rises from about 9% to 23.8% in the table’s definition.</w:t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Arial" w:hAnsi="Arial"/>
          <w:b/>
          <w:i w:val="0"/>
          <w:color w:val="667085"/>
          <w:sz w:val="14"/>
        </w:rPr>
        <w:t xml:space="preserve">Sources: </w:t>
      </w:r>
      <w:r>
        <w:rPr>
          <w:rFonts w:ascii="Arial" w:hAnsi="Arial"/>
          <w:b w:val="0"/>
          <w:i w:val="0"/>
          <w:color w:val="667085"/>
          <w:sz w:val="14"/>
        </w:rPr>
        <w:t>Ashcraft &amp; Schuermann, Federal Reserve Bank of New York Staff Report 318 (2008), Table 1; Inside Mortgage Finance. Share calculated from the same table.</w:t>
      </w:r>
    </w:p>
    <w:p>
      <w:pPr>
        <w:spacing w:before="20" w:after="0" w:line="240" w:lineRule="auto"/>
      </w:pPr>
      <w:r>
        <w:rPr>
          <w:rFonts w:ascii="Arial" w:hAnsi="Arial"/>
          <w:b w:val="0"/>
          <w:i/>
          <w:color w:val="667085"/>
          <w:sz w:val="13"/>
        </w:rPr>
        <w:t>Editable in Word: headings, takeaways, notes and sources can be rewritten; the chart body is an inserted image that can be replaced.</w:t>
      </w:r>
    </w:p>
    <w:p>
      <w:r>
        <w:br w:type="page"/>
      </w:r>
    </w:p>
    <w:p>
      <w:pPr>
        <w:spacing w:before="0" w:after="20" w:line="240" w:lineRule="auto"/>
      </w:pPr>
      <w:r>
        <w:rPr>
          <w:rFonts w:ascii="Arial" w:hAnsi="Arial"/>
          <w:b/>
          <w:i w:val="0"/>
          <w:color w:val="08A5A5"/>
          <w:sz w:val="16"/>
        </w:rPr>
        <w:t>CHAPTER 10  ·  THE BANKING BUSINESS</w:t>
      </w:r>
      <w:r>
        <w:rPr>
          <w:rFonts w:ascii="Arial" w:hAnsi="Arial"/>
          <w:b/>
          <w:i w:val="0"/>
          <w:color w:val="667085"/>
          <w:sz w:val="16"/>
        </w:rPr>
        <w:t xml:space="preserve">     |     SLIDE 10</w:t>
      </w:r>
    </w:p>
    <w:p>
      <w:pPr>
        <w:spacing w:before="0" w:after="20" w:line="228" w:lineRule="auto"/>
      </w:pPr>
      <w:r>
        <w:rPr>
          <w:rFonts w:ascii="Arial" w:hAnsi="Arial"/>
          <w:b/>
          <w:i w:val="0"/>
          <w:color w:val="172B4D"/>
          <w:sz w:val="40"/>
        </w:rPr>
        <w:t>Housing prices fall, mortgage losses rise</w:t>
      </w:r>
    </w:p>
    <w:p>
      <w:pPr>
        <w:spacing w:before="0" w:after="60" w:line="240" w:lineRule="auto"/>
      </w:pPr>
      <w:r>
        <w:rPr>
          <w:rFonts w:ascii="Arial" w:hAnsi="Arial"/>
          <w:b w:val="0"/>
          <w:i w:val="0"/>
          <w:color w:val="667085"/>
          <w:sz w:val="19"/>
        </w:rPr>
        <w:t>The housing downturn weakens borrower equity and refinancing capacity before mortgage losses spread through the system.</w:t>
      </w:r>
    </w:p>
    <w:p>
      <w:pPr>
        <w:spacing w:before="0" w:after="4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738360" cy="4420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lide10_chart_body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38360" cy="44204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09"/>
        <w:gridCol w:w="7909"/>
      </w:tblGrid>
      <w:tr>
        <w:tc>
          <w:tcPr>
            <w:tcW w:type="dxa" w:w="7516"/>
            <w:shd w:fill="FBF4DD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/>
                <w:b/>
                <w:i w:val="0"/>
                <w:color w:val="08A5A5"/>
                <w:sz w:val="16"/>
              </w:rPr>
              <w:t>KEY TAKEAWAY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i w:val="0"/>
                <w:color w:val="243447"/>
                <w:sz w:val="17"/>
              </w:rPr>
              <w:t>Falling house prices increased mortgage defaults, leading to losses on mortgage-backed securities (MBS) held throughout the financial system.</w:t>
            </w:r>
          </w:p>
        </w:tc>
        <w:tc>
          <w:tcPr>
            <w:tcW w:type="dxa" w:w="7516"/>
            <w:shd w:fill="E8F5F3"/>
            <w:tcBorders>
              <w:top w:val="single" w:sz="6" w:color="D8DEE8"/>
              <w:left w:val="single" w:sz="6" w:color="D8DEE8"/>
              <w:bottom w:val="single" w:sz="6" w:color="D8DEE8"/>
              <w:right w:val="single" w:sz="6" w:color="D8DEE8"/>
            </w:tcBorders>
            <w:tcMar>
              <w:top w:w="90" w:type="dxa"/>
              <w:start w:w="130" w:type="dxa"/>
              <w:bottom w:w="90" w:type="dxa"/>
              <w:end w:w="130" w:type="dxa"/>
            </w:tcMar>
            <w:vAlign w:val="center"/>
          </w:tcPr>
          <w:p>
            <w:pPr>
              <w:spacing w:before="0" w:after="40" w:line="240" w:lineRule="auto"/>
            </w:pPr>
            <w:r>
              <w:rPr>
                <w:rFonts w:ascii="Arial" w:hAnsi="Arial"/>
                <w:b/>
                <w:i w:val="0"/>
                <w:color w:val="08A5A5"/>
                <w:sz w:val="16"/>
              </w:rPr>
              <w:t>SPEAKER NOTE — OUTSIDE THE SLIDE</w:t>
            </w:r>
          </w:p>
          <w:p>
            <w:pPr>
              <w:spacing w:before="0" w:after="0" w:line="252" w:lineRule="auto"/>
            </w:pPr>
            <w:r>
              <w:rPr>
                <w:rFonts w:ascii="Arial" w:hAnsi="Arial"/>
                <w:b w:val="0"/>
                <w:i w:val="0"/>
                <w:color w:val="243447"/>
                <w:sz w:val="17"/>
              </w:rPr>
              <w:t>Serious delinquency means 90+ days past due or in foreclosure. This is an economic mechanism, not a single-cause proof: rate resets, underwriting, leverage, income shocks and liquidity also matter.</w:t>
            </w:r>
          </w:p>
        </w:tc>
      </w:tr>
    </w:tbl>
    <w:p>
      <w:pPr>
        <w:spacing w:before="40" w:after="0" w:line="240" w:lineRule="auto"/>
        <w:jc w:val="left"/>
      </w:pPr>
      <w:r>
        <w:rPr>
          <w:rFonts w:ascii="Arial" w:hAnsi="Arial"/>
          <w:b/>
          <w:i w:val="0"/>
          <w:color w:val="667085"/>
          <w:sz w:val="14"/>
        </w:rPr>
        <w:t xml:space="preserve">Sources: </w:t>
      </w:r>
      <w:r>
        <w:rPr>
          <w:rFonts w:ascii="Arial" w:hAnsi="Arial"/>
          <w:b w:val="0"/>
          <w:i w:val="0"/>
          <w:color w:val="667085"/>
          <w:sz w:val="14"/>
        </w:rPr>
        <w:t>S&amp;P/Case-Shiller U.S. National HPI, FRED series CSUSHPINSA; Federal Reserve FEDS 2008-59, FEDS 2008-63 and May 2007 speech; First American LoanPerformance.</w:t>
      </w:r>
    </w:p>
    <w:p>
      <w:pPr>
        <w:spacing w:before="20" w:after="0" w:line="240" w:lineRule="auto"/>
      </w:pPr>
      <w:r>
        <w:rPr>
          <w:rFonts w:ascii="Arial" w:hAnsi="Arial"/>
          <w:b w:val="0"/>
          <w:i/>
          <w:color w:val="667085"/>
          <w:sz w:val="13"/>
        </w:rPr>
        <w:t>Editable in Word: headings, takeaways, notes and sources can be rewritten; the chart body is an inserted image that can be replaced.</w:t>
      </w:r>
    </w:p>
    <w:sectPr w:rsidR="00FC693F" w:rsidRPr="0006063C" w:rsidSect="00034616">
      <w:pgSz w:w="16838" w:h="11906" w:orient="landscape"/>
      <w:pgMar w:top="454" w:right="510" w:bottom="454" w:left="51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color w:val="24344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 — Slides 9–10 — Editable Word insert</dc:title>
  <dc:subject>Subprime lending, securitization and mortgage losses</dc:subject>
  <dc:creator>SKEMA Money &amp; Banking group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