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Arial" w:hAnsi="Arial"/>
        </w:rPr>
        <w:t xml:space="preserve">CALVIN MINANG</w:t>
      </w:r>
    </w:p>
    <w:p>
      <w:pPr>
        <w:pStyle w:val="Subtitle"/>
      </w:pPr>
      <w:r>
        <w:rPr>
          <w:rFonts w:ascii="Arial" w:hAnsi="Arial"/>
        </w:rPr>
        <w:t xml:space="preserve">GLOBAL MARKETS SALES | FX, RATES &amp; EQUITIES</w:t>
      </w:r>
    </w:p>
    <w:p>
      <w:pPr/>
      <w:r>
        <w:rPr>
          <w:rFonts w:ascii="Arial" w:hAnsi="Arial"/>
        </w:rPr>
        <w:t xml:space="preserve">+33 7 52 97 58 09  |  Paris, France  |  LinkedIn: linkedin.com/in/calvin-minang  |  GitHub: github.com/Calvin29990</w:t>
      </w:r>
    </w:p>
    <w:p>
      <w:pPr>
        <w:pStyle w:val="Heading1"/>
      </w:pPr>
      <w:r>
        <w:rPr>
          <w:rFonts w:ascii="Arial" w:hAnsi="Arial"/>
        </w:rPr>
        <w:t xml:space="preserve">SUMMARY</w:t>
      </w:r>
    </w:p>
    <w:p>
      <w:pPr/>
      <w:r>
        <w:rPr>
          <w:rFonts w:ascii="Arial" w:hAnsi="Arial"/>
        </w:rPr>
        <w:t xml:space="preserve">SKEMA MSc candidate combining multi-asset reporting experience at BPCE with sales and recruitment outreach at FinStart. Brings market monitoring, reporting automation and hands-on options and cross-asset analytics projects. Targeting Global Markets Sales roles across FX, Rates and Equity Derivatives.</w:t>
      </w:r>
    </w:p>
    <w:p>
      <w:pPr>
        <w:pStyle w:val="Heading1"/>
      </w:pPr>
      <w:r>
        <w:rPr>
          <w:rFonts w:ascii="Arial" w:hAnsi="Arial"/>
        </w:rPr>
        <w:t xml:space="preserve">PROFESSIONAL EXPERIENCE</w:t>
      </w:r>
    </w:p>
    <w:p>
      <w:pPr>
        <w:pStyle w:val="Heading2"/>
      </w:pPr>
      <w:r>
        <w:rPr>
          <w:rFonts w:ascii="Arial" w:hAnsi="Arial"/>
        </w:rPr>
        <w:t xml:space="preserve">BPCE Assurances | Multi-Asset Reporting Analyst Intern | Paris | Jan–May 2024</w:t>
      </w:r>
    </w:p>
    <w:p>
      <w:pPr/>
      <w:r>
        <w:rPr>
          <w:rFonts w:ascii="Arial" w:hAnsi="Arial"/>
        </w:rPr>
        <w:t xml:space="preserve">- Produced multi-asset reporting for investment committees, covering major FX pairs, equity indices, rates and credit spreads.</w:t>
      </w:r>
    </w:p>
    <w:p>
      <w:pPr/>
      <w:r>
        <w:rPr>
          <w:rFonts w:ascii="Arial" w:hAnsi="Arial"/>
        </w:rPr>
        <w:t xml:space="preserve">- Built and used Bloomberg BQL dashboards for daily monitoring and alerts; automated recurring reporting with Excel, XLOOKUP and VBA.</w:t>
      </w:r>
    </w:p>
    <w:p>
      <w:pPr>
        <w:pStyle w:val="Heading2"/>
      </w:pPr>
      <w:r>
        <w:rPr>
          <w:rFonts w:ascii="Arial" w:hAnsi="Arial"/>
        </w:rPr>
        <w:t xml:space="preserve">FinStart | Sales &amp; Recruitment Analyst Intern | Paris | Jun–Aug 2023</w:t>
      </w:r>
    </w:p>
    <w:p>
      <w:pPr/>
      <w:r>
        <w:rPr>
          <w:rFonts w:ascii="Arial" w:hAnsi="Arial"/>
        </w:rPr>
        <w:t xml:space="preserve">- Conducted market and recruitment research; sourced finance candidates and maintained candidate and client databases.</w:t>
      </w:r>
    </w:p>
    <w:p>
      <w:pPr/>
      <w:r>
        <w:rPr>
          <w:rFonts w:ascii="Arial" w:hAnsi="Arial"/>
        </w:rPr>
        <w:t xml:space="preserve">- Ran targeted, high-volume email outreach and supported candidate sourcing and recruitment workflows.</w:t>
      </w:r>
    </w:p>
    <w:p>
      <w:pPr>
        <w:pStyle w:val="Heading1"/>
      </w:pPr>
      <w:r>
        <w:rPr>
          <w:rFonts w:ascii="Arial" w:hAnsi="Arial"/>
        </w:rPr>
        <w:t xml:space="preserve">LEADERSHIP &amp; WRITING</w:t>
      </w:r>
    </w:p>
    <w:p>
      <w:pPr>
        <w:pStyle w:val="Heading2"/>
      </w:pPr>
      <w:r>
        <w:rPr>
          <w:rFonts w:ascii="Arial" w:hAnsi="Arial"/>
        </w:rPr>
        <w:t xml:space="preserve">SKEMA Job Service Paris | HR &amp; Corporate Partnerships (student association)</w:t>
      </w:r>
    </w:p>
    <w:p>
      <w:pPr/>
      <w:r>
        <w:rPr>
          <w:rFonts w:ascii="Arial" w:hAnsi="Arial"/>
        </w:rPr>
        <w:t xml:space="preserve">- Conducted interviews; contributed to events and corporate prospecting; supported activity reporting and continuity of operations.</w:t>
      </w:r>
    </w:p>
    <w:p>
      <w:pPr>
        <w:pStyle w:val="Heading2"/>
      </w:pPr>
      <w:r>
        <w:rPr>
          <w:rFonts w:ascii="Arial" w:hAnsi="Arial"/>
        </w:rPr>
        <w:t xml:space="preserve">Major Prépa | Independent contributing writer (self-employed; approximately one year)</w:t>
      </w:r>
    </w:p>
    <w:p>
      <w:pPr/>
      <w:r>
        <w:rPr>
          <w:rFonts w:ascii="Arial" w:hAnsi="Arial"/>
        </w:rPr>
        <w:t xml:space="preserve">- Developed finance and economics writing, research, synthesis and accessible explanation for a specialist student publication.</w:t>
      </w:r>
    </w:p>
    <w:p>
      <w:pPr>
        <w:pStyle w:val="Heading1"/>
      </w:pPr>
      <w:r>
        <w:rPr>
          <w:rFonts w:ascii="Arial" w:hAnsi="Arial"/>
        </w:rPr>
        <w:t xml:space="preserve">EDUCATION</w:t>
      </w:r>
    </w:p>
    <w:p>
      <w:pPr>
        <w:pStyle w:val="Heading2"/>
      </w:pPr>
      <w:r>
        <w:rPr>
          <w:rFonts w:ascii="Arial" w:hAnsi="Arial"/>
        </w:rPr>
        <w:t xml:space="preserve">SKEMA Business School | Grande École Programme + MSc Corporate Financial Management | 2022–2026</w:t>
      </w:r>
    </w:p>
    <w:p>
      <w:pPr/>
      <w:r>
        <w:rPr>
          <w:rFonts w:ascii="Arial" w:hAnsi="Arial"/>
        </w:rPr>
        <w:t xml:space="preserve">Selected coursework: Market Risk (VaR); Equity Derivatives (Black–Scholes, options and Greeks).</w:t>
      </w:r>
    </w:p>
    <w:p>
      <w:pPr>
        <w:pStyle w:val="Heading2"/>
      </w:pPr>
      <w:r>
        <w:rPr>
          <w:rFonts w:ascii="Arial" w:hAnsi="Arial"/>
        </w:rPr>
        <w:t xml:space="preserve">IÉPESUP, Paris | ECE Preparatory Programme, intensive mathematics and economics | 2021–2022</w:t>
      </w:r>
    </w:p>
    <w:p>
      <w:pPr>
        <w:pStyle w:val="Heading2"/>
      </w:pPr>
      <w:r>
        <w:rPr>
          <w:rFonts w:ascii="Arial" w:hAnsi="Arial"/>
        </w:rPr>
        <w:t xml:space="preserve">French Baccalauréat | Scientific track, advanced mathematics | 2021</w:t>
      </w:r>
    </w:p>
    <w:p>
      <w:pPr>
        <w:pStyle w:val="Heading1"/>
      </w:pPr>
      <w:r>
        <w:rPr>
          <w:rFonts w:ascii="Arial" w:hAnsi="Arial"/>
        </w:rPr>
        <w:t xml:space="preserve">SELECTED PROJECTS</w:t>
      </w:r>
    </w:p>
    <w:p>
      <w:pPr>
        <w:pStyle w:val="Heading2"/>
      </w:pPr>
      <w:r>
        <w:rPr>
          <w:rFonts w:ascii="Arial" w:hAnsi="Arial"/>
        </w:rPr>
        <w:t xml:space="preserve">CalvinX | Cross-Asset Market Dashboard (JavaScript)</w:t>
      </w:r>
    </w:p>
    <w:p>
      <w:pPr/>
      <w:r>
        <w:rPr>
          <w:rFonts w:ascii="Arial" w:hAnsi="Arial"/>
        </w:rPr>
        <w:t xml:space="preserve">- Monitors FX, equity indices, rates, commodities and volatility; includes risk-on / risk-off regime analysis and export tools.</w:t>
      </w:r>
    </w:p>
    <w:p>
      <w:pPr/>
      <w:hyperlink r:id="rId2">
        <w:r>
          <w:rPr>
            <w:color w:val="17304F"/>
            <w:u w:val="single"/>
          </w:rPr>
          <w:t xml:space="preserve">GitHub: github.com/Calvin29990/calvinx-market-terminal</w:t>
        </w:r>
      </w:hyperlink>
    </w:p>
    <w:p>
      <w:pPr>
        <w:pStyle w:val="Heading2"/>
      </w:pPr>
      <w:r>
        <w:rPr>
          <w:rFonts w:ascii="Arial" w:hAnsi="Arial"/>
        </w:rPr>
        <w:t xml:space="preserve">ShockLab | Portfolio Stress-Testing Engine (Python, SQL, machine learning)</w:t>
      </w:r>
    </w:p>
    <w:p>
      <w:pPr/>
      <w:r>
        <w:rPr>
          <w:rFonts w:ascii="Arial" w:hAnsi="Arial"/>
        </w:rPr>
        <w:t xml:space="preserve">- Explores geopolitical and macro scenarios using historical market analogues, an SQL event database and interpretable modelling.</w:t>
      </w:r>
    </w:p>
    <w:p>
      <w:pPr/>
      <w:hyperlink r:id="rId3">
        <w:r>
          <w:rPr>
            <w:color w:val="17304F"/>
            <w:u w:val="single"/>
          </w:rPr>
          <w:t xml:space="preserve">GitHub: github.com/Calvin29990/ShockLab-Fade-or-Cascade</w:t>
        </w:r>
      </w:hyperlink>
    </w:p>
    <w:p>
      <w:pPr>
        <w:pStyle w:val="Heading2"/>
      </w:pPr>
      <w:r>
        <w:rPr>
          <w:rFonts w:ascii="Arial" w:hAnsi="Arial"/>
        </w:rPr>
        <w:t xml:space="preserve">Black–Scholes Options &amp; Greeks Pricer (Excel / VBA)</w:t>
      </w:r>
    </w:p>
    <w:p>
      <w:pPr/>
      <w:r>
        <w:rPr>
          <w:rFonts w:ascii="Arial" w:hAnsi="Arial"/>
        </w:rPr>
        <w:t xml:space="preserve">- Prices European options and analyses Delta, Gamma and Vega; tested against historical market data around the March 2020 shock.</w:t>
      </w:r>
    </w:p>
    <w:p>
      <w:pPr>
        <w:pStyle w:val="Heading1"/>
      </w:pPr>
      <w:r>
        <w:rPr>
          <w:rFonts w:ascii="Arial" w:hAnsi="Arial"/>
        </w:rPr>
        <w:t xml:space="preserve">SKILLS</w:t>
      </w:r>
    </w:p>
    <w:p>
      <w:pPr/>
      <w:r>
        <w:rPr>
          <w:rFonts w:ascii="Arial" w:hAnsi="Arial"/>
        </w:rPr>
        <w:t xml:space="preserve">Sales and communication: B2B prospecting; targeted outreach; interviews; event support; client and candidate database management.</w:t>
      </w:r>
    </w:p>
    <w:p>
      <w:pPr/>
      <w:r>
        <w:rPr>
          <w:rFonts w:ascii="Arial" w:hAnsi="Arial"/>
        </w:rPr>
        <w:t xml:space="preserve">Markets: FX; Rates; Equity Derivatives; options and Greeks; volatility; VaR; stress testing; cross-asset monitoring.</w:t>
      </w:r>
    </w:p>
    <w:p>
      <w:pPr/>
      <w:r>
        <w:rPr>
          <w:rFonts w:ascii="Arial" w:hAnsi="Arial"/>
        </w:rPr>
        <w:t xml:space="preserve">Tools: Bloomberg BQL; Excel / VBA; Python (pandas, scikit-learn); SQL / BigQuery; R; JavaScript; data visualisation.</w:t>
      </w:r>
    </w:p>
    <w:p>
      <w:pPr>
        <w:pStyle w:val="Heading1"/>
      </w:pPr>
      <w:r>
        <w:rPr>
          <w:rFonts w:ascii="Arial" w:hAnsi="Arial"/>
        </w:rPr>
        <w:t xml:space="preserve">CERTIFICATIONS &amp; TRAINING</w:t>
      </w:r>
    </w:p>
    <w:p>
      <w:pPr/>
      <w:r>
        <w:rPr>
          <w:rFonts w:ascii="Arial" w:hAnsi="Arial"/>
        </w:rPr>
        <w:t xml:space="preserve">FRM Program candidate (GARP) | AMF certification in progress | Citi Markets Sales &amp; Trading (Forage) | QuantInsti Python for Trading</w:t>
      </w:r>
    </w:p>
    <w:p>
      <w:pPr>
        <w:pStyle w:val="Heading1"/>
      </w:pPr>
      <w:r>
        <w:rPr>
          <w:rFonts w:ascii="Arial" w:hAnsi="Arial"/>
        </w:rPr>
        <w:t xml:space="preserve">LANGUAGES</w:t>
      </w:r>
    </w:p>
    <w:p>
      <w:pPr/>
      <w:r>
        <w:rPr>
          <w:rFonts w:ascii="Arial" w:hAnsi="Arial"/>
        </w:rPr>
        <w:t xml:space="preserve">French: native | English: professional working proficiency (self-assessed B2–C1) | Spanish: B2 | Portuguese: basic knowledge</w:t>
      </w:r>
    </w:p>
    <w:sectPr>
      <w:pgSz w:w="11906" w:h="16838"/>
      <w:pgMar w:top="620" w:right="760" w:bottom="620" w:left="760" w:header="360" w:footer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19"/>
        <w:szCs w:val="19"/>
      </w:rPr>
    </w:rPrDefault>
    <w:pPrDefault>
      <w:pPr>
        <w:spacing w:after="55" w:line="235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color w:val="17304F"/>
      <w:sz w:val="36"/>
    </w:rPr>
    <w:pPr>
      <w:spacing w:after="40"/>
    </w:pPr>
  </w:style>
  <w:style w:type="paragraph" w:styleId="Subtitle">
    <w:name w:val="Subtitle"/>
    <w:rPr>
      <w:b/>
      <w:color w:val="202830"/>
      <w:sz w:val="21"/>
    </w:rPr>
    <w:pPr>
      <w:spacing w:after="40"/>
    </w:pPr>
  </w:style>
  <w:style w:type="paragraph" w:styleId="Heading1">
    <w:name w:val="heading 1"/>
    <w:basedOn w:val="Normal"/>
    <w:next w:val="Normal"/>
    <w:qFormat/>
    <w:pPr>
      <w:keepNext/>
      <w:spacing w:before="145" w:after="45"/>
    </w:pPr>
    <w:rPr>
      <w:b/>
      <w:color w:val="17304F"/>
      <w:sz w:val="20"/>
    </w:rPr>
  </w:style>
  <w:style w:type="paragraph" w:styleId="Heading2">
    <w:name w:val="heading 2"/>
    <w:basedOn w:val="Normal"/>
    <w:next w:val="Normal"/>
    <w:qFormat/>
    <w:pPr>
      <w:keepNext/>
      <w:spacing w:before="55" w:after="20"/>
    </w:pPr>
    <w:rPr>
      <w:b/>
      <w:sz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Calvin29990/calvinx-market-terminal" TargetMode="External"/><Relationship Id="rId3" Type="http://schemas.openxmlformats.org/officeDocument/2006/relationships/hyperlink" Target="https://github.com/Calvin29990/ShockLab-Fade-or-Cascade" TargetMode="External"/></Relationships>
</file>