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Arial" w:hAnsi="Arial"/>
        </w:rPr>
        <w:t xml:space="preserve">CALVIN MINANG</w:t>
      </w:r>
    </w:p>
    <w:p>
      <w:pPr>
        <w:pStyle w:val="Subtitle"/>
      </w:pPr>
      <w:r>
        <w:rPr>
          <w:rFonts w:ascii="Arial" w:hAnsi="Arial"/>
        </w:rPr>
        <w:t xml:space="preserve">GLOBAL MARKETS SALES | CHANGE, TAUX &amp; DÉRIVÉS ACTIONS</w:t>
      </w:r>
    </w:p>
    <w:p>
      <w:pPr/>
      <w:r>
        <w:rPr>
          <w:rFonts w:ascii="Arial" w:hAnsi="Arial"/>
        </w:rPr>
        <w:t xml:space="preserve">+33 7 52 97 58 09  |  Paris, France  |  LinkedIn : linkedin.com/in/calvin-minang  |  GitHub : github.com/Calvin29990</w:t>
      </w:r>
    </w:p>
    <w:p>
      <w:pPr>
        <w:pStyle w:val="Heading1"/>
      </w:pPr>
      <w:r>
        <w:rPr>
          <w:rFonts w:ascii="Arial" w:hAnsi="Arial"/>
        </w:rPr>
        <w:t xml:space="preserve">PROFIL</w:t>
      </w:r>
    </w:p>
    <w:p>
      <w:pPr/>
      <w:r>
        <w:rPr>
          <w:rFonts w:ascii="Arial" w:hAnsi="Arial"/>
        </w:rPr>
        <w:t xml:space="preserve">Étudiant en MSc à SKEMA, avec une expérience du reporting multi-actifs chez BPCE et de la prospection Sales &amp; Recruitment chez FinStart. Combine suivi des marchés, automatisation du reporting et projets pratiques en options et analyse cross-asset. Cible des fonctions Global Markets Sales sur le change, les taux et les dérivés actions.</w:t>
      </w:r>
    </w:p>
    <w:p>
      <w:pPr>
        <w:pStyle w:val="Heading1"/>
      </w:pPr>
      <w:r>
        <w:rPr>
          <w:rFonts w:ascii="Arial" w:hAnsi="Arial"/>
        </w:rPr>
        <w:t xml:space="preserve">EXPÉRIENCE PROFESSIONNELLE</w:t>
      </w:r>
    </w:p>
    <w:p>
      <w:pPr>
        <w:pStyle w:val="Heading2"/>
      </w:pPr>
      <w:r>
        <w:rPr>
          <w:rFonts w:ascii="Arial" w:hAnsi="Arial"/>
        </w:rPr>
        <w:t xml:space="preserve">BPCE Assurances | Analyste Reporting Multi-Actifs (stage) | Paris | janv.–mai 2024</w:t>
      </w:r>
    </w:p>
    <w:p>
      <w:pPr/>
      <w:r>
        <w:rPr>
          <w:rFonts w:ascii="Arial" w:hAnsi="Arial"/>
        </w:rPr>
        <w:t xml:space="preserve">- Production de reportings pour les comités d’investissement : principales paires FX, indices actions, taux et spreads de crédit.</w:t>
      </w:r>
    </w:p>
    <w:p>
      <w:pPr/>
      <w:r>
        <w:rPr>
          <w:rFonts w:ascii="Arial" w:hAnsi="Arial"/>
        </w:rPr>
        <w:t xml:space="preserve">- Création et exploitation de tableaux de bord Bloomberg BQL pour le suivi et les alertes ; automatisation avec Excel, XLOOKUP et VBA.</w:t>
      </w:r>
    </w:p>
    <w:p>
      <w:pPr>
        <w:pStyle w:val="Heading2"/>
      </w:pPr>
      <w:r>
        <w:rPr>
          <w:rFonts w:ascii="Arial" w:hAnsi="Arial"/>
        </w:rPr>
        <w:t xml:space="preserve">FinStart | Analyste Sales &amp; Recrutement (stage) | Paris | juin–août 2023</w:t>
      </w:r>
    </w:p>
    <w:p>
      <w:pPr/>
      <w:r>
        <w:rPr>
          <w:rFonts w:ascii="Arial" w:hAnsi="Arial"/>
        </w:rPr>
        <w:t xml:space="preserve">- Veille marché et recrutement ; sourcing de candidats en finance et gestion des bases de données candidats et clients.</w:t>
      </w:r>
    </w:p>
    <w:p>
      <w:pPr/>
      <w:r>
        <w:rPr>
          <w:rFonts w:ascii="Arial" w:hAnsi="Arial"/>
        </w:rPr>
        <w:t xml:space="preserve">- Prospection ciblée par e-mail à fort volume et appui aux activités de sourcing et de recrutement.</w:t>
      </w:r>
    </w:p>
    <w:p>
      <w:pPr>
        <w:pStyle w:val="Heading1"/>
      </w:pPr>
      <w:r>
        <w:rPr>
          <w:rFonts w:ascii="Arial" w:hAnsi="Arial"/>
        </w:rPr>
        <w:t xml:space="preserve">ENGAGEMENT &amp; RÉDACTION</w:t>
      </w:r>
    </w:p>
    <w:p>
      <w:pPr>
        <w:pStyle w:val="Heading2"/>
      </w:pPr>
      <w:r>
        <w:rPr>
          <w:rFonts w:ascii="Arial" w:hAnsi="Arial"/>
        </w:rPr>
        <w:t xml:space="preserve">SKEMA Job Service Paris | Pôle RH &amp; partenariats entreprises (association étudiante)</w:t>
      </w:r>
    </w:p>
    <w:p>
      <w:pPr/>
      <w:r>
        <w:rPr>
          <w:rFonts w:ascii="Arial" w:hAnsi="Arial"/>
        </w:rPr>
        <w:t xml:space="preserve">- Conduite d’entretiens ; contribution aux événements et à la prospection d’entreprises ; appui au bilan et à la continuité des opérations.</w:t>
      </w:r>
    </w:p>
    <w:p>
      <w:pPr>
        <w:pStyle w:val="Heading2"/>
      </w:pPr>
      <w:r>
        <w:rPr>
          <w:rFonts w:ascii="Arial" w:hAnsi="Arial"/>
        </w:rPr>
        <w:t xml:space="preserve">Major Prépa | Rédacteur contributeur indépendant (autoentrepreneur ; environ un an)</w:t>
      </w:r>
    </w:p>
    <w:p>
      <w:pPr/>
      <w:r>
        <w:rPr>
          <w:rFonts w:ascii="Arial" w:hAnsi="Arial"/>
        </w:rPr>
        <w:t xml:space="preserve">- Rédaction finance et économie, recherche, synthèse et vulgarisation pour une publication spécialisée destinée aux étudiants.</w:t>
      </w:r>
    </w:p>
    <w:p>
      <w:pPr>
        <w:pStyle w:val="Heading1"/>
      </w:pPr>
      <w:r>
        <w:rPr>
          <w:rFonts w:ascii="Arial" w:hAnsi="Arial"/>
        </w:rPr>
        <w:t xml:space="preserve">FORMATION</w:t>
      </w:r>
    </w:p>
    <w:p>
      <w:pPr>
        <w:pStyle w:val="Heading2"/>
      </w:pPr>
      <w:r>
        <w:rPr>
          <w:rFonts w:ascii="Arial" w:hAnsi="Arial"/>
        </w:rPr>
        <w:t xml:space="preserve">SKEMA Business School | Programme Grande École + MSc Corporate Financial Management | 2022–2026</w:t>
      </w:r>
    </w:p>
    <w:p>
      <w:pPr/>
      <w:r>
        <w:rPr>
          <w:rFonts w:ascii="Arial" w:hAnsi="Arial"/>
        </w:rPr>
        <w:t xml:space="preserve">Cours sélectionnés : Market Risk (VaR) ; dérivés actions (Black–Scholes, options et Greeks).</w:t>
      </w:r>
    </w:p>
    <w:p>
      <w:pPr>
        <w:pStyle w:val="Heading2"/>
      </w:pPr>
      <w:r>
        <w:rPr>
          <w:rFonts w:ascii="Arial" w:hAnsi="Arial"/>
        </w:rPr>
        <w:t xml:space="preserve">IÉPESUP, Paris | Classe préparatoire ECE (mathématiques et économie intensives) | 2021–2022</w:t>
      </w:r>
    </w:p>
    <w:p>
      <w:pPr>
        <w:pStyle w:val="Heading2"/>
      </w:pPr>
      <w:r>
        <w:rPr>
          <w:rFonts w:ascii="Arial" w:hAnsi="Arial"/>
        </w:rPr>
        <w:t xml:space="preserve">Baccalauréat général | Filière scientifique, mathématiques approfondies | 2021</w:t>
      </w:r>
    </w:p>
    <w:p>
      <w:pPr>
        <w:pStyle w:val="Heading1"/>
      </w:pPr>
      <w:r>
        <w:rPr>
          <w:rFonts w:ascii="Arial" w:hAnsi="Arial"/>
        </w:rPr>
        <w:t xml:space="preserve">PROJETS SÉLECTIONNÉS</w:t>
      </w:r>
    </w:p>
    <w:p>
      <w:pPr>
        <w:pStyle w:val="Heading2"/>
      </w:pPr>
      <w:r>
        <w:rPr>
          <w:rFonts w:ascii="Arial" w:hAnsi="Arial"/>
        </w:rPr>
        <w:t xml:space="preserve">CalvinX | Tableau de bord cross-asset (JavaScript)</w:t>
      </w:r>
    </w:p>
    <w:p>
      <w:pPr/>
      <w:r>
        <w:rPr>
          <w:rFonts w:ascii="Arial" w:hAnsi="Arial"/>
        </w:rPr>
        <w:t xml:space="preserve">- Suivi du FX, des indices actions, des taux, des matières premières et de la volatilité ; analyse de régimes risk-on / risk-off et outils d’export.</w:t>
      </w:r>
    </w:p>
    <w:p>
      <w:pPr/>
      <w:hyperlink r:id="rId2">
        <w:r>
          <w:rPr>
            <w:color w:val="17304F"/>
            <w:u w:val="single"/>
          </w:rPr>
          <w:t xml:space="preserve">GitHub : github.com/Calvin29990/calvinx-market-terminal</w:t>
        </w:r>
      </w:hyperlink>
    </w:p>
    <w:p>
      <w:pPr>
        <w:pStyle w:val="Heading2"/>
      </w:pPr>
      <w:r>
        <w:rPr>
          <w:rFonts w:ascii="Arial" w:hAnsi="Arial"/>
        </w:rPr>
        <w:t xml:space="preserve">ShockLab | Moteur de stress-test de portefeuille (Python, SQL, ML)</w:t>
      </w:r>
    </w:p>
    <w:p>
      <w:pPr/>
      <w:r>
        <w:rPr>
          <w:rFonts w:ascii="Arial" w:hAnsi="Arial"/>
        </w:rPr>
        <w:t xml:space="preserve">- Analyse de scénarios géopolitiques et macro à partir d’analogues historiques, d’une base d’événements SQL et d’un modèle interprétable.</w:t>
      </w:r>
    </w:p>
    <w:p>
      <w:pPr/>
      <w:hyperlink r:id="rId3">
        <w:r>
          <w:rPr>
            <w:color w:val="17304F"/>
            <w:u w:val="single"/>
          </w:rPr>
          <w:t xml:space="preserve">GitHub : github.com/Calvin29990/ShockLab-Fade-or-Cascade</w:t>
        </w:r>
      </w:hyperlink>
    </w:p>
    <w:p>
      <w:pPr>
        <w:pStyle w:val="Heading2"/>
      </w:pPr>
      <w:r>
        <w:rPr>
          <w:rFonts w:ascii="Arial" w:hAnsi="Arial"/>
        </w:rPr>
        <w:t xml:space="preserve">Pricer Black–Scholes : options &amp; Greeks (Excel / VBA)</w:t>
      </w:r>
    </w:p>
    <w:p>
      <w:pPr/>
      <w:r>
        <w:rPr>
          <w:rFonts w:ascii="Arial" w:hAnsi="Arial"/>
        </w:rPr>
        <w:t xml:space="preserve">- Prix d’options européennes et analyse des sensibilités Delta, Gamma et Vega ; tests sur données historiques autour du choc de mars 2020.</w:t>
      </w:r>
    </w:p>
    <w:p>
      <w:pPr>
        <w:pStyle w:val="Heading1"/>
      </w:pPr>
      <w:r>
        <w:rPr>
          <w:rFonts w:ascii="Arial" w:hAnsi="Arial"/>
        </w:rPr>
        <w:t xml:space="preserve">COMPÉTENCES</w:t>
      </w:r>
    </w:p>
    <w:p>
      <w:pPr/>
      <w:r>
        <w:rPr>
          <w:rFonts w:ascii="Arial" w:hAnsi="Arial"/>
        </w:rPr>
        <w:t xml:space="preserve">Commercial et communication : prospection B2B ; campagnes ciblées ; entretiens ; événements ; gestion de bases candidats et clients.</w:t>
      </w:r>
    </w:p>
    <w:p>
      <w:pPr/>
      <w:r>
        <w:rPr>
          <w:rFonts w:ascii="Arial" w:hAnsi="Arial"/>
        </w:rPr>
        <w:t xml:space="preserve">Marchés : FX ; taux ; dérivés actions ; options et Greeks ; volatilité ; VaR ; stress tests ; suivi cross-asset.</w:t>
      </w:r>
    </w:p>
    <w:p>
      <w:pPr/>
      <w:r>
        <w:rPr>
          <w:rFonts w:ascii="Arial" w:hAnsi="Arial"/>
        </w:rPr>
        <w:t xml:space="preserve">Outils : Bloomberg BQL ; Excel / VBA ; Python (pandas, scikit-learn) ; SQL / BigQuery ; R ; JavaScript ; datavisualisation.</w:t>
      </w:r>
    </w:p>
    <w:p>
      <w:pPr>
        <w:pStyle w:val="Heading1"/>
      </w:pPr>
      <w:r>
        <w:rPr>
          <w:rFonts w:ascii="Arial" w:hAnsi="Arial"/>
        </w:rPr>
        <w:t xml:space="preserve">CERTIFICATIONS &amp; FORMATIONS</w:t>
      </w:r>
    </w:p>
    <w:p>
      <w:pPr/>
      <w:r>
        <w:rPr>
          <w:rFonts w:ascii="Arial" w:hAnsi="Arial"/>
        </w:rPr>
        <w:t xml:space="preserve">Candidat au programme FRM (GARP) | Certification AMF en cours | Citi Markets Sales &amp; Trading (Forage) | QuantInsti Python for Trading</w:t>
      </w:r>
    </w:p>
    <w:p>
      <w:pPr>
        <w:pStyle w:val="Heading1"/>
      </w:pPr>
      <w:r>
        <w:rPr>
          <w:rFonts w:ascii="Arial" w:hAnsi="Arial"/>
        </w:rPr>
        <w:t xml:space="preserve">LANGUES</w:t>
      </w:r>
    </w:p>
    <w:p>
      <w:pPr/>
      <w:r>
        <w:rPr>
          <w:rFonts w:ascii="Arial" w:hAnsi="Arial"/>
        </w:rPr>
        <w:t xml:space="preserve">Français : langue maternelle | Anglais : usage professionnel (autoévaluation B2–C1) | Espagnol : B2 | Portugais : notions</w:t>
      </w:r>
    </w:p>
    <w:sectPr>
      <w:pgSz w:w="11906" w:h="16838"/>
      <w:pgMar w:top="620" w:right="760" w:bottom="620" w:left="760" w:header="360" w:footer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9"/>
        <w:szCs w:val="19"/>
      </w:rPr>
    </w:rPrDefault>
    <w:pPrDefault>
      <w:pPr>
        <w:spacing w:after="55" w:line="235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color w:val="17304F"/>
      <w:sz w:val="36"/>
    </w:rPr>
    <w:pPr>
      <w:spacing w:after="40"/>
    </w:pPr>
  </w:style>
  <w:style w:type="paragraph" w:styleId="Subtitle">
    <w:name w:val="Subtitle"/>
    <w:rPr>
      <w:b/>
      <w:color w:val="202830"/>
      <w:sz w:val="21"/>
    </w:rPr>
    <w:pPr>
      <w:spacing w:after="40"/>
    </w:pPr>
  </w:style>
  <w:style w:type="paragraph" w:styleId="Heading1">
    <w:name w:val="heading 1"/>
    <w:basedOn w:val="Normal"/>
    <w:next w:val="Normal"/>
    <w:qFormat/>
    <w:pPr>
      <w:keepNext/>
      <w:spacing w:before="145" w:after="45"/>
    </w:pPr>
    <w:rPr>
      <w:b/>
      <w:color w:val="17304F"/>
      <w:sz w:val="20"/>
    </w:rPr>
  </w:style>
  <w:style w:type="paragraph" w:styleId="Heading2">
    <w:name w:val="heading 2"/>
    <w:basedOn w:val="Normal"/>
    <w:next w:val="Normal"/>
    <w:qFormat/>
    <w:pPr>
      <w:keepNext/>
      <w:spacing w:before="55" w:after="20"/>
    </w:pPr>
    <w:rPr>
      <w:b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alvin29990/calvinx-market-terminal" TargetMode="External"/><Relationship Id="rId3" Type="http://schemas.openxmlformats.org/officeDocument/2006/relationships/hyperlink" Target="https://github.com/Calvin29990/ShockLab-Fade-or-Cascade" TargetMode="External"/></Relationships>
</file>