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QUESTIONS FX — LA QUESTION APPROFONDIE À ENVOYER</w:t>
      </w:r>
    </w:p>
    <w:p>
      <w:r>
        <w:t>Sonde de niveau pour l’ex-FMI devenu assistant trader · calibrée à la frontière exacte du livre d’Alexandre Landi, « Foundations of Fixed Income and Derivative Instruments » (SSRN 7520898) · corrigé inclus pour ta prépa FX.</w:t>
      </w:r>
    </w:p>
    <w:p>
      <w:pPr>
        <w:pStyle w:val="Heading1"/>
      </w:pPr>
      <w:r>
        <w:t>Ce que c’est</w:t>
      </w:r>
    </w:p>
    <w:p>
      <w:r>
        <w:t>Une seule question, en trois temps. Elle commence là où le livre de Landi s’arrête : il démontre le cash-and-carry à un seul taux (or) et nomme les cross-currency bases post-2008 (p. 26, renvoi Du-Tepper-Verdelhan 2018) sans jamais les déplier. Impossible à survivre au copier-coller : soit il a travaillé le sujet, soit ça se voit tout de suite.</w:t>
      </w:r>
    </w:p>
    <w:p>
      <w:r>
        <w:t>Double usage, assumé : (1) le sonder — c’est ton objectif « voir ce qu’il fait » ; (2) te constituer le corrigé — la FX étant le cœur de ta prépa, toute réponse te fait progresser, bonne ou mauvaise.</w:t>
      </w:r>
    </w:p>
    <w:p>
      <w:r>
        <w:t>Côté SKEMA : envoyer une question technique à un pro n’enfreint aucune règle — c’est du networking, de l’entretien informel. Le seul point à respecter : sa réponse sert de matière de travail, pas de devoir à recopier dans un rendu noté.</w:t>
      </w:r>
    </w:p>
    <w:p>
      <w:pPr>
        <w:pStyle w:val="Heading1"/>
      </w:pPr>
      <w:r>
        <w:t>1 — Message à copier-coller (LinkedIn ou mail)</w:t>
      </w:r>
    </w:p>
    <w:p>
      <w:r>
        <w:t>Bonjour [Prénom],</w:t>
      </w:r>
    </w:p>
    <w:p>
      <w:r>
        <w:t>Calvin, étudiant M2 à SKEMA en finance de marché. Félicitations pour ton arrivée en assistant trader.</w:t>
      </w:r>
    </w:p>
    <w:p>
      <w:r>
        <w:t>Je prépare mes process FX et je bloque sur un point que le livre d’Alexandre Landi (Foundations of Fixed Income and Derivative Instruments) s’arrête juste avant d’ouvrir : il montre qu’un forward n’est pas une prédiction, avec un seul taux de financement (son gold carry check), et il cite les cross-currency bases post-2008 en note sans les déplier.</w:t>
      </w:r>
    </w:p>
    <w:p>
      <w:r>
        <w:t>C’est exactement là que je bute :</w:t>
      </w:r>
    </w:p>
    <w:p>
      <w:r>
        <w:t>1) Un corporate doit payer 10 M USD dans 6 mois (EUR/USD spot 1,1650 ; SOFR OIS 6M 4,10 % ; €OIS 6M 2,55 % ; ACT/360). Ton prix juste à deux taux — tu l’écris comment, quelles courbes tu mets dans chaque jambe, et ça donne combien de points ?</w:t>
      </w:r>
    </w:p>
    <w:p>
      <w:r>
        <w:t>2) L’écran cote +60 là où j’en trouve environ +89 : d’où vient l’écart, qui le paie au quotidien, et pourquoi personne ne le ramasse ?</w:t>
      </w:r>
    </w:p>
    <w:p>
      <w:r>
        <w:t>3) Et sur un NDF BRL, qu’est-ce qui change dans ta façon de le coter et de te couvrir ?</w:t>
      </w:r>
    </w:p>
    <w:p>
      <w:r>
        <w:t>Même une réponse courte m’aiderait énormément. Et si tu as deux minutes de plus : ton book au quotidien, c’est quoi ?</w:t>
      </w:r>
    </w:p>
    <w:p>
      <w:r>
        <w:t>Merci beaucoup — et bravo !</w:t>
      </w:r>
    </w:p>
    <w:p>
      <w:r>
        <w:t>Calvin — M2 SKEMA</w:t>
      </w:r>
    </w:p>
    <w:p>
      <w:r>
        <w:t>⚠ Chiffres d’illustration. Si tu l’envoies plusieurs jours après, remets des cotations du jour (spot + les deux OIS 6M) — une question avec des cours périmés se retourne contre toi.</w:t>
      </w:r>
    </w:p>
    <w:p>
      <w:pPr>
        <w:pStyle w:val="Heading1"/>
      </w:pPr>
      <w:r>
        <w:t>2 — Pourquoi cette question le sonde</w:t>
      </w:r>
    </w:p>
    <w:p>
      <w:pPr>
        <w:pStyle w:val="ListBullet"/>
      </w:pPr>
      <w:r>
        <w:t>Temps 1 — le cours. La formule à deux taux et les conventions : on ne bluffe pas ça en dix secondes de recherche.</w:t>
      </w:r>
    </w:p>
    <w:p>
      <w:pPr>
        <w:pStyle w:val="ListBullet"/>
      </w:pPr>
      <w:r>
        <w:t>Temps 2 — le monde réel. Le basis, le funding, le bilan : c’est la différence entre un bon élève et quelqu’un qui a vu un desk. Et c’est la ligne exacte que le livre ouvre sans la traiter — s’il a lu/retenu Landi, il sait qu’il est attendu là.</w:t>
      </w:r>
    </w:p>
    <w:p>
      <w:pPr>
        <w:pStyle w:val="ListBullet"/>
      </w:pPr>
      <w:r>
        <w:t>Temps 3 — LatAm (NDF BRL). Là où ta prépa est la plus pointue, et où un assistant trader FX à Paris doit réellement savoir répondre. C’est le couperet.</w:t>
      </w:r>
    </w:p>
    <w:p>
      <w:pPr>
        <w:pStyle w:val="ListBullet"/>
      </w:pPr>
      <w:r>
        <w:t>La dernière phrase (« ton book c’est quoi ? ») répond à ton vrai objectif : voir ce qu’il fait, lui, au quotidien.</w:t>
      </w:r>
    </w:p>
    <w:p>
      <w:pPr>
        <w:pStyle w:val="Heading1"/>
      </w:pPr>
      <w:r>
        <w:t>3 — Grille de lecture de sa réponse</w:t>
      </w:r>
    </w:p>
    <w:p>
      <w:pPr>
        <w:pStyle w:val="Heading2"/>
      </w:pPr>
      <w:r>
        <w:t>Green flags — un vrai répond avec ça</w:t>
      </w:r>
    </w:p>
    <w:p>
      <w:r>
        <w:t>Temps 1 :</w:t>
      </w:r>
    </w:p>
    <w:p>
      <w:pPr>
        <w:pStyle w:val="ListBullet"/>
      </w:pPr>
      <w:r>
        <w:t>F = S × (1 + r_USD × d) / (1 + r_EUR × d) — deux taux, une devise de cotation et une devise de base, et il ne les confond pas.</w:t>
      </w:r>
    </w:p>
    <w:p>
      <w:pPr>
        <w:pStyle w:val="ListBullet"/>
      </w:pPr>
      <w:r>
        <w:t>Spot à valeur T+2 ouvrés (calendrier joint EUR/USD), ACT/360 des deux côtés, interpolation de courbes OIS (SOFR / €STR).</w:t>
      </w:r>
    </w:p>
    <w:p>
      <w:pPr>
        <w:pStyle w:val="ListBullet"/>
      </w:pPr>
      <w:r>
        <w:t>Il sort le compte : F ≈ 1,1739, soit +89 points (approximation linéaire S × Δr × d ≈ +90 — les deux se disent).</w:t>
      </w:r>
    </w:p>
    <w:p>
      <w:pPr>
        <w:pStyle w:val="ListBullet"/>
      </w:pPr>
      <w:r>
        <w:t>Le sens de la prime : taux USD &gt; taux EUR ⇒ EUR à prime à terme (points positifs) ; « le forward transporte des taux, il ne prédit rien » — il a retenu la leçon du livre.</w:t>
      </w:r>
    </w:p>
    <w:p>
      <w:r>
        <w:t>Temps 2 :</w:t>
      </w:r>
    </w:p>
    <w:p>
      <w:pPr>
        <w:pStyle w:val="ListBullet"/>
      </w:pPr>
      <w:r>
        <w:t>Il utilise le mot « cross-currency basis » — et s’il renvoie à Du-Tepper-Verdelhan, il a lu la note de bas de page 5 de Landi.</w:t>
      </w:r>
    </w:p>
    <w:p>
      <w:pPr>
        <w:pStyle w:val="ListBullet"/>
      </w:pPr>
      <w:r>
        <w:t>Il traduit l’écart : les +60 au lieu de +89 ⇒ le taux USD « embarqué » dans les points cotés tombe à ≈ 3,55 % contre 4,10 % SOFR — environ cinquante points de base de basis.</w:t>
      </w:r>
    </w:p>
    <w:p>
      <w:pPr>
        <w:pStyle w:val="ListBullet"/>
      </w:pPr>
      <w:r>
        <w:t>Qui le paie : les emprunteurs de USD sans accès direct au dépôt USD (banques européennes/asiatiques qui refinancent des actifs en dollars, corporates émergents endettés en USD, carry trades). Qui l’encaisse : les franchises de dépôts USD.</w:t>
      </w:r>
    </w:p>
    <w:p>
      <w:pPr>
        <w:pStyle w:val="ListBullet"/>
      </w:pPr>
      <w:r>
        <w:t>Pourquoi ça reste : pour ramasser l’écart il faut emprunter le USD — la ressource rare. Bilan cher (leverage ratio, surcharges G-SIB), counterparty risk des swaps de change à valeur de marché, marge de collatéral. Le basis est le prix du bilan, pas une inefficacité gratuite.</w:t>
      </w:r>
    </w:p>
    <w:p>
      <w:pPr>
        <w:pStyle w:val="ListBullet"/>
      </w:pPr>
      <w:r>
        <w:t>Vie du trade : valeur T+2 qui glisse (tom-next), roll quotidien, bid-offer des points qui s’élargit sur les fins de mois, « turns » de financement de fin d’année.</w:t>
      </w:r>
    </w:p>
    <w:p>
      <w:r>
        <w:t>Temps 3 :</w:t>
      </w:r>
    </w:p>
    <w:p>
      <w:pPr>
        <w:pStyle w:val="ListBullet"/>
      </w:pPr>
      <w:r>
        <w:t>NDF = forward non livrable, cash-setté en USD contre un fixing de référence — au Brésil la PTAX (moyenne de relevés quotidiens publiés par la BCB). Pas de livraison en BRL : c’est fait pour les devises sous contrôle de change/convertibilité limitée.</w:t>
      </w:r>
    </w:p>
    <w:p>
      <w:pPr>
        <w:pStyle w:val="ListBullet"/>
      </w:pPr>
      <w:r>
        <w:t>Points NDF : le différentiel de taux local vs USD à travers le taux offshore implicite (le cupom cambial, ≈ le CDI net d’une prime) + une prime de risque de convertibilité — les points annuels sont souvent des milliers de pips sur USD/BRL, pas des dizaines.</w:t>
      </w:r>
    </w:p>
    <w:p>
      <w:pPr>
        <w:pStyle w:val="ListBullet"/>
      </w:pPr>
      <w:r>
        <w:t>Couverture : funding en USD + souverain BRL local quand il y a accès ; le swap de change de la BCB est souvent le price-setter marginal ; risque de basis entre le fixing PTAX et les taux locaux ; cut-off et lag de fixing.</w:t>
      </w:r>
    </w:p>
    <w:p>
      <w:r>
        <w:t>Bonus « ce qu’il fait » : s’il répond à ta dernière phrase avec des détails concrets (paires, type de clients, RFQ vs algo, corporate vs real money, horaires de cut-off), tu as ta réponse sur son métier.</w:t>
      </w:r>
    </w:p>
    <w:p>
      <w:pPr>
        <w:pStyle w:val="Heading2"/>
      </w:pPr>
      <w:r>
        <w:t>Red flags — là il récite</w:t>
      </w:r>
    </w:p>
    <w:p>
      <w:pPr>
        <w:pStyle w:val="ListBullet"/>
      </w:pPr>
      <w:r>
        <w:t>Temps 1 : la formule à un seul taux (il récite le chapitre or de Landi sans la transposer au change), oublie la valeur T+2, divise par le mauvais taux (confusion devise de base / devise de cotation), aucune convention de day count.</w:t>
      </w:r>
    </w:p>
    <w:p>
      <w:pPr>
        <w:pStyle w:val="ListBullet"/>
      </w:pPr>
      <w:r>
        <w:t>Temps 2 : « la CIP est toujours vraie, ce serait de l’arbitrage » — le livre lui-même dit le contraire p. 26 ; ou bien « c’est le marché qui anticipe », ou « c’est le spread d’offre ». Aucun mot sur le financement ou le bilan.</w:t>
      </w:r>
    </w:p>
    <w:p>
      <w:pPr>
        <w:pStyle w:val="ListBullet"/>
      </w:pPr>
      <w:r>
        <w:t>Temps 3 : « un NDF, c’est un forward comme un autre », jamais entendu parler de fixing (PTAX / WM), croit qu’on livre le BRL.</w:t>
      </w:r>
    </w:p>
    <w:p>
      <w:pPr>
        <w:pStyle w:val="ListBullet"/>
      </w:pPr>
      <w:r>
        <w:t>Général : pas un chiffre, pas une convention, réponse en généralités LinkedIn. Et s’il esquive la question sur son book, c’est déjà une réponse.</w:t>
      </w:r>
    </w:p>
    <w:p>
      <w:pPr>
        <w:pStyle w:val="Heading1"/>
      </w:pPr>
      <w:r>
        <w:t>4 — Le corrigé (à garder quoi qu’il réponde)</w:t>
      </w:r>
    </w:p>
    <w:p>
      <w:pPr>
        <w:pStyle w:val="Heading2"/>
      </w:pPr>
      <w:r>
        <w:t>(a) Temps 1 — le prix juste à deux taux</w:t>
      </w:r>
    </w:p>
    <w:p>
      <w:r>
        <w:t>Landi démontre F0 = S0(1+r)^T avec l’or : une seule devise de financement. En change, la devise EST l’actif : le prix juste a deux taux — un par jambe. C’est la parité des taux d’intérêt couverts, la cousine FX de son cash-and-carry.</w:t>
      </w:r>
    </w:p>
    <w:p>
      <w:pPr>
        <w:pStyle w:val="ListBullet"/>
      </w:pPr>
      <w:r>
        <w:t>Cotation EUR/USD : USD pour 1 EUR (devise de base EUR, devise de cotation USD). Spot à valeur T+2 ouvrés, calendrier joint EUR et USD.</w:t>
      </w:r>
    </w:p>
    <w:p>
      <w:pPr>
        <w:pStyle w:val="ListBullet"/>
      </w:pPr>
      <w:r>
        <w:t>Formule : F = S × (1 + r_USD × d) / (1 + r_EUR × d), avec d = 0,5 (26 semaines, convention OIS ACT/360 des deux côtés).</w:t>
      </w:r>
    </w:p>
    <w:p>
      <w:pPr>
        <w:pStyle w:val="ListBullet"/>
      </w:pPr>
      <w:r>
        <w:t>Calcul : F = 1,1650 × 1,0205 / 1,01275 = 1,17392 → +89 points (l’approximation linéaire S × Δr × d = 1,1650 × 1,55 % × 0,5 ≈ +90 ; le marché cote l’exact). Outright ≈ 1,1739.</w:t>
      </w:r>
    </w:p>
    <w:p>
      <w:pPr>
        <w:pStyle w:val="ListBullet"/>
      </w:pPr>
      <w:r>
        <w:t>Sens : r_USD &gt; r_EUR ⇒ l’EUR est à prime à terme. Le client qui achète des USD dans 6 mois paie son différentiel de taux dans les points — et une fois couvert, le carry net est nul par construction. « Un forward n’est pas une prédiction » : c’est exactement la Key Insight du chapitre 1 de Landi.</w:t>
      </w:r>
    </w:p>
    <w:p>
      <w:pPr>
        <w:pStyle w:val="Heading2"/>
      </w:pPr>
      <w:r>
        <w:t>(b) Temps 2 — +60 au lieu de +89 : le cross-currency basis</w:t>
      </w:r>
    </w:p>
    <w:p>
      <w:pPr>
        <w:pStyle w:val="ListBullet"/>
      </w:pPr>
      <w:r>
        <w:t>Le prix coté à +60 (F = 1,1710) correspond à un taux USD embarqué de : ((1,1710 / 1,1650) × 1,01275 − 1) / 0,5 ≈ 3,55 % au lieu de 4,10 %. Soit ≈ 55 bp d’écart (l’annuelisation linéaire des 29 points manquants donne ≈ 50 bp — à l’oral : « une cinquantaine de points de base »).</w:t>
      </w:r>
    </w:p>
    <w:p>
      <w:pPr>
        <w:pStyle w:val="ListBullet"/>
      </w:pPr>
      <w:r>
        <w:t>Traduction desk : financer en USD via le marché des swaps de devises coûte ~50-55 bp de plus que le pur SOFR. C’est le cross-currency basis EUR/USD, coté négatif dans la convention de marché (« basis EUR/USD à −55 bp » — le signe dépend du terminal ; ce qui compte, c’est qui paie).</w:t>
      </w:r>
    </w:p>
    <w:p>
      <w:pPr>
        <w:pStyle w:val="ListBullet"/>
      </w:pPr>
      <w:r>
        <w:t>Qui le paie au quotidien : tous ceux qui ont besoin de USD sans avoir accès au dépôt USD — banques non américaines qui refinancent des actifs en dollars, corporates émergents endettés en USD, hedge funds en carry. Qui l’encaisse : les maisons avec franchise de dépôts USD.</w:t>
      </w:r>
    </w:p>
    <w:p>
      <w:pPr>
        <w:pStyle w:val="ListBullet"/>
      </w:pPr>
      <w:r>
        <w:t>Pourquoi personne ne le ramasse : pour capturer l’écart, il faut emprunter le USD — la ressource rare. Le bilan est cher (leverage ratio, surcharges G-SIB, plafonds de contrepartie), les swaps de change à valeur de marché créent du counterparty risk (les marges de 2008 sont la raison d’être du basis), et l’arbitrageur paie lui-même son spread sur le dollar emprunté. Pas une inefficacité gratuite : le prix du bilan et de la liquidité en USD.</w:t>
      </w:r>
    </w:p>
    <w:p>
      <w:pPr>
        <w:pStyle w:val="ListBullet"/>
      </w:pPr>
      <w:r>
        <w:t>Vie du trade : la valeur spot glisse chaque jour (tom-next), la position roule jusqu’à l’échéance, le bid-offer des points s’élargit sur les fins de mois et les « turns » (fin d’année). Si le client convertit au spot sur un fixing (WM 16 h Londres), on gère aussi le risque de fixing.</w:t>
      </w:r>
    </w:p>
    <w:p>
      <w:pPr>
        <w:pStyle w:val="Heading2"/>
      </w:pPr>
      <w:r>
        <w:t>(c) Temps 3 — le NDF BRL</w:t>
      </w:r>
    </w:p>
    <w:p>
      <w:pPr>
        <w:pStyle w:val="ListBullet"/>
      </w:pPr>
      <w:r>
        <w:t>Mécanique : forward non livrable, cash-settlé en USD contre un fixing de référence — au Brésil la PTAX, moyenne de relevés quotidiens publiés par la BCB (avec ses horaires de relevés et le cut-off de ta banque). Aucune livraison de BRL : l’instrument existe parce que la convertibilité est contrôlée.</w:t>
      </w:r>
    </w:p>
    <w:p>
      <w:pPr>
        <w:pStyle w:val="ListBullet"/>
      </w:pPr>
      <w:r>
        <w:t>Pricing : même logique à deux taux, mais la jambe locale est le taux offshore implicite — le cupom cambial (≈ le CDI net d’une prime de risque) — plus une prime de convertibilité/pays. Les points annuels USD/BRL se comptent en milliers de pips.</w:t>
      </w:r>
    </w:p>
    <w:p>
      <w:pPr>
        <w:pStyle w:val="ListBullet"/>
      </w:pPr>
      <w:r>
        <w:t>Couverture : funding en USD + souverain BRL local quand on y a accès, avec un risque de basis entre le fixing PTAX et les taux locaux ; le swap de change de la BCB est souvent le price-setter marginal du marché ; saisonnalité des flux (exportateurs agroalimentaires, fins d’année). Attention au lag entre valeur contrat et fixing, et au risque de fixing lui-même.</w:t>
      </w:r>
    </w:p>
    <w:p>
      <w:pPr>
        <w:pStyle w:val="Heading2"/>
      </w:pPr>
      <w:r>
        <w:t>Punchlines à connaître par cœur</w:t>
      </w:r>
    </w:p>
    <w:p>
      <w:pPr>
        <w:pStyle w:val="ListNumber"/>
      </w:pPr>
      <w:r>
        <w:t>« Un forward de change, c’est le cash-and-carry de Landi avec deux taux — et depuis 2008, le financement en dollar se paie en plus : c’est le cross-currency basis. »</w:t>
      </w:r>
    </w:p>
    <w:p>
      <w:pPr>
        <w:pStyle w:val="ListNumber"/>
      </w:pPr>
      <w:r>
        <w:t>« Le basis n’est pas une inefficacité : c’est le prix du bilan et de la liquidité en dollars. »</w:t>
      </w:r>
    </w:p>
    <w:p>
      <w:pPr>
        <w:pStyle w:val="ListNumber"/>
      </w:pPr>
      <w:r>
        <w:t>« Le NDF, c’est le forward des devises qu’on ne peut pas livrer : cash-settlé contre un fixing, et les points portent le taux local et la prime de convertibilité. »</w:t>
      </w:r>
    </w:p>
    <w:p>
      <w:pPr>
        <w:pStyle w:val="Heading1"/>
      </w:pPr>
      <w:r>
        <w:t>5 — Relances pour vraiment « voir ce qu’il fait »</w:t>
      </w:r>
    </w:p>
    <w:p>
      <w:pPr>
        <w:pStyle w:val="ListBullet"/>
      </w:pPr>
      <w:r>
        <w:t>« Dans ton book, tu cotes plutôt des G10 ou des NDF ? »</w:t>
      </w:r>
    </w:p>
    <w:p>
      <w:pPr>
        <w:pStyle w:val="ListBullet"/>
      </w:pPr>
      <w:r>
        <w:t>« Tes clients : corporate, real money, hedge funds ? Lequel est le plus lourd à servir ? »</w:t>
      </w:r>
    </w:p>
    <w:p>
      <w:pPr>
        <w:pStyle w:val="ListBullet"/>
      </w:pPr>
      <w:r>
        <w:t>« Sur le BRL, tu vises quel cut-off ? Et la PTAX, tu la regardes à quelle heure ? »</w:t>
      </w:r>
    </w:p>
    <w:p>
      <w:pPr>
        <w:pStyle w:val="ListBullet"/>
      </w:pPr>
      <w:r>
        <w:t>« Ton pire jour de fixing, c’était quoi ? »</w:t>
      </w:r>
    </w:p>
    <w:p>
      <w:pPr>
        <w:pStyle w:val="ListBullet"/>
      </w:pPr>
      <w:r>
        <w:t>« Les points que tu cotes, c’est toi qui les décides ou le pricer ? »</w:t>
      </w:r>
    </w:p>
    <w:p>
      <w:r>
        <w:t>S’il répond à ces cinq-là avec des détails de métier (et pas du vocabulaire de cours), tu sais ce qu’il fait réellement — et tu repars avec une matière que personne d’autre dans ta promo n’aura.</w:t>
      </w:r>
    </w:p>
    <w:p>
      <w:pPr>
        <w:pStyle w:val="Heading1"/>
      </w:pPr>
      <w:r>
        <w:t>6 — Variante si le destinataire est le prof (Alexandre Landi)</w:t>
      </w:r>
    </w:p>
    <w:p>
      <w:r>
        <w:t>Intro différente, même question (les trois temps, ou les deux premiers) :</w:t>
      </w:r>
    </w:p>
    <w:p>
      <w:r>
        <w:t>« Monsieur Landi, votre Foundations of Fixed Income and Derivative Instruments m’a débloqué sur le gold carry check — mais il s’arrête pile avant la partie FX que je prépare pour mes process : la page 26 nomme les cross-currency bases post-2008 et le renvoi Du-Tepper-Verdelhan sans les déplier. Étudiant M2 à SKEMA en prépa FX, j’aimerais votre lecture de praticien-enseignant : [insérer les points 1 à 3 du message]. Même une réponse courte m’aiderait. »</w:t>
      </w:r>
    </w:p>
    <w:p>
      <w:pPr>
        <w:pStyle w:val="Heading1"/>
      </w:pPr>
      <w:r>
        <w:t>7 — Version courte de la question, en anglais</w:t>
      </w:r>
    </w:p>
    <w:p>
      <w:r>
        <w:t>« A corporate client must pay USD 10m in EUR/USD in 6 months (spot 1.1650, 6M SOFR OIS 4.10%, 6M €OIS 2.55%, ACT/360). (1) How do you build the two-currency fair forward — which curves feed each leg, and how many forward points does it give? (2) The screen shows +60 where I get about +89: where does the gap come from, who pays for it daily, and why does nobody close it? (3) And on a BRL NDF, what changes in your pricing and hedging? »</w:t>
      </w:r>
    </w:p>
    <w:p>
      <w:pPr>
        <w:pStyle w:val="Heading1"/>
      </w:pPr>
      <w:r>
        <w:t>8 — La question couvre tes propres trous</w:t>
      </w:r>
    </w:p>
    <w:p>
      <w:r>
        <w:t>Dans Questions-SG.docx, plusieurs questions FX étaient marquées « OSEF » — elles tombent toutes dans le corrigé ci-dessus :</w:t>
      </w:r>
    </w:p>
    <w:p>
      <w:pPr>
        <w:pStyle w:val="ListBullet"/>
      </w:pPr>
      <w:r>
        <w:t>« Particularité du Forex » → marché OTC 24 h/5 où le financement (swaps de devises, points, basis) est le vrai sous-jacent — cf. (a) et (b).</w:t>
      </w:r>
    </w:p>
    <w:p>
      <w:pPr>
        <w:pStyle w:val="ListBullet"/>
      </w:pPr>
      <w:r>
        <w:t>« Les taux Euro-dollar, Yen-dollar, livre-dollar » → ce sont les points de swap : le différentiel de taux qui se paie dans le forward — cf. (a).</w:t>
      </w:r>
    </w:p>
    <w:p>
      <w:pPr>
        <w:pStyle w:val="ListBullet"/>
      </w:pPr>
      <w:r>
        <w:t>« Comment se hedger contre une dépréciation du dollar » → le miroir du cas traité : forward sur tes flux USD, ou options si tu veux garder l’upside — cf. (a) et la section client.</w:t>
      </w:r>
    </w:p>
    <w:p>
      <w:pPr>
        <w:pStyle w:val="ListBullet"/>
      </w:pPr>
      <w:r>
        <w:t>« Conséquence d’une hausse brutale des taux Fed sur le taux euro-dollar » → le différentiel de taux bouge les points avant le spot : cf. (a)+(b).</w:t>
      </w:r>
    </w:p>
    <w:p>
      <w:pPr>
        <w:pStyle w:val="ListBullet"/>
      </w:pPr>
      <w:r>
        <w:t>« Paires les plus échangées / produits principaux » → EUR/USD en tête ; spots minoritaires en volume, l’essentiel est en forwards et FX swaps — cf. (b).</w:t>
      </w:r>
    </w:p>
    <w:p/>
    <w:p>
      <w:r>
        <w:t>Même s’il répond mal : tu repars avec le corrigé. La question ne coûte rien et elle t’apprend toujours — c’est toi qui gagnes à la poser.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