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DE LECTURE — Alexandre Landi</w:t>
      </w:r>
    </w:p>
    <w:p>
      <w:r>
        <w:t>« Foundations of Fixed Income and Derivative Instruments » (SSRN 7520898) — 38 pages, 3 chapitres.</w:t>
      </w:r>
    </w:p>
    <w:p>
      <w:r>
        <w:t>Deux objectifs : (1) lire le livre vite et bien ; (2) les questions à lui poser pour qu’il te trouve brillant et accepte de te coacher léger sur un desk FX ou equity.</w:t>
      </w:r>
    </w:p>
    <w:p>
      <w:r>
        <w:t>⚠ Ce document t’appartient : ne l’envoie jamais tel quel. Les questions se disent avec TES mots — c’est le travail fait dessus qui fera la différence, pas le copier-coller.</w:t>
      </w:r>
    </w:p>
    <w:p>
      <w:pPr>
        <w:pStyle w:val="Heading1"/>
      </w:pPr>
      <w:r>
        <w:t>0 — Mode d’emploi</w:t>
      </w:r>
    </w:p>
    <w:p>
      <w:pPr>
        <w:pStyle w:val="ListBullet"/>
      </w:pPr>
      <w:r>
        <w:t>Lecture express (2 h, contact imminent) : §1.8-1.10 + tout le chapitre 2 + §3.7-3.9. Les blocs Python se lisent en diagonale : ils reprennent les calculs juste au-dessus.</w:t>
      </w:r>
    </w:p>
    <w:p>
      <w:pPr>
        <w:pStyle w:val="ListBullet"/>
      </w:pPr>
      <w:r>
        <w:t>Lecture complète (3-4 h) : tout, dans l’ordre. Méthode Landi : lis d’abord les « Key Insight » (une par section), puis les « Market illustration » datés, puis les démonstrations.</w:t>
      </w:r>
    </w:p>
    <w:p>
      <w:pPr>
        <w:pStyle w:val="ListBullet"/>
      </w:pPr>
      <w:r>
        <w:t>Ce qui doit devenir automatique : les formules de fin de chapitre + les 4 chiffres-mémoire (section 5) + les 3 phrases-clés en anglais.</w:t>
      </w:r>
    </w:p>
    <w:p>
      <w:pPr>
        <w:pStyle w:val="Heading1"/>
      </w:pPr>
      <w:r>
        <w:t>1 — La grille de Landi en 3 idées (parle sa langue)</w:t>
      </w:r>
    </w:p>
    <w:p>
      <w:pPr>
        <w:pStyle w:val="ListNumber"/>
      </w:pPr>
      <w:r>
        <w:t>Identifier les cash-flows futurs.</w:t>
      </w:r>
    </w:p>
    <w:p>
      <w:pPr>
        <w:pStyle w:val="ListNumber"/>
      </w:pPr>
      <w:r>
        <w:t>Les ramener à aujourd’hui (valeur actuelle).</w:t>
      </w:r>
    </w:p>
    <w:p>
      <w:pPr>
        <w:pStyle w:val="ListNumber"/>
      </w:pPr>
      <w:r>
        <w:t>Deux stratégies qui mènent au même cash ⇒ même prix, sinon arbitrage.</w:t>
      </w:r>
    </w:p>
    <w:p>
      <w:r>
        <w:t>Tout le livre = ces trois idées sous trois costumes : le dépôt (ch. 1), le forward (ch. 2), le future (ch. 3). Ses quatre expressions à réutiliser telles quelles quand tu lui parles :</w:t>
      </w:r>
    </w:p>
    <w:p>
      <w:pPr>
        <w:pStyle w:val="ListBullet"/>
      </w:pPr>
      <w:r>
        <w:t>« A forward is not a forecast » — un forward est un prix de financement.</w:t>
      </w:r>
    </w:p>
    <w:p>
      <w:pPr>
        <w:pStyle w:val="ListBullet"/>
      </w:pPr>
      <w:r>
        <w:t>« A carry check, not a free lunch » — un résidu d’écran n’est pas de l’argent gratuit.</w:t>
      </w:r>
    </w:p>
    <w:p>
      <w:pPr>
        <w:pStyle w:val="ListBullet"/>
      </w:pPr>
      <w:r>
        <w:t>« Match the formula to the quote » — la formule suit la convention de cotation.</w:t>
      </w:r>
    </w:p>
    <w:p>
      <w:pPr>
        <w:pStyle w:val="ListBullet"/>
      </w:pPr>
      <w:r>
        <w:t>« Same cash, same price » — sa définition de l’absence d’arbitrage.</w:t>
      </w:r>
    </w:p>
    <w:p>
      <w:pPr>
        <w:pStyle w:val="Heading1"/>
      </w:pPr>
      <w:r>
        <w:t>2 — Chapitre 1 : la valeur temps de l’argent</w:t>
      </w:r>
    </w:p>
    <w:p>
      <w:r>
        <w:t>Formules : FV = PV(1+r)^T (annuel) · FV = PV(1+r/m)^(mT) (m fois/an) · FV = PV·e^(rT) (continu) · PV = miroir · EAR = (1+r/m)^m − 1 · inversions : r = m((FV/PV)^(1/m) − 1), r = ln(FV/PV)/T.</w:t>
      </w:r>
    </w:p>
    <w:p>
      <w:pPr>
        <w:pStyle w:val="ListBullet"/>
      </w:pPr>
      <w:r>
        <w:t>La limite e (§1.3) : r = 10 %, 1 000 sur 1 an ⇒ 1 100,00 (annuel) / 1 102,50 (semestriel) / 1 104,71 (mensuel) / 1 105,16 (journalier) / 1 105,17 (continu).</w:t>
      </w:r>
    </w:p>
    <w:p>
      <w:pPr>
        <w:pStyle w:val="ListBullet"/>
      </w:pPr>
      <w:r>
        <w:t>EAR : 10 % semestriel ⇒ 10,25 % effectifs. Le nominal ment, l’effectif non.</w:t>
      </w:r>
    </w:p>
    <w:p>
      <w:pPr>
        <w:pStyle w:val="ListBullet"/>
      </w:pPr>
      <w:r>
        <w:t>« Same cash, four quoted rates » (§1.6, d’après Hull PQ 4.3) : 1 000 → 1 100 en 1 an ⇒ r = 10,00 % (annuel), 9,76 % (semestriel), 9,57 % (mensuel), 9,53 % (continu). Même argent, quatre citations — la citation décroît quand le compounding s’accélère.</w:t>
      </w:r>
    </w:p>
    <w:p>
      <w:pPr>
        <w:pStyle w:val="ListBullet"/>
      </w:pPr>
      <w:r>
        <w:t>Version 5 ans (§1.7) : 2 000 → 3 600 ⇒ 12,47 % / 12,11 % / 11,81 % / 11,76 %.</w:t>
      </w:r>
    </w:p>
    <w:p>
      <w:pPr>
        <w:pStyle w:val="ListBullet"/>
      </w:pPr>
      <w:r>
        <w:t>★ Gold carry check (§1.8, market illustration du 7 septembre 2026) : or spot 4 394 $/oz, forward proche 1 an 4 620,30 $ (GCQ7, T ≈ 0,97), r = 4,1398 % (1Y SOFR OIS, USOSFR1). Prix juste = 4 570,34 $ ⇒ résidu ≈ 49,96 $/oz = stockage + lease + day-count + mismatch OTC/future. « A carry check, not a free lunch. »</w:t>
      </w:r>
    </w:p>
    <w:p>
      <w:pPr>
        <w:pStyle w:val="ListBullet"/>
      </w:pPr>
      <w:r>
        <w:t>★ §1.9 : le bon r est l’OIS de la maturité, pas le SOFR overnight — sa formule : « pricer une année de loyer avec le taux d’hôtel d’hier ». SOFR = collatéralisé Treasury, quasi sans risque ; LIBOR (non collatéralisé) est mort en 2023.</w:t>
      </w:r>
    </w:p>
    <w:p>
      <w:r>
        <w:t>Key Insight à retenir : « The forward price is a financing price, not a forecast of the future spot. »</w:t>
      </w:r>
    </w:p>
    <w:p>
      <w:pPr>
        <w:pStyle w:val="Heading1"/>
      </w:pPr>
      <w:r>
        <w:t>3 — Chapitre 2 : les forwards (le cœur du livre)</w:t>
      </w:r>
    </w:p>
    <w:p>
      <w:r>
        <w:t>La structure mentale en 3 objets : K = prix de livraison figé au contrat · F0 = le prix de livraison qui vaut zéro à l’entrée (il bouge) · V = la valeur du contrat déjà signé.</w:t>
      </w:r>
    </w:p>
    <w:p>
      <w:pPr>
        <w:pStyle w:val="ListBullet"/>
      </w:pPr>
      <w:r>
        <w:t>P&amp;L = Qty × (S_T − K) × Position. Exemple GBP/USD (9 sept 2026) : K = 1,35465, 100 000 GBP, short ⇒ +1 000 $ si le spot finit à 1,34465 ; −2 000 $ à 1,37465 (Hull PQ 1.2, chiffres mis à jour). Le zéro somme est exact.</w:t>
      </w:r>
    </w:p>
    <w:p>
      <w:pPr>
        <w:pStyle w:val="ListBullet"/>
      </w:pPr>
      <w:r>
        <w:t>★ Prix juste sans revenu : continu F0 = S0·e^(rT) vs discret F0 = S0(1+r)^T. Même S0 = 30, même r = 5 %, T = 0,5 ⇒ 30,7595 vs 30,7409 (Hull PQ 5.2). « Two compounding dialects, two fair forwards » — et seul le discret existe vraiment en marché : le continu est une idéalisation.</w:t>
      </w:r>
    </w:p>
    <w:p>
      <w:pPr>
        <w:pStyle w:val="ListBullet"/>
      </w:pPr>
      <w:r>
        <w:t>★ Cash-and-carry or (9 sept 2026) : spot 4 401,56, forward 4 588,15, r = 4,1723 % (USOSFR1), T = 0,9637. Emprunter le prix de l’once, acheter, short le forward ⇒ prêt à rembourser 4 578,40 à maturité ⇒ lock de +9,75 $. Reverse si le forward est à 4 400 ⇒ +178,40 $.</w:t>
      </w:r>
    </w:p>
    <w:p>
      <w:pPr>
        <w:pStyle w:val="ListBullet"/>
      </w:pPr>
      <w:r>
        <w:t>La preuve par les trois spots (p. 20-21) : S_T = 4 700 / 4 588,15 / 4 400 — S_T + (K − S_T) = K dans toutes les colonnes. Le spot s’annule toujours ; le résidu était fixé le jour de l’entrée. La grille EST la démonstration.</w:t>
      </w:r>
    </w:p>
    <w:p>
      <w:pPr>
        <w:pStyle w:val="ListBullet"/>
      </w:pPr>
      <w:r>
        <w:t>Storage U : F0 = (S0 + U)(1+r)^T — le stockage pousse le juste vers le haut. Lease / revenu q : F0 = S0(1+r)^T/(1+q)^T (ou e^((r−q)T)) — le lease pousse vers le bas. ★ Ce « q » est ton pont vers les actions (dividendes) et vers l’emprunt d’actions (borrow).</w:t>
      </w:r>
    </w:p>
    <w:p>
      <w:pPr>
        <w:pStyle w:val="ListBullet"/>
      </w:pPr>
      <w:r>
        <w:t>★ Pourquoi pas de free lunch (p. 25-26) : l’histoire de la plomberie (futures indices CME dès 1982, Globex 1992, E-mini 1997) + la NOTE 5, la plus importante du livre pour toi : « After 2008, covered interest parity in G10 FX often shows persistent cross-currency bases » (Du, Tepper &amp; Verdelhan, JoF 2018). Funding, capital et bilan compris, ce n’est plus un lock sans risque. Les vrais arbitrages survivent loin du cœur liquide : OTC illiquides, EM, stress, jambes difficiles à financer.</w:t>
      </w:r>
    </w:p>
    <w:p>
      <w:pPr>
        <w:pStyle w:val="ListBullet"/>
      </w:pPr>
      <w:r>
        <w:t>Which financing rate (§2.9) : le fixed OIS de maturité = le bon input (USOSFR1 = 4,1723 % pour T ≈ 0,96), cité annuel Act/360, pas continu. Les formules du livre = « carry checks, not production pricing engines » — il le dit lui-même.</w:t>
      </w:r>
    </w:p>
    <w:p>
      <w:pPr>
        <w:pStyle w:val="ListBullet"/>
      </w:pPr>
      <w:r>
        <w:t>Prix vs valeur (§2.10, Hull PQ 5.1) : ancien long à K = 30,76 alors que F0 = 32 ⇒ V_long = e^(−rT)(F0 − K) ≈ 1,21 (version discrète : (F0 − K)/(1+r)^T). Le short est l’opposé exact. K ne bouge plus, F0 si.</w:t>
      </w:r>
    </w:p>
    <w:p>
      <w:pPr>
        <w:pStyle w:val="Heading1"/>
      </w:pPr>
      <w:r>
        <w:t>4 — Chapitre 3 : les futures (mêmes idées, autre salle)</w:t>
      </w:r>
    </w:p>
    <w:p>
      <w:r>
        <w:t>Trois choix de design : standardisation · clearing (la chambre est acheteur face à chaque vendeur) · settlement quotidien (le cash bouge tous les jours).</w:t>
      </w:r>
    </w:p>
    <w:p>
      <w:pPr>
        <w:pStyle w:val="ListBullet"/>
      </w:pPr>
      <w:r>
        <w:t>★ Margin argent (15 sept 2026, Hull PQ 2.1) : short 1 COMEX silver SIU6 (5 000 oz) à 63,030 $. Notional 315 150 $ pour 34 932 $ de marge initiale (maintenance 31 757). Coussin 3 175 ⇒ appel de marge dès +0,635 $/oz, soit 63,665 $. Un cent = 50 $ de variation margin. Non-réponse de l’appel = liquidation, sans attendre l’échéance.</w:t>
      </w:r>
    </w:p>
    <w:p>
      <w:pPr>
        <w:pStyle w:val="ListBullet"/>
      </w:pPr>
      <w:r>
        <w:t>Hedge éleveur (§3.6, Hull PQ 2.19) : 120 000 lb de bétail à vendre dans 3 mois, contrat LEZ6 = 44 000 lb, nearby 174,00 ¢/lb ⇒ 2,73 → 3 contrats short (sur-couverture de 12 000 lb). Pros : lock « up to basis ». Cons : basis risk local (le cash ≠ le CME), la variation margin réclame du cash AVANT la vente des bêtes.</w:t>
      </w:r>
    </w:p>
    <w:p>
      <w:pPr>
        <w:pStyle w:val="ListBullet"/>
      </w:pPr>
      <w:r>
        <w:t>★ Calendar cash-and-carry WTI : emprunter 77,970 × (1 + 4,5856 % × 0,5) = 79,758, acheter le baril, short décembre 72,710 ⇒ −7,05 $. Le marché paie pour porter le comptant : backwardation = carry négatif.</w:t>
      </w:r>
    </w:p>
    <w:p>
      <w:pPr>
        <w:pStyle w:val="ListBullet"/>
      </w:pPr>
      <w:r>
        <w:t>Contango vs backwardation (24 sept 2026) : WTI CLX6 95,13 $ → 69-70 $ à 2 ans = backwardation (rareté comptant) ; or oct. 2026 4 268,20 $ → oct. 2028 4 716,90 $ = contango (le financement gagne).</w:t>
      </w:r>
    </w:p>
    <w:p>
      <w:pPr>
        <w:pStyle w:val="Heading1"/>
      </w:pPr>
      <w:r>
        <w:t>5 — Les 4 chiffres-mémoire + 3 phrases à citer</w:t>
      </w:r>
    </w:p>
    <w:p>
      <w:pPr>
        <w:pStyle w:val="ListBullet"/>
      </w:pPr>
      <w:r>
        <w:t>9,75 $ — le résidu du cash-and-carry or (le « carry check » en une décimale).</w:t>
      </w:r>
    </w:p>
    <w:p>
      <w:pPr>
        <w:pStyle w:val="ListBullet"/>
      </w:pPr>
      <w:r>
        <w:t>1,35465 — le K GBP/USD de l’exemple P&amp;L.</w:t>
      </w:r>
    </w:p>
    <w:p>
      <w:pPr>
        <w:pStyle w:val="ListBullet"/>
      </w:pPr>
      <w:r>
        <w:t>30,7595 vs 30,7409 — les deux dialectes de compounding sur le même forward.</w:t>
      </w:r>
    </w:p>
    <w:p>
      <w:pPr>
        <w:pStyle w:val="ListBullet"/>
      </w:pPr>
      <w:r>
        <w:t>63,665 $ (et Δ = 0,635) — le prix d’appel de marge du short argent.</w:t>
      </w:r>
    </w:p>
    <w:p>
      <w:r>
        <w:t>Les trois phrases à placer telles quelles, en anglais, dans une conversation :</w:t>
      </w:r>
    </w:p>
    <w:p>
      <w:pPr>
        <w:pStyle w:val="ListNumber"/>
      </w:pPr>
      <w:r>
        <w:t>“A forward price is a financing price, not a forecast of the future spot.”</w:t>
      </w:r>
    </w:p>
    <w:p>
      <w:pPr>
        <w:pStyle w:val="ListNumber"/>
      </w:pPr>
      <w:r>
        <w:t>“The same cash flows imply four different quoted rates — match the formula to the quote.”</w:t>
      </w:r>
    </w:p>
    <w:p>
      <w:pPr>
        <w:pStyle w:val="ListNumber"/>
      </w:pPr>
      <w:r>
        <w:t>“After 2008, CIP in G10 FX often shows persistent cross-currency bases: the gap is bank funding, capital and balance sheet — not a free lunch.”</w:t>
      </w:r>
    </w:p>
    <w:p>
      <w:pPr>
        <w:pStyle w:val="Heading1"/>
      </w:pPr>
      <w:r>
        <w:t>6 — Les frontières du livre = ton terrain « j’en veux plus »</w:t>
      </w:r>
    </w:p>
    <w:p>
      <w:r>
        <w:t>La stratégie entière tient en une phrase : tu ne poses pas une question de cours, tu poses une question QUI CONTINUE le livre. Le livre s’arrête exactement ici :</w:t>
      </w:r>
    </w:p>
    <w:p>
      <w:pPr>
        <w:pStyle w:val="ListBullet"/>
      </w:pPr>
      <w:r>
        <w:t>FX : deux taux, points de swap, valeur T+2, cross-currency basis (nommé p. 26, jamais traité), NDF — rien de développé.</w:t>
      </w:r>
    </w:p>
    <w:p>
      <w:pPr>
        <w:pStyle w:val="ListBullet"/>
      </w:pPr>
      <w:r>
        <w:t>Actions : « q » est un lease abstrait — pas de prévision de dividendes, pas de coût d’emprunt d’actions, pas de hard-to-borrow, pas de repo specials.</w:t>
      </w:r>
    </w:p>
    <w:p>
      <w:pPr>
        <w:pStyle w:val="ListBullet"/>
      </w:pPr>
      <w:r>
        <w:t>Taux : pas de courbes, pas de bootstrapping, pas de collatéral/CSA (il assume : « carry checks, not production pricing engines »).</w:t>
      </w:r>
    </w:p>
    <w:p>
      <w:pPr>
        <w:pStyle w:val="ListBullet"/>
      </w:pPr>
      <w:r>
        <w:t>Options : promises du début du ch. 2 (« they reappear for forwards and options in later chapters ») — absentes du volume. Demander des nouvelles du tome 2 est une excellente question de fan.</w:t>
      </w:r>
    </w:p>
    <w:p>
      <w:pPr>
        <w:pStyle w:val="Heading1"/>
      </w:pPr>
      <w:r>
        <w:t>7 — Questions type à poser (le cœur du dossier)</w:t>
      </w:r>
    </w:p>
    <w:p>
      <w:pPr>
        <w:pStyle w:val="Heading2"/>
      </w:pPr>
      <w:r>
        <w:t>Les 3 règles d’or</w:t>
      </w:r>
    </w:p>
    <w:p>
      <w:pPr>
        <w:pStyle w:val="ListNumber"/>
      </w:pPr>
      <w:r>
        <w:t>UNE question par échange. Les profs se souviennent de qui pose juste, pas de qui inonde.</w:t>
      </w:r>
    </w:p>
    <w:p>
      <w:pPr>
        <w:pStyle w:val="ListNumber"/>
      </w:pPr>
      <w:r>
        <w:t>Montre TA réponse avant d’ouvrir la sienne (« ma lecture est X — je me trompe où ? »). C’est ça, « brillant » : un travail visible, pas une déclaration.</w:t>
      </w:r>
    </w:p>
    <w:p>
      <w:pPr>
        <w:pStyle w:val="ListNumber"/>
      </w:pPr>
      <w:r>
        <w:t>La demande de coaching vient APRÈS sa réponse technique — jamais dans le même message. Question 1 ou 2 d’abord, coaching en message 2 (ou à la fin de l’échange oral).</w:t>
      </w:r>
    </w:p>
    <w:p>
      <w:pPr>
        <w:pStyle w:val="Heading2"/>
      </w:pPr>
      <w:r>
        <w:t>Question 1 — FX (la signature)</w:t>
      </w:r>
    </w:p>
    <w:p>
      <w:r>
        <w:t>FR : « Dans votre gold carry check, un seul taux de financement suffit parce que l’or n’a qu’une devise. Ma lecture du change : F = S(1+r_d·d)/(1+r_b·d) — deux taux, deux courbes — et votre note de la page 26 montre que depuis 2008 la CIP fuit par les cross-currency bases (Du-Tepper-Verdelhan). Ma question : côté desk, le basis c’est du pricing ou du funding ? Quand on cote un EUR/USD 6M, on part de la formule et on « ajoute » le basis, ou on part de son coût de financement en dollars et la formule vient après ? »</w:t>
      </w:r>
    </w:p>
    <w:p>
      <w:r>
        <w:t>EN : “Your gold carry check needs a single financing rate because gold has one currency. My FX reading: F = S(1+r_d·d)/(1+r_b·d) — two rates, two curves — and your page-26 note shows CIP leaking through cross-currency bases since 2008. Desk question: is the basis pricing or funding? When you quote a 6M EUR/USD, do you start from the formula and add basis, or from your dollar funding cost and let the formula follow?”</w:t>
      </w:r>
    </w:p>
    <w:p>
      <w:r>
        <w:t>Pourquoi ça marche : tu cites le chapitre, le chiffre et la note 5 ; tu dépasses le livre avec ta formule ; et tu lui tends un choix binaire — un prof répond toujours à un dilemma formulé par quelqu’un qui a visiblement bossé.</w:t>
      </w:r>
    </w:p>
    <w:p>
      <w:r>
        <w:t>Ce qu’il va répondre (prépare la relance) : « les deux — le basis EST le coût de financement », suivi d’une anecdote 2008 ou 2020. Relance : « et en bout de chaîne, c’est le corporate ou le market maker qui le paie ? »</w:t>
      </w:r>
    </w:p>
    <w:p>
      <w:pPr>
        <w:pStyle w:val="Heading2"/>
      </w:pPr>
      <w:r>
        <w:t>Question 2 — Equity desk</w:t>
      </w:r>
    </w:p>
    <w:p>
      <w:r>
        <w:t>FR : « Votre chapitre traite le lease comme un q dans F0 = S(1+r)^T/(1+q)^T. Sur un desk actions, la jambe q se scinde en trois : le dividende attendu (avec son risque de prévision), le coût d’emprunt d’actions, et le repo spécial quand la valeur devient hard-to-borrow. Ma question : sur une action très empruntée, comment le forward 6M s’écrase-t-il réellement — les trois s’additionnent, ou l’un écrase les autres ? — et vous le hedger comment, sans short naked ? »</w:t>
      </w:r>
    </w:p>
    <w:p>
      <w:r>
        <w:t>EN : “Your chapter treats lease as a q inside F0 = S(1+r)^T/(1+q)^T. On an equity desk that q leg splits into three: expected dividends (with forecasting risk), stock borrow cost, and the special repo rate on hard-to-borrow names. On a heavily borrowed stock, how does the 6M forward actually collapse — do all three stack, or does one dominate? And how do you hedge it without a naked short?”</w:t>
      </w:r>
    </w:p>
    <w:p>
      <w:r>
        <w:t>Pourquoi ça marche : le triptyque dividendes / borrow / special = vocabulaire de desk absent du livre (c’est ta preuve « j’en veux plus ») ; la question de hiérarchie + le hedge forcent une réponse de praticien, pas de prof.</w:t>
      </w:r>
    </w:p>
    <w:p>
      <w:r>
        <w:t>Ce qu’il va répondre : un classement (le borrow domine sur les small caps en tension, les dividendes sur les gros indices — le forward peut passer sous le spot « financé ») et des instruments (single stock futures, TRS, equity swaps). Note les noms : c’est ton vocabulaire d’entretien.</w:t>
      </w:r>
    </w:p>
    <w:p>
      <w:pPr>
        <w:pStyle w:val="Heading2"/>
      </w:pPr>
      <w:r>
        <w:t>Question 3 — la demande de coaching (message 2, jamais avant)</w:t>
      </w:r>
    </w:p>
    <w:p>
      <w:r>
        <w:t>FR : « Votre dernière réponse m’a appris en dix lignes ce que trois semaines de lecture ne me donnaient pas. Je prépare seul les process FX pour janvier 2027 et votre livre est mon socle. Accepteriez-vous de me coacher léger : une question courte quand je bloque, ou quinze minutes par mois ? Je ne vous demande pas de cours — juste un regard de praticien de temps en temps. »</w:t>
      </w:r>
    </w:p>
    <w:p>
      <w:r>
        <w:t>EN : “Your last answer taught me in ten lines what three weeks of reading could not. I’m preparing the FX recruiting processes alone for January 2027, and your book is my foundation. Would you coach me lightly — one short question when I get stuck, or fifteen minutes a month? Not classes — just a practitioner’s eye now and then.”</w:t>
      </w:r>
    </w:p>
    <w:p>
      <w:r>
        <w:t>Variantes : en amphi (« quinze minutes après votre cours de la semaine prochaine ? ») · par mail (le script ci-dessus) · LinkedIn (Question 1 d’abord, coaching en message 2).</w:t>
      </w:r>
    </w:p>
    <w:p>
      <w:r>
        <w:t>Ne fais JAMAIS : « pouvez-vous être mon mentor ? » (demande illimitée = refus poli) · « j’ai besoin d’aide » (demandeur ≠ brillant) · cinq questions d’un coup (devoirs) · mentionner une aide extérieure — « j’ai travaillé seul » se prouve par la précision des questions, pas par la déclaration.</w:t>
      </w:r>
    </w:p>
    <w:p>
      <w:pPr>
        <w:pStyle w:val="Heading2"/>
      </w:pPr>
      <w:r>
        <w:t>Questions de secours (une par frontière, pour les échanges suivants)</w:t>
      </w:r>
    </w:p>
    <w:p>
      <w:pPr>
        <w:pStyle w:val="ListNumber"/>
      </w:pPr>
      <w:r>
        <w:t>« Votre histoire de la plomberie (CME 1982, Globex 1992) s’arrête aux actions. Sur les devises, l’équivalent c’est EBS/Reuters puis les matching engines des années 2010 — et le basis a survécu à tout ça. C’est donc une nouvelle couche de carry, comme le lease de l’or ? »</w:t>
      </w:r>
    </w:p>
    <w:p>
      <w:pPr>
        <w:pStyle w:val="ListNumber"/>
      </w:pPr>
      <w:r>
        <w:t>« Le K fixe face au F0 vivant : pour un desk, V c’est le mark-to-market collatéralisé. Le CSA — la devise de marge — déplace-t-il le forward juste ? Autrement dit, le basis c’est aussi un prix de collatéral ? »</w:t>
      </w:r>
    </w:p>
    <w:p>
      <w:pPr>
        <w:pStyle w:val="ListNumber"/>
      </w:pPr>
      <w:r>
        <w:t>« La variation margin quotidienne et les dividendes discrets cassent la linéarité du carry sur un book de futures actions : le bon instrument c’est le dividend futures ou le calendar d’options ? »</w:t>
      </w:r>
    </w:p>
    <w:p>
      <w:pPr>
        <w:pStyle w:val="ListNumber"/>
      </w:pPr>
      <w:r>
        <w:t>« Votre hedge éleveur laisse un basis risk “up to basis”. Sur un hedge corporate FX, l’équivalent c’est le cross-currency basis lui-même : le corporate qui se couvre en forward hérite-t-il du basis de sa banque ? »</w:t>
      </w:r>
    </w:p>
    <w:p>
      <w:pPr>
        <w:pStyle w:val="ListNumber"/>
      </w:pPr>
      <w:r>
        <w:t>« Vous annoncez des chapitres options : le smile FX aurait-il le même statut que le lease rate — le résidu que les taux n’expliquent pas, à mettre au prix plus tard ? »</w:t>
      </w:r>
    </w:p>
    <w:p>
      <w:pPr>
        <w:pStyle w:val="ListNumber"/>
      </w:pPr>
      <w:r>
        <w:t>« Votre cash-and-carry suppose de pouvoir emprunter le cash ET l’actif. Sur une action introuvable à emprunter, c’est le repo spécial qui devient le vrai r : le forward juste devient un prix de rareté ? »</w:t>
      </w:r>
    </w:p>
    <w:p>
      <w:pPr>
        <w:pStyle w:val="Heading1"/>
      </w:pPr>
      <w:r>
        <w:t>8 — Plan d’attaque express (contact sous 48 h)</w:t>
      </w:r>
    </w:p>
    <w:p>
      <w:pPr>
        <w:pStyle w:val="ListBullet"/>
      </w:pPr>
      <w:r>
        <w:t>Heures 0-2 : lire §1.8-1.10, tout le chapitre 2, §3.7-3.9. Surligner les Key Insight. Python en diagonale.</w:t>
      </w:r>
    </w:p>
    <w:p>
      <w:pPr>
        <w:pStyle w:val="ListBullet"/>
      </w:pPr>
      <w:r>
        <w:t>Mémoriser : les 4 chiffres de la section 5, les 3 phrases EN, et TA formule FX à deux taux (elle doit sortir sans réfléchir).</w:t>
      </w:r>
    </w:p>
    <w:p>
      <w:pPr>
        <w:pStyle w:val="ListBullet"/>
      </w:pPr>
      <w:r>
        <w:t>Rédiger Question 1 et Question 2 par écrit — six lignes maximum chacune, avec tes mots.</w:t>
      </w:r>
    </w:p>
    <w:p>
      <w:pPr>
        <w:pStyle w:val="ListBullet"/>
      </w:pPr>
      <w:r>
        <w:t>Envoyer UNE question (la 1 ou la 2, selon le visage que tu veux lui montrer : FX ou equity). Attendre sa réponse. Le coaching = message 2.</w:t>
      </w:r>
    </w:p>
    <w:p>
      <w:pPr>
        <w:pStyle w:val="ListBullet"/>
      </w:pPr>
      <w:r>
        <w:t>Le reste du livre (§1.2-1.7, §3.1-3.6) se lit APRÈS le contact — il te servira pour les relances et pour tes propres entretiens.</w:t>
      </w:r>
    </w:p>
    <w:p/>
    <w:p>
      <w:r>
        <w:t>Rappel : le but n’est pas qu’il t’enseigne le livre — c’est qu’il te voie comme quelqu’un qui l’a déjà dépassé. À partir de là, « coacher léger » est la seule chose qu’il puisse t’offrir.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