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rial" w:hAnsi="Arial"/>
          <w:b/>
          <w:i w:val="0"/>
          <w:color w:val="08A5A5"/>
          <w:sz w:val="16"/>
        </w:rPr>
        <w:t>CHAPTER 10  ·  THE BANKING BUSINESS</w:t>
      </w:r>
      <w:r>
        <w:rPr>
          <w:rFonts w:ascii="Arial" w:hAnsi="Arial"/>
          <w:b/>
          <w:i w:val="0"/>
          <w:color w:val="667085"/>
          <w:sz w:val="16"/>
        </w:rPr>
        <w:t xml:space="preserve">     |     SLIDE 9</w:t>
      </w:r>
    </w:p>
    <w:p>
      <w:pPr>
        <w:spacing w:before="0" w:after="20" w:line="228" w:lineRule="auto"/>
      </w:pPr>
      <w:r>
        <w:rPr>
          <w:rFonts w:ascii="Arial" w:hAnsi="Arial"/>
          <w:b/>
          <w:i w:val="0"/>
          <w:color w:val="172B4D"/>
          <w:sz w:val="40"/>
        </w:rPr>
        <w:t>Securitization fuels the growth of subprime lending</w:t>
      </w:r>
    </w:p>
    <w:p>
      <w:pPr>
        <w:spacing w:before="0" w:after="60" w:line="240" w:lineRule="auto"/>
      </w:pPr>
      <w:r>
        <w:rPr>
          <w:rFonts w:ascii="Arial" w:hAnsi="Arial"/>
          <w:b w:val="0"/>
          <w:i w:val="0"/>
          <w:color w:val="667085"/>
          <w:sz w:val="19"/>
        </w:rPr>
        <w:t>Through securitization, banks were able to originate and distribute a growing volume of mortgage loans, including riskier subprime mortgages.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738360" cy="4420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9_chart_bod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44204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09"/>
        <w:gridCol w:w="7909"/>
      </w:tblGrid>
      <w:tr>
        <w:tc>
          <w:tcPr>
            <w:tcW w:type="dxa" w:w="7516"/>
            <w:shd w:fill="FBF4DD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i w:val="0"/>
                <w:color w:val="08A5A5"/>
                <w:sz w:val="16"/>
              </w:rPr>
              <w:t>KEY TAKEAWAY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243447"/>
                <w:sz w:val="17"/>
              </w:rPr>
              <w:t>Securitization made it possible to originate, pool and distribute a much larger volume of subprime mortgages.</w:t>
            </w:r>
          </w:p>
        </w:tc>
        <w:tc>
          <w:tcPr>
            <w:tcW w:type="dxa" w:w="7516"/>
            <w:shd w:fill="E8F5F3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i w:val="0"/>
                <w:color w:val="08A5A5"/>
                <w:sz w:val="16"/>
              </w:rPr>
              <w:t>SPEAKER NOTE — OUTSIDE THE SLIDE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243447"/>
                <w:sz w:val="17"/>
              </w:rPr>
              <w:t>Securitization enabled banks to originate more mortgage loans by packaging and selling them to investors. As a result, subprime mortgage originations increased dramatically between 2001 and 2006.</w:t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Arial" w:hAnsi="Arial"/>
          <w:b/>
          <w:i w:val="0"/>
          <w:color w:val="667085"/>
          <w:sz w:val="14"/>
        </w:rPr>
        <w:t xml:space="preserve">Sources: </w:t>
      </w:r>
      <w:r>
        <w:rPr>
          <w:rFonts w:ascii="Arial" w:hAnsi="Arial"/>
          <w:b w:val="0"/>
          <w:i w:val="0"/>
          <w:color w:val="667085"/>
          <w:sz w:val="14"/>
        </w:rPr>
        <w:t>Ashcraft &amp; Schuermann, Federal Reserve Bank of New York Staff Report 318 (2008), Table 1; Inside Mortgage Finance. Share calculated from the same table.</w:t>
      </w:r>
    </w:p>
    <w:p>
      <w:pPr>
        <w:spacing w:before="20" w:after="0" w:line="240" w:lineRule="auto"/>
      </w:pPr>
      <w:r>
        <w:rPr>
          <w:rFonts w:ascii="Arial" w:hAnsi="Arial"/>
          <w:b w:val="0"/>
          <w:i/>
          <w:color w:val="667085"/>
          <w:sz w:val="13"/>
        </w:rPr>
        <w:t>Editable in Word: headings, takeaways, notes and sources can be rewritten; the chart body is an inserted image that can be replaced.</w:t>
      </w:r>
    </w:p>
    <w:p>
      <w:r>
        <w:br w:type="page"/>
      </w:r>
    </w:p>
    <w:p>
      <w:pPr>
        <w:spacing w:before="0" w:after="20" w:line="240" w:lineRule="auto"/>
      </w:pPr>
      <w:r>
        <w:rPr>
          <w:rFonts w:ascii="Arial" w:hAnsi="Arial"/>
          <w:b/>
          <w:i w:val="0"/>
          <w:color w:val="08A5A5"/>
          <w:sz w:val="16"/>
        </w:rPr>
        <w:t>CHAPTER 10  ·  THE BANKING BUSINESS</w:t>
      </w:r>
      <w:r>
        <w:rPr>
          <w:rFonts w:ascii="Arial" w:hAnsi="Arial"/>
          <w:b/>
          <w:i w:val="0"/>
          <w:color w:val="667085"/>
          <w:sz w:val="16"/>
        </w:rPr>
        <w:t xml:space="preserve">     |     SLIDE 10</w:t>
      </w:r>
    </w:p>
    <w:p>
      <w:pPr>
        <w:spacing w:before="0" w:after="20" w:line="228" w:lineRule="auto"/>
      </w:pPr>
      <w:r>
        <w:rPr>
          <w:rFonts w:ascii="Arial" w:hAnsi="Arial"/>
          <w:b/>
          <w:i w:val="0"/>
          <w:color w:val="172B4D"/>
          <w:sz w:val="40"/>
        </w:rPr>
        <w:t>Housing prices fall, mortgage losses rise</w:t>
      </w:r>
    </w:p>
    <w:p>
      <w:pPr>
        <w:spacing w:before="0" w:after="60" w:line="240" w:lineRule="auto"/>
      </w:pPr>
      <w:r>
        <w:rPr>
          <w:rFonts w:ascii="Arial" w:hAnsi="Arial"/>
          <w:b w:val="0"/>
          <w:i w:val="0"/>
          <w:color w:val="667085"/>
          <w:sz w:val="19"/>
        </w:rPr>
        <w:t>The housing downturn weakens borrower equity and refinancing capacity before mortgage losses spread through the system.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738360" cy="442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0_chart_bod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44204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09"/>
        <w:gridCol w:w="7909"/>
      </w:tblGrid>
      <w:tr>
        <w:tc>
          <w:tcPr>
            <w:tcW w:type="dxa" w:w="7516"/>
            <w:shd w:fill="FBF4DD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i w:val="0"/>
                <w:color w:val="08A5A5"/>
                <w:sz w:val="16"/>
              </w:rPr>
              <w:t>KEY TAKEAWAY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243447"/>
                <w:sz w:val="17"/>
              </w:rPr>
              <w:t>Falling house prices increased mortgage defaults, leading to losses on mortgage-backed securities (MBS) held throughout the financial system.</w:t>
            </w:r>
          </w:p>
        </w:tc>
        <w:tc>
          <w:tcPr>
            <w:tcW w:type="dxa" w:w="7516"/>
            <w:shd w:fill="E8F5F3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i w:val="0"/>
                <w:color w:val="08A5A5"/>
                <w:sz w:val="16"/>
              </w:rPr>
              <w:t>SPEAKER NOTE — OUTSIDE THE SLIDE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243447"/>
                <w:sz w:val="17"/>
              </w:rPr>
              <w:t>When house prices started falling after 2006, many subprime borrowers were unable to refinance or repay their mortgages. Delinquencies rose sharply, reducing the value of mortgage-backed securities and generating losses across the financial system.</w:t>
              <w:br/>
              <w:t>Narrative bridge: subprime growth → securitization boom → mortgage exposure → housing downturn → defaults → MBS losses → financial crisis.</w:t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Arial" w:hAnsi="Arial"/>
          <w:b/>
          <w:i w:val="0"/>
          <w:color w:val="667085"/>
          <w:sz w:val="14"/>
        </w:rPr>
        <w:t xml:space="preserve">Sources: </w:t>
      </w:r>
      <w:r>
        <w:rPr>
          <w:rFonts w:ascii="Arial" w:hAnsi="Arial"/>
          <w:b w:val="0"/>
          <w:i w:val="0"/>
          <w:color w:val="667085"/>
          <w:sz w:val="14"/>
        </w:rPr>
        <w:t>S&amp;P/Case-Shiller U.S. National HPI, FRED series CSUSHPINSA; Federal Reserve FEDS 2008-59, FEDS 2008-63 and May 2007 speech; First American LoanPerformance.</w:t>
      </w:r>
    </w:p>
    <w:p>
      <w:pPr>
        <w:spacing w:before="20" w:after="0" w:line="240" w:lineRule="auto"/>
      </w:pPr>
      <w:r>
        <w:rPr>
          <w:rFonts w:ascii="Arial" w:hAnsi="Arial"/>
          <w:b w:val="0"/>
          <w:i/>
          <w:color w:val="667085"/>
          <w:sz w:val="13"/>
        </w:rPr>
        <w:t>Editable in Word: headings, takeaways, notes and sources can be rewritten; the chart body is an inserted image that can be replaced.</w:t>
      </w:r>
    </w:p>
    <w:sectPr w:rsidR="00FC693F" w:rsidRPr="0006063C" w:rsidSect="00034616">
      <w:pgSz w:w="16838" w:h="11906" w:orient="landscape"/>
      <w:pgMar w:top="454" w:right="510" w:bottom="454" w:left="51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2434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 — Slides 9–10 — Editable Word insert</dc:title>
  <dc:subject>Subprime lending, securitization and mortgage losses</dc:subject>
  <dc:creator>SKEMA Money &amp; Banking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