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CORPORATE VALUATION - Formules Fondamentales</w:t>
      </w:r>
    </w:p>
    <w:p>
      <w:r>
        <w:t>Résumé clair des formules fondamentales à retenir ainsi que leur intérêt stratégique en analyse financière</w:t>
      </w:r>
    </w:p>
    <w:p>
      <w:r>
        <w:br/>
      </w:r>
    </w:p>
    <w:p>
      <w:pPr>
        <w:pStyle w:val="Heading2"/>
      </w:pPr>
      <w:r>
        <w:t>1. EBIT Normalisé</w:t>
      </w:r>
    </w:p>
    <w:p>
      <w:r>
        <w:rPr>
          <w:b/>
        </w:rPr>
        <w:t xml:space="preserve">Formule : </w:t>
      </w:r>
      <w:r>
        <w:t>EBIT déclaré + Charges de restructuration ponctuelles</w:t>
      </w:r>
    </w:p>
    <w:p>
      <w:r>
        <w:rPr>
          <w:b/>
        </w:rPr>
        <w:t xml:space="preserve">Intérêt : </w:t>
      </w:r>
      <w:r>
        <w:t>Neutraliser les éléments exceptionnels ou non récurrents pour obtenir une image fidèle et comparable de la rentabilité opérationnelle de base. L'objectif est d'obtenir une profitabilité opérationnelle soutenable dans le temps.</w:t>
      </w:r>
    </w:p>
    <w:p/>
    <w:p>
      <w:pPr>
        <w:pStyle w:val="Heading2"/>
      </w:pPr>
      <w:r>
        <w:t>2. NOPAT (Net Operating Profit After Tax)</w:t>
      </w:r>
    </w:p>
    <w:p>
      <w:r>
        <w:rPr>
          <w:b/>
        </w:rPr>
        <w:t xml:space="preserve">Formule : </w:t>
      </w:r>
      <w:r>
        <w:t>EBIT normalisé × (1 - Taux d'impôt opérationnel)</w:t>
      </w:r>
    </w:p>
    <w:p>
      <w:r>
        <w:rPr>
          <w:b/>
        </w:rPr>
        <w:t xml:space="preserve">Intérêt : </w:t>
      </w:r>
      <w:r>
        <w:t>Mesurer le bénéfice net d'exploitation après impôts, sans l'influence de la structure financière (avant frais financiers).</w:t>
      </w:r>
    </w:p>
    <w:p/>
    <w:p>
      <w:pPr>
        <w:pStyle w:val="Heading2"/>
      </w:pPr>
      <w:r>
        <w:t>3. FCFF (Free Cash Flow to Firm)</w:t>
      </w:r>
    </w:p>
    <w:p>
      <w:r>
        <w:rPr>
          <w:b/>
        </w:rPr>
        <w:t xml:space="preserve">Formule : </w:t>
      </w:r>
      <w:r>
        <w:t>NOPAT + D&amp;A - CapEx - Augmentation du BFR d'exploitation</w:t>
      </w:r>
    </w:p>
    <w:p>
      <w:r>
        <w:rPr>
          <w:b/>
        </w:rPr>
        <w:t xml:space="preserve">Intérêt : </w:t>
      </w:r>
      <w:r>
        <w:t>Calculer le cash-flow réellement disponible pour l'ensemble des apporteurs de capitaux (créanciers et actionnaires) après couverture des besoins d'investissement et de fonctionnement.</w:t>
      </w:r>
    </w:p>
    <w:p/>
    <w:p>
      <w:pPr>
        <w:pStyle w:val="Heading2"/>
      </w:pPr>
      <w:r>
        <w:t>4. Taux de Réinvestissement (Reinvestment Rate)</w:t>
      </w:r>
    </w:p>
    <w:p>
      <w:r>
        <w:rPr>
          <w:b/>
        </w:rPr>
        <w:t xml:space="preserve">Formule : </w:t>
      </w:r>
      <w:r>
        <w:t>(CapEx - D&amp;A + Augmentation du BFR d'exploitation) / NOPAT</w:t>
      </w:r>
    </w:p>
    <w:p>
      <w:r>
        <w:rPr>
          <w:b/>
        </w:rPr>
        <w:t xml:space="preserve">Intérêt : </w:t>
      </w:r>
      <w:r>
        <w:t>Déterminer la part du bénéfice opérationnel (NOPAT) que l'entreprise choisit de réinjecter dans son activité pour financer sa croissance future.</w:t>
      </w:r>
    </w:p>
    <w:p/>
    <w:p>
      <w:pPr>
        <w:pStyle w:val="Heading2"/>
      </w:pPr>
      <w:r>
        <w:t>5. ROIC (Return on Invested Capital)</w:t>
      </w:r>
    </w:p>
    <w:p>
      <w:r>
        <w:rPr>
          <w:b/>
        </w:rPr>
        <w:t xml:space="preserve">Formule : </w:t>
      </w:r>
      <w:r>
        <w:t>NOPAT / Capitaux investis au début (Beginning invested capital)</w:t>
      </w:r>
    </w:p>
    <w:p>
      <w:r>
        <w:rPr>
          <w:b/>
        </w:rPr>
        <w:t xml:space="preserve">Intérêt : </w:t>
      </w:r>
      <w:r>
        <w:t>Évaluer l'efficacité de l'entreprise à générer du profit à partir de l'ensemble de son capital engagé (mesure centrale de la performance économique).</w:t>
      </w:r>
    </w:p>
    <w:p/>
    <w:p>
      <w:pPr>
        <w:pStyle w:val="Heading2"/>
      </w:pPr>
      <w:r>
        <w:t>6. Croissance Fondamentale (g)</w:t>
      </w:r>
    </w:p>
    <w:p>
      <w:r>
        <w:rPr>
          <w:b/>
        </w:rPr>
        <w:t xml:space="preserve">Formule : </w:t>
      </w:r>
      <w:r>
        <w:t>ROIC × Taux de réinvestissement</w:t>
      </w:r>
    </w:p>
    <w:p>
      <w:r>
        <w:rPr>
          <w:b/>
        </w:rPr>
        <w:t xml:space="preserve">Intérêt : </w:t>
      </w:r>
      <w:r>
        <w:t>Estimer le taux de croissance organique soutenable à long terme que l'entreprise peut générer grâce à la rentabilité de ses investissements.</w:t>
      </w:r>
    </w:p>
    <w:p/>
    <w:p>
      <w:pPr>
        <w:pStyle w:val="Heading2"/>
      </w:pPr>
      <w:r>
        <w:t>7. WACC (Coût moyen pondéré du capital / Taux d'actualisation)</w:t>
      </w:r>
    </w:p>
    <w:p>
      <w:r>
        <w:rPr>
          <w:b/>
        </w:rPr>
        <w:t xml:space="preserve">Formule : </w:t>
      </w:r>
      <w:r>
        <w:t>(Poids des capitaux propres × Coût des fonds propres) + (Poids de la dette × Coût de la dette × (1 - Taux d'impôt))</w:t>
      </w:r>
    </w:p>
    <w:p>
      <w:r>
        <w:rPr>
          <w:b/>
        </w:rPr>
        <w:t xml:space="preserve">Intérêt : </w:t>
      </w:r>
      <w:r>
        <w:t>Servir de taux d'actualisation pour ramener les flux futurs (FCFF) à leur valeur actuelle, en reflétant le risque global et le coût de financement de l'entreprise. Les pondérations doivent être en valeurs de marché (pas en valeurs comptables).</w:t>
      </w:r>
    </w:p>
    <w:p/>
    <w:p>
      <w:r>
        <w:br w:type="page"/>
      </w:r>
    </w:p>
    <w:p>
      <w:pPr>
        <w:pStyle w:val="Heading1"/>
      </w:pPr>
      <w:r>
        <w:t>Notes Méthodologiques - Points clés du cours</w:t>
      </w:r>
    </w:p>
    <w:p>
      <w:pPr>
        <w:pStyle w:val="ListBullet"/>
      </w:pPr>
      <w:r>
        <w:t>Normalisation : Toujours retraiter les éléments exceptionnels (restructuration, litiges, cessions) pour obtenir un EBIT soutenable. Une rentabilité négative due à une charge one-off ne doit pas pénaliser la valorisation si elle est non récurrente.</w:t>
      </w:r>
    </w:p>
    <w:p>
      <w:pPr>
        <w:pStyle w:val="ListBullet"/>
      </w:pPr>
      <w:r>
        <w:t>Hypothèses défendables : Toute hypothèse de croissance ou de marge doit être sourcée (earnings calls, MD&amp;A, guidance management, plans d'investissement) - pas d'hypothèse ad hoc.</w:t>
      </w:r>
    </w:p>
    <w:p>
      <w:pPr>
        <w:pStyle w:val="ListBullet"/>
      </w:pPr>
      <w:r>
        <w:t>FCFF : Point de départ = NOPAT. Soustraire le réinvestissement net (CapEx net de D&amp;A + Δ BFR). CapEx et D&amp;A proviennent du tableau de flux de trésorerie.</w:t>
      </w:r>
    </w:p>
    <w:p>
      <w:pPr>
        <w:pStyle w:val="ListBullet"/>
      </w:pPr>
      <w:r>
        <w:t>ROIC vs Reinvestment Rate : ROIC = efficacité, Reinvestment Rate = intensité de réinvestissement. g = ROIC × Reinvestment Rate uniquement si ROIC stable.</w:t>
      </w:r>
    </w:p>
    <w:p>
      <w:pPr>
        <w:pStyle w:val="ListBullet"/>
      </w:pPr>
      <w:r>
        <w:t>WACC : Utiliser les valeurs de marché pour les pondérations (capitalisation boursière pour equity, valeur de marché de la dette / prix des obligations). La valeur comptable est historique et non pertinente pour la valorisation.</w:t>
      </w:r>
    </w:p>
    <w:p>
      <w:pPr>
        <w:pStyle w:val="ListBullet"/>
      </w:pPr>
      <w:r>
        <w:t>Coût de la dette : Taux sans risque (même devise que les cash-flows) + spread de crédit (rating, probabilité de défaut). Tenir compte du bouclier fiscal (× (1-T)).</w:t>
      </w:r>
    </w:p>
    <w:p>
      <w:pPr>
        <w:pStyle w:val="ListBullet"/>
      </w:pPr>
      <w:r>
        <w:t>Coût des fonds propres : CAPM ajusté du risque pays si exposition à des marchés émergents (exposition basée sur le lieu des revenus, pas seulement le siège).</w:t>
      </w:r>
    </w:p>
    <w:p>
      <w:pPr>
        <w:pStyle w:val="ListBullet"/>
      </w:pPr>
      <w:r>
        <w:t>Structure cible : Si la structure actuelle est différente de la structure cible (cas fréquent pour les growth companies), utiliser la structure cible des comparables / pairs pour le WACC.</w:t>
      </w:r>
    </w:p>
    <w:p>
      <w:pPr>
        <w:pStyle w:val="ListBullet"/>
      </w:pPr>
      <w:r>
        <w:t>Projet : Travailler en parallèle session par session sur une entreprise réelle. Ne pas attendre la dernière minute. Préparer les états financiers pour la valorisation dès la Session 1.</w:t>
      </w:r>
    </w:p>
    <w:p/>
    <w:p>
      <w:r>
        <w:rPr>
          <w:i/>
        </w:rPr>
        <w:t>Document nettoyé - Version étudiant - Sans notes personnelles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