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C91F0" w14:textId="76A5FD03" w:rsidR="00E316A3" w:rsidRDefault="00000000" w:rsidP="00450D65">
      <w:pPr>
        <w:pStyle w:val="Heading1"/>
      </w:pPr>
      <w:r>
        <w:t>BNP Paribas: Balance Sheet Size and Business Lines (FY2025)</w:t>
      </w:r>
    </w:p>
    <w:p w14:paraId="79476AFE" w14:textId="77777777" w:rsidR="00E316A3" w:rsidRDefault="00000000">
      <w:pPr>
        <w:pStyle w:val="Heading2"/>
      </w:pPr>
      <w:r>
        <w:t>Introduction</w:t>
      </w:r>
    </w:p>
    <w:p w14:paraId="43E08510" w14:textId="77777777" w:rsidR="00E316A3" w:rsidRDefault="00000000">
      <w:r>
        <w:t xml:space="preserve">BNP Paribas </w:t>
      </w:r>
      <w:proofErr w:type="gramStart"/>
      <w:r>
        <w:t>closed</w:t>
      </w:r>
      <w:proofErr w:type="gramEnd"/>
      <w:r>
        <w:t xml:space="preserve"> 2025 with </w:t>
      </w:r>
      <w:r>
        <w:rPr>
          <w:b/>
        </w:rPr>
        <w:t xml:space="preserve">€2,793 </w:t>
      </w:r>
      <w:proofErr w:type="gramStart"/>
      <w:r>
        <w:rPr>
          <w:b/>
        </w:rPr>
        <w:t>billion of</w:t>
      </w:r>
      <w:proofErr w:type="gramEnd"/>
      <w:r>
        <w:rPr>
          <w:b/>
        </w:rPr>
        <w:t xml:space="preserve"> total assets</w:t>
      </w:r>
      <w:r>
        <w:t xml:space="preserve">, making it one of the largest banks in Europe and a textbook example of a universal bank. This analysis answers three questions: how big </w:t>
      </w:r>
      <w:proofErr w:type="gramStart"/>
      <w:r>
        <w:t>is the bank</w:t>
      </w:r>
      <w:proofErr w:type="gramEnd"/>
      <w:r>
        <w:t>, measured by total assets on its balance sheet; what are its business lines and the weight of each; and how international its activities are.</w:t>
      </w:r>
    </w:p>
    <w:p w14:paraId="175D9B25" w14:textId="77777777" w:rsidR="00E316A3" w:rsidRDefault="00000000">
      <w:r>
        <w:rPr>
          <w:b/>
        </w:rPr>
        <w:t>Bank selected:</w:t>
      </w:r>
      <w:r>
        <w:t xml:space="preserve"> BNP Paribas SA, the French group headquartered in Paris, listed on Euronext Paris and present in about 64 countries.</w:t>
      </w:r>
    </w:p>
    <w:p w14:paraId="7D15963B" w14:textId="77777777" w:rsidR="00E316A3" w:rsidRDefault="00000000">
      <w:r>
        <w:rPr>
          <w:b/>
        </w:rPr>
        <w:t>Source:</w:t>
      </w:r>
      <w:r>
        <w:t xml:space="preserve"> </w:t>
      </w:r>
      <w:r>
        <w:rPr>
          <w:i/>
        </w:rPr>
        <w:t>Consolidated Financial Statements, year ended 31 December 2025 (unaudited)</w:t>
      </w:r>
      <w:r>
        <w:t xml:space="preserve">, downloaded from the investor website </w:t>
      </w:r>
      <w:proofErr w:type="spellStart"/>
      <w:proofErr w:type="gramStart"/>
      <w:r>
        <w:t>invest.bnpparibas</w:t>
      </w:r>
      <w:proofErr w:type="spellEnd"/>
      <w:proofErr w:type="gramEnd"/>
      <w:r>
        <w:t>. The statements are prepared under IFRS as adopted by the EU and were approved by the Board of Directors on 4 February 2026. All figures are in euros; 2024 figures are shown for comparison.</w:t>
      </w:r>
    </w:p>
    <w:p w14:paraId="403153B0" w14:textId="77777777" w:rsidR="00E316A3" w:rsidRDefault="00000000">
      <w:r>
        <w:rPr>
          <w:b/>
        </w:rPr>
        <w:t>Method:</w:t>
      </w:r>
    </w:p>
    <w:p w14:paraId="3F646353" w14:textId="77777777" w:rsidR="00E316A3" w:rsidRDefault="00000000">
      <w:pPr>
        <w:pStyle w:val="ListParagraph"/>
        <w:numPr>
          <w:ilvl w:val="0"/>
          <w:numId w:val="2"/>
        </w:numPr>
      </w:pPr>
      <w:r>
        <w:rPr>
          <w:b/>
        </w:rPr>
        <w:t>Size.</w:t>
      </w:r>
      <w:r>
        <w:t xml:space="preserve"> We read the consolidated balance sheet (page 6), measure total assets, their growth over one year, and what the assets and liabilities are made of. We then compute a few ratios that show what that size means (leverage, loan-to-deposit, return on assets).</w:t>
      </w:r>
    </w:p>
    <w:p w14:paraId="09433F92" w14:textId="77777777" w:rsidR="00E316A3" w:rsidRDefault="00000000">
      <w:pPr>
        <w:pStyle w:val="ListParagraph"/>
        <w:numPr>
          <w:ilvl w:val="0"/>
          <w:numId w:val="2"/>
        </w:numPr>
      </w:pPr>
      <w:r>
        <w:rPr>
          <w:b/>
        </w:rPr>
        <w:t>Business lines.</w:t>
      </w:r>
      <w:r>
        <w:t xml:space="preserve"> We use Note 3 "Segment information" (pages 61–67), which splits revenues, pre-tax income and assets across the group's three operating divisions and their sub-businesses. The weight of each line is </w:t>
      </w:r>
      <w:proofErr w:type="gramStart"/>
      <w:r>
        <w:t>measured</w:t>
      </w:r>
      <w:proofErr w:type="gramEnd"/>
      <w:r>
        <w:t xml:space="preserve"> three ways: share of revenues, share of pre-tax income, and share of total assets.</w:t>
      </w:r>
    </w:p>
    <w:p w14:paraId="73EA8466" w14:textId="77777777" w:rsidR="00E316A3" w:rsidRDefault="00000000">
      <w:pPr>
        <w:pStyle w:val="ListParagraph"/>
        <w:numPr>
          <w:ilvl w:val="0"/>
          <w:numId w:val="2"/>
        </w:numPr>
      </w:pPr>
      <w:r>
        <w:rPr>
          <w:b/>
        </w:rPr>
        <w:t>International activities.</w:t>
      </w:r>
      <w:r>
        <w:t xml:space="preserve"> We use the Company Fundamentals export of 7 October 2026 (geographic and business-line segments, employees by country, foreign-currency effects) to </w:t>
      </w:r>
      <w:proofErr w:type="spellStart"/>
      <w:r>
        <w:t>analyse</w:t>
      </w:r>
      <w:proofErr w:type="spellEnd"/>
      <w:r>
        <w:t xml:space="preserve"> revenues, assets and staff by region over 2016–2025, together with Note 3 (p. 67) and Note 8.f (scope of consolidation).</w:t>
      </w:r>
    </w:p>
    <w:p w14:paraId="06E63E62" w14:textId="77777777" w:rsidR="00E316A3" w:rsidRDefault="00000000">
      <w:pPr>
        <w:pStyle w:val="Heading2"/>
      </w:pPr>
      <w:r>
        <w:t>Part 1 — Size of the bank: total assets</w:t>
      </w:r>
    </w:p>
    <w:p w14:paraId="49F3FCDC" w14:textId="77777777" w:rsidR="00E316A3" w:rsidRDefault="00000000">
      <w:pPr>
        <w:pStyle w:val="Heading3"/>
      </w:pPr>
      <w:r>
        <w:t>1.1 Total assets and growth</w:t>
      </w:r>
    </w:p>
    <w:p w14:paraId="303853CC" w14:textId="77777777" w:rsidR="00E316A3" w:rsidRDefault="00000000">
      <w:proofErr w:type="gramStart"/>
      <w:r>
        <w:t>At</w:t>
      </w:r>
      <w:proofErr w:type="gramEnd"/>
      <w:r>
        <w:t xml:space="preserve"> 31 December 2025, BNP Paribas reports </w:t>
      </w:r>
      <w:r>
        <w:rPr>
          <w:b/>
        </w:rPr>
        <w:t>total assets of €2,792,981 million (about €2.8 trillion)</w:t>
      </w:r>
      <w:r>
        <w:t xml:space="preserve">, up from €2,704,908 million a year earlier. That is an increase of </w:t>
      </w:r>
      <w:r>
        <w:rPr>
          <w:b/>
        </w:rPr>
        <w:t>€88.1 billion, or +3.3%</w:t>
      </w:r>
      <w:r>
        <w:t xml:space="preserve"> in one year.</w:t>
      </w:r>
    </w:p>
    <w:p w14:paraId="7BF384B5" w14:textId="77777777" w:rsidR="00E316A3" w:rsidRDefault="00000000">
      <w:r>
        <w:t xml:space="preserve">To put this figure in perspective, the balance sheet is roughly the size of France's entire annual GDP (approximately €2.9–3.0 trillion). A single private company holds assets comparable to everything the French economy produces in a year. This is why BNP Paribas is classified as a </w:t>
      </w:r>
      <w:r>
        <w:rPr>
          <w:i/>
        </w:rPr>
        <w:t>Global Systemically Important Bank</w:t>
      </w:r>
      <w:r>
        <w:t xml:space="preserve"> (G-SIB) and is supervised directly by the European Central Bank: its failure would threaten the whole financial system.</w:t>
      </w:r>
    </w:p>
    <w:p w14:paraId="48371E85" w14:textId="77777777" w:rsidR="00E316A3" w:rsidRDefault="00000000">
      <w:pPr>
        <w:pStyle w:val="Heading3"/>
      </w:pPr>
      <w:r>
        <w:lastRenderedPageBreak/>
        <w:t>1.2 What the assets are made of</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E316A3" w14:paraId="5E21E0F3" w14:textId="77777777">
        <w:trPr>
          <w:tblHeader/>
        </w:trPr>
        <w:tc>
          <w:tcPr>
            <w:tcW w:w="1872" w:type="dxa"/>
            <w:shd w:val="clear" w:color="auto" w:fill="F2F2F2"/>
          </w:tcPr>
          <w:p w14:paraId="059ABD72" w14:textId="77777777" w:rsidR="00E316A3" w:rsidRDefault="00000000">
            <w:r>
              <w:t>Asset category</w:t>
            </w:r>
          </w:p>
        </w:tc>
        <w:tc>
          <w:tcPr>
            <w:tcW w:w="1872" w:type="dxa"/>
            <w:shd w:val="clear" w:color="auto" w:fill="F2F2F2"/>
          </w:tcPr>
          <w:p w14:paraId="1C626BD3" w14:textId="77777777" w:rsidR="00E316A3" w:rsidRDefault="00000000">
            <w:r>
              <w:t>31 Dec 2025 (€m)</w:t>
            </w:r>
          </w:p>
        </w:tc>
        <w:tc>
          <w:tcPr>
            <w:tcW w:w="1872" w:type="dxa"/>
            <w:shd w:val="clear" w:color="auto" w:fill="F2F2F2"/>
          </w:tcPr>
          <w:p w14:paraId="06CF33FB" w14:textId="77777777" w:rsidR="00E316A3" w:rsidRDefault="00000000">
            <w:r>
              <w:t>% of total</w:t>
            </w:r>
          </w:p>
        </w:tc>
        <w:tc>
          <w:tcPr>
            <w:tcW w:w="1872" w:type="dxa"/>
            <w:shd w:val="clear" w:color="auto" w:fill="F2F2F2"/>
          </w:tcPr>
          <w:p w14:paraId="5609CBBF" w14:textId="77777777" w:rsidR="00E316A3" w:rsidRDefault="00000000">
            <w:r>
              <w:t>31 Dec 2024 (€m)</w:t>
            </w:r>
          </w:p>
        </w:tc>
        <w:tc>
          <w:tcPr>
            <w:tcW w:w="1872" w:type="dxa"/>
            <w:shd w:val="clear" w:color="auto" w:fill="F2F2F2"/>
          </w:tcPr>
          <w:p w14:paraId="50DA34A1" w14:textId="77777777" w:rsidR="00E316A3" w:rsidRDefault="00000000">
            <w:r>
              <w:t>Change</w:t>
            </w:r>
          </w:p>
        </w:tc>
      </w:tr>
      <w:tr w:rsidR="00E316A3" w14:paraId="274043DB" w14:textId="77777777">
        <w:tc>
          <w:tcPr>
            <w:tcW w:w="1872" w:type="dxa"/>
          </w:tcPr>
          <w:p w14:paraId="54BFA9A9" w14:textId="77777777" w:rsidR="00E316A3" w:rsidRDefault="00000000">
            <w:r>
              <w:t>Loans and advances to customers (</w:t>
            </w:r>
            <w:proofErr w:type="spellStart"/>
            <w:r>
              <w:t>amortised</w:t>
            </w:r>
            <w:proofErr w:type="spellEnd"/>
            <w:r>
              <w:t xml:space="preserve"> cost)</w:t>
            </w:r>
          </w:p>
        </w:tc>
        <w:tc>
          <w:tcPr>
            <w:tcW w:w="1872" w:type="dxa"/>
          </w:tcPr>
          <w:p w14:paraId="57DC9B00" w14:textId="77777777" w:rsidR="00E316A3" w:rsidRDefault="00000000">
            <w:r>
              <w:t>897,358</w:t>
            </w:r>
          </w:p>
        </w:tc>
        <w:tc>
          <w:tcPr>
            <w:tcW w:w="1872" w:type="dxa"/>
          </w:tcPr>
          <w:p w14:paraId="45332A56" w14:textId="77777777" w:rsidR="00E316A3" w:rsidRDefault="00000000">
            <w:r>
              <w:t>32.1%</w:t>
            </w:r>
          </w:p>
        </w:tc>
        <w:tc>
          <w:tcPr>
            <w:tcW w:w="1872" w:type="dxa"/>
          </w:tcPr>
          <w:p w14:paraId="56EC0F31" w14:textId="77777777" w:rsidR="00E316A3" w:rsidRDefault="00000000">
            <w:r>
              <w:t>900,141</w:t>
            </w:r>
          </w:p>
        </w:tc>
        <w:tc>
          <w:tcPr>
            <w:tcW w:w="1872" w:type="dxa"/>
          </w:tcPr>
          <w:p w14:paraId="390F9E7F" w14:textId="77777777" w:rsidR="00E316A3" w:rsidRDefault="00000000">
            <w:r>
              <w:t>−0.3%</w:t>
            </w:r>
          </w:p>
        </w:tc>
      </w:tr>
      <w:tr w:rsidR="00E316A3" w14:paraId="68BB2350" w14:textId="77777777">
        <w:tc>
          <w:tcPr>
            <w:tcW w:w="1872" w:type="dxa"/>
          </w:tcPr>
          <w:p w14:paraId="6777FA9A" w14:textId="77777777" w:rsidR="00E316A3" w:rsidRDefault="00000000">
            <w:r>
              <w:t xml:space="preserve">Trading </w:t>
            </w:r>
            <w:proofErr w:type="gramStart"/>
            <w:r>
              <w:t>book</w:t>
            </w:r>
            <w:proofErr w:type="gramEnd"/>
            <w:r>
              <w:t xml:space="preserve"> at fair value through P&amp;L (securities, repos, derivatives)</w:t>
            </w:r>
          </w:p>
        </w:tc>
        <w:tc>
          <w:tcPr>
            <w:tcW w:w="1872" w:type="dxa"/>
          </w:tcPr>
          <w:p w14:paraId="00D5E22E" w14:textId="77777777" w:rsidR="00E316A3" w:rsidRDefault="00000000">
            <w:r>
              <w:t>850,228</w:t>
            </w:r>
          </w:p>
        </w:tc>
        <w:tc>
          <w:tcPr>
            <w:tcW w:w="1872" w:type="dxa"/>
          </w:tcPr>
          <w:p w14:paraId="2852B855" w14:textId="77777777" w:rsidR="00E316A3" w:rsidRDefault="00000000">
            <w:r>
              <w:t>30.4%</w:t>
            </w:r>
          </w:p>
        </w:tc>
        <w:tc>
          <w:tcPr>
            <w:tcW w:w="1872" w:type="dxa"/>
          </w:tcPr>
          <w:p w14:paraId="08766282" w14:textId="77777777" w:rsidR="00E316A3" w:rsidRDefault="00000000">
            <w:r>
              <w:t>815,687</w:t>
            </w:r>
          </w:p>
        </w:tc>
        <w:tc>
          <w:tcPr>
            <w:tcW w:w="1872" w:type="dxa"/>
          </w:tcPr>
          <w:p w14:paraId="40ADDB19" w14:textId="77777777" w:rsidR="00E316A3" w:rsidRDefault="00000000">
            <w:r>
              <w:t>+4.2%</w:t>
            </w:r>
          </w:p>
        </w:tc>
      </w:tr>
      <w:tr w:rsidR="00E316A3" w14:paraId="11C2B38C" w14:textId="77777777">
        <w:tc>
          <w:tcPr>
            <w:tcW w:w="1872" w:type="dxa"/>
          </w:tcPr>
          <w:p w14:paraId="6E469252" w14:textId="77777777" w:rsidR="00E316A3" w:rsidRDefault="00000000">
            <w:r>
              <w:t>Investments related to insurance activities</w:t>
            </w:r>
          </w:p>
        </w:tc>
        <w:tc>
          <w:tcPr>
            <w:tcW w:w="1872" w:type="dxa"/>
          </w:tcPr>
          <w:p w14:paraId="246840F6" w14:textId="77777777" w:rsidR="00E316A3" w:rsidRDefault="00000000">
            <w:r>
              <w:t>305,471</w:t>
            </w:r>
          </w:p>
        </w:tc>
        <w:tc>
          <w:tcPr>
            <w:tcW w:w="1872" w:type="dxa"/>
          </w:tcPr>
          <w:p w14:paraId="4E90E9DE" w14:textId="77777777" w:rsidR="00E316A3" w:rsidRDefault="00000000">
            <w:r>
              <w:t>10.9%</w:t>
            </w:r>
          </w:p>
        </w:tc>
        <w:tc>
          <w:tcPr>
            <w:tcW w:w="1872" w:type="dxa"/>
          </w:tcPr>
          <w:p w14:paraId="2868D4F3" w14:textId="77777777" w:rsidR="00E316A3" w:rsidRDefault="00000000">
            <w:r>
              <w:t>286,849</w:t>
            </w:r>
          </w:p>
        </w:tc>
        <w:tc>
          <w:tcPr>
            <w:tcW w:w="1872" w:type="dxa"/>
          </w:tcPr>
          <w:p w14:paraId="58BE25F3" w14:textId="77777777" w:rsidR="00E316A3" w:rsidRDefault="00000000">
            <w:r>
              <w:t>+6.5%</w:t>
            </w:r>
          </w:p>
        </w:tc>
      </w:tr>
      <w:tr w:rsidR="00E316A3" w14:paraId="02E15503" w14:textId="77777777">
        <w:tc>
          <w:tcPr>
            <w:tcW w:w="1872" w:type="dxa"/>
          </w:tcPr>
          <w:p w14:paraId="756EB448" w14:textId="77777777" w:rsidR="00E316A3" w:rsidRDefault="00000000">
            <w:r>
              <w:t>Cash and balances at central banks</w:t>
            </w:r>
          </w:p>
        </w:tc>
        <w:tc>
          <w:tcPr>
            <w:tcW w:w="1872" w:type="dxa"/>
          </w:tcPr>
          <w:p w14:paraId="330737BA" w14:textId="77777777" w:rsidR="00E316A3" w:rsidRDefault="00000000">
            <w:r>
              <w:t>211,330</w:t>
            </w:r>
          </w:p>
        </w:tc>
        <w:tc>
          <w:tcPr>
            <w:tcW w:w="1872" w:type="dxa"/>
          </w:tcPr>
          <w:p w14:paraId="36F1A0EE" w14:textId="77777777" w:rsidR="00E316A3" w:rsidRDefault="00000000">
            <w:r>
              <w:t>7.6%</w:t>
            </w:r>
          </w:p>
        </w:tc>
        <w:tc>
          <w:tcPr>
            <w:tcW w:w="1872" w:type="dxa"/>
          </w:tcPr>
          <w:p w14:paraId="6EB79370" w14:textId="77777777" w:rsidR="00E316A3" w:rsidRDefault="00000000">
            <w:r>
              <w:t>182,496</w:t>
            </w:r>
          </w:p>
        </w:tc>
        <w:tc>
          <w:tcPr>
            <w:tcW w:w="1872" w:type="dxa"/>
          </w:tcPr>
          <w:p w14:paraId="13A02CBF" w14:textId="77777777" w:rsidR="00E316A3" w:rsidRDefault="00000000">
            <w:r>
              <w:t>+15.8%</w:t>
            </w:r>
          </w:p>
        </w:tc>
      </w:tr>
      <w:tr w:rsidR="00E316A3" w14:paraId="79E206BD" w14:textId="77777777">
        <w:tc>
          <w:tcPr>
            <w:tcW w:w="1872" w:type="dxa"/>
          </w:tcPr>
          <w:p w14:paraId="1986FB5B" w14:textId="77777777" w:rsidR="00E316A3" w:rsidRDefault="00000000">
            <w:r>
              <w:t xml:space="preserve">Other </w:t>
            </w:r>
            <w:proofErr w:type="spellStart"/>
            <w:r>
              <w:t>amortised</w:t>
            </w:r>
            <w:proofErr w:type="spellEnd"/>
            <w:r>
              <w:t xml:space="preserve"> cost (loans to banks, debt securities)</w:t>
            </w:r>
          </w:p>
        </w:tc>
        <w:tc>
          <w:tcPr>
            <w:tcW w:w="1872" w:type="dxa"/>
          </w:tcPr>
          <w:p w14:paraId="6A658C6E" w14:textId="77777777" w:rsidR="00E316A3" w:rsidRDefault="00000000">
            <w:r>
              <w:t>177,946</w:t>
            </w:r>
          </w:p>
        </w:tc>
        <w:tc>
          <w:tcPr>
            <w:tcW w:w="1872" w:type="dxa"/>
          </w:tcPr>
          <w:p w14:paraId="54C9358C" w14:textId="77777777" w:rsidR="00E316A3" w:rsidRDefault="00000000">
            <w:r>
              <w:t>6.4%</w:t>
            </w:r>
          </w:p>
        </w:tc>
        <w:tc>
          <w:tcPr>
            <w:tcW w:w="1872" w:type="dxa"/>
          </w:tcPr>
          <w:p w14:paraId="461810AE" w14:textId="77777777" w:rsidR="00E316A3" w:rsidRDefault="00000000">
            <w:r>
              <w:t>178,122</w:t>
            </w:r>
          </w:p>
        </w:tc>
        <w:tc>
          <w:tcPr>
            <w:tcW w:w="1872" w:type="dxa"/>
          </w:tcPr>
          <w:p w14:paraId="2444AE5E" w14:textId="77777777" w:rsidR="00E316A3" w:rsidRDefault="00000000">
            <w:r>
              <w:t>−0.1%</w:t>
            </w:r>
          </w:p>
        </w:tc>
      </w:tr>
      <w:tr w:rsidR="00E316A3" w14:paraId="3757751E" w14:textId="77777777">
        <w:tc>
          <w:tcPr>
            <w:tcW w:w="1872" w:type="dxa"/>
          </w:tcPr>
          <w:p w14:paraId="6F298282" w14:textId="77777777" w:rsidR="00E316A3" w:rsidRDefault="00000000">
            <w:r>
              <w:t>Financial assets at fair value through equity</w:t>
            </w:r>
          </w:p>
        </w:tc>
        <w:tc>
          <w:tcPr>
            <w:tcW w:w="1872" w:type="dxa"/>
          </w:tcPr>
          <w:p w14:paraId="2680AD30" w14:textId="77777777" w:rsidR="00E316A3" w:rsidRDefault="00000000">
            <w:r>
              <w:t>79,360</w:t>
            </w:r>
          </w:p>
        </w:tc>
        <w:tc>
          <w:tcPr>
            <w:tcW w:w="1872" w:type="dxa"/>
          </w:tcPr>
          <w:p w14:paraId="3180DCEF" w14:textId="77777777" w:rsidR="00E316A3" w:rsidRDefault="00000000">
            <w:r>
              <w:t>2.8%</w:t>
            </w:r>
          </w:p>
        </w:tc>
        <w:tc>
          <w:tcPr>
            <w:tcW w:w="1872" w:type="dxa"/>
          </w:tcPr>
          <w:p w14:paraId="37A89624" w14:textId="77777777" w:rsidR="00E316A3" w:rsidRDefault="00000000">
            <w:r>
              <w:t>73,040</w:t>
            </w:r>
          </w:p>
        </w:tc>
        <w:tc>
          <w:tcPr>
            <w:tcW w:w="1872" w:type="dxa"/>
          </w:tcPr>
          <w:p w14:paraId="5994AA55" w14:textId="77777777" w:rsidR="00E316A3" w:rsidRDefault="00000000">
            <w:r>
              <w:t>+8.7%</w:t>
            </w:r>
          </w:p>
        </w:tc>
      </w:tr>
      <w:tr w:rsidR="00E316A3" w14:paraId="7AC0ACD3" w14:textId="77777777">
        <w:tc>
          <w:tcPr>
            <w:tcW w:w="1872" w:type="dxa"/>
          </w:tcPr>
          <w:p w14:paraId="3134CB81" w14:textId="77777777" w:rsidR="00E316A3" w:rsidRDefault="00000000">
            <w:r>
              <w:t>Other assets (accruals, fixed assets, goodwill, hedging, etc.)</w:t>
            </w:r>
          </w:p>
        </w:tc>
        <w:tc>
          <w:tcPr>
            <w:tcW w:w="1872" w:type="dxa"/>
          </w:tcPr>
          <w:p w14:paraId="516FD1E7" w14:textId="77777777" w:rsidR="00E316A3" w:rsidRDefault="00000000">
            <w:r>
              <w:t>271,288</w:t>
            </w:r>
          </w:p>
        </w:tc>
        <w:tc>
          <w:tcPr>
            <w:tcW w:w="1872" w:type="dxa"/>
          </w:tcPr>
          <w:p w14:paraId="49D4740B" w14:textId="77777777" w:rsidR="00E316A3" w:rsidRDefault="00000000">
            <w:r>
              <w:t>9.7%</w:t>
            </w:r>
          </w:p>
        </w:tc>
        <w:tc>
          <w:tcPr>
            <w:tcW w:w="1872" w:type="dxa"/>
          </w:tcPr>
          <w:p w14:paraId="76749DC3" w14:textId="77777777" w:rsidR="00E316A3" w:rsidRDefault="00000000">
            <w:r>
              <w:t>268,573</w:t>
            </w:r>
          </w:p>
        </w:tc>
        <w:tc>
          <w:tcPr>
            <w:tcW w:w="1872" w:type="dxa"/>
          </w:tcPr>
          <w:p w14:paraId="72D544E3" w14:textId="77777777" w:rsidR="00E316A3" w:rsidRDefault="00000000">
            <w:r>
              <w:t>+1.0%</w:t>
            </w:r>
          </w:p>
        </w:tc>
      </w:tr>
      <w:tr w:rsidR="00E316A3" w14:paraId="4BBF82D1" w14:textId="77777777">
        <w:tc>
          <w:tcPr>
            <w:tcW w:w="1872" w:type="dxa"/>
          </w:tcPr>
          <w:p w14:paraId="4CB31E4D" w14:textId="77777777" w:rsidR="00E316A3" w:rsidRDefault="00000000">
            <w:r>
              <w:rPr>
                <w:b/>
              </w:rPr>
              <w:t>Total assets</w:t>
            </w:r>
          </w:p>
        </w:tc>
        <w:tc>
          <w:tcPr>
            <w:tcW w:w="1872" w:type="dxa"/>
          </w:tcPr>
          <w:p w14:paraId="0E9E4F5C" w14:textId="77777777" w:rsidR="00E316A3" w:rsidRDefault="00000000">
            <w:r>
              <w:rPr>
                <w:b/>
              </w:rPr>
              <w:t>2,792,981</w:t>
            </w:r>
          </w:p>
        </w:tc>
        <w:tc>
          <w:tcPr>
            <w:tcW w:w="1872" w:type="dxa"/>
          </w:tcPr>
          <w:p w14:paraId="6A5738A9" w14:textId="77777777" w:rsidR="00E316A3" w:rsidRDefault="00000000">
            <w:r>
              <w:rPr>
                <w:b/>
              </w:rPr>
              <w:t>100%</w:t>
            </w:r>
          </w:p>
        </w:tc>
        <w:tc>
          <w:tcPr>
            <w:tcW w:w="1872" w:type="dxa"/>
          </w:tcPr>
          <w:p w14:paraId="2F25AD19" w14:textId="77777777" w:rsidR="00E316A3" w:rsidRDefault="00000000">
            <w:r>
              <w:rPr>
                <w:b/>
              </w:rPr>
              <w:t>2,704,908</w:t>
            </w:r>
          </w:p>
        </w:tc>
        <w:tc>
          <w:tcPr>
            <w:tcW w:w="1872" w:type="dxa"/>
          </w:tcPr>
          <w:p w14:paraId="536E5BAB" w14:textId="77777777" w:rsidR="00E316A3" w:rsidRDefault="00000000">
            <w:r>
              <w:rPr>
                <w:b/>
              </w:rPr>
              <w:t>+3.3%</w:t>
            </w:r>
          </w:p>
        </w:tc>
      </w:tr>
    </w:tbl>
    <w:p w14:paraId="0D0A61A6" w14:textId="77777777" w:rsidR="00E316A3" w:rsidRDefault="00000000">
      <w:r>
        <w:rPr>
          <w:i/>
        </w:rPr>
        <w:t>Source: Consolidated balance sheet, p. 6. Groupings and percentages are our own calculations.</w:t>
      </w:r>
    </w:p>
    <w:p w14:paraId="6250C8FC" w14:textId="77777777" w:rsidR="00E316A3" w:rsidRDefault="00000000">
      <w:r>
        <w:t>Three points stand out:</w:t>
      </w:r>
    </w:p>
    <w:p w14:paraId="503B67C7" w14:textId="77777777" w:rsidR="00E316A3" w:rsidRDefault="00000000">
      <w:pPr>
        <w:pStyle w:val="ListParagraph"/>
        <w:numPr>
          <w:ilvl w:val="0"/>
          <w:numId w:val="3"/>
        </w:numPr>
      </w:pPr>
      <w:r>
        <w:rPr>
          <w:b/>
        </w:rPr>
        <w:t>Customer loans are the largest block, but only a third of the balance sheet (32.1%).</w:t>
      </w:r>
      <w:r>
        <w:t xml:space="preserve"> At €897 billion they were flat over the year (−0.3%). A purely commercial bank would usually have 60–70% of its assets in loans. The lower share is the first sign of a universal bank.</w:t>
      </w:r>
    </w:p>
    <w:p w14:paraId="12091D47" w14:textId="77777777" w:rsidR="00E316A3" w:rsidRDefault="00000000">
      <w:pPr>
        <w:pStyle w:val="ListParagraph"/>
        <w:numPr>
          <w:ilvl w:val="0"/>
          <w:numId w:val="3"/>
        </w:numPr>
      </w:pPr>
      <w:r>
        <w:rPr>
          <w:b/>
        </w:rPr>
        <w:t>The trading book is almost as large as the loan book (30.4%).</w:t>
      </w:r>
      <w:r>
        <w:t xml:space="preserve"> Securities (€321bn), repurchase agreements (€254bn) and derivatives (€275bn) are held at fair value by the market activities of the CIB division. Derivatives alone are 9.8% of total assets. Their value fell by €48bn in 2025, while securities and repos grew by €83bn.</w:t>
      </w:r>
    </w:p>
    <w:p w14:paraId="02B4FA6C" w14:textId="77777777" w:rsidR="00E316A3" w:rsidRDefault="00000000">
      <w:pPr>
        <w:pStyle w:val="ListParagraph"/>
        <w:numPr>
          <w:ilvl w:val="0"/>
          <w:numId w:val="3"/>
        </w:numPr>
      </w:pPr>
      <w:r>
        <w:rPr>
          <w:b/>
        </w:rPr>
        <w:lastRenderedPageBreak/>
        <w:t>Insurance investments add 10.9%.</w:t>
      </w:r>
      <w:r>
        <w:t xml:space="preserve"> These €305bn are the assets backing the life-insurance and savings contracts of BNP Paribas </w:t>
      </w:r>
      <w:proofErr w:type="spellStart"/>
      <w:r>
        <w:t>Cardif</w:t>
      </w:r>
      <w:proofErr w:type="spellEnd"/>
      <w:r>
        <w:t xml:space="preserve">. This is the </w:t>
      </w:r>
      <w:r>
        <w:rPr>
          <w:i/>
        </w:rPr>
        <w:t>bancassurance</w:t>
      </w:r>
      <w:r>
        <w:t xml:space="preserve"> model typical of French banks.</w:t>
      </w:r>
    </w:p>
    <w:p w14:paraId="73F7BB9A" w14:textId="77777777" w:rsidR="00E316A3" w:rsidRDefault="00000000">
      <w:r>
        <w:t xml:space="preserve">Most of the 2025 growth came from </w:t>
      </w:r>
      <w:r>
        <w:rPr>
          <w:b/>
        </w:rPr>
        <w:t>liquidity and market activities</w:t>
      </w:r>
      <w:r>
        <w:t>, not from lending: cash at central banks rose by €28.8bn (+15.8%) and the trading book by €34.5bn, while customer loans slightly declined.</w:t>
      </w:r>
    </w:p>
    <w:p w14:paraId="01E4EFE6" w14:textId="77777777" w:rsidR="00E316A3" w:rsidRDefault="00000000">
      <w:pPr>
        <w:pStyle w:val="Heading3"/>
      </w:pPr>
      <w:r>
        <w:t>1.3 How the assets are financed</w:t>
      </w:r>
    </w:p>
    <w:tbl>
      <w:tblPr>
        <w:tblStyle w:val="TableGrid"/>
        <w:tblW w:w="0" w:type="auto"/>
        <w:tblLayout w:type="fixed"/>
        <w:tblLook w:val="0420" w:firstRow="1" w:lastRow="0" w:firstColumn="0" w:lastColumn="0" w:noHBand="0" w:noVBand="1"/>
      </w:tblPr>
      <w:tblGrid>
        <w:gridCol w:w="3120"/>
        <w:gridCol w:w="3120"/>
        <w:gridCol w:w="3120"/>
      </w:tblGrid>
      <w:tr w:rsidR="00E316A3" w14:paraId="2C1AEBA4" w14:textId="77777777">
        <w:trPr>
          <w:tblHeader/>
        </w:trPr>
        <w:tc>
          <w:tcPr>
            <w:tcW w:w="3120" w:type="dxa"/>
            <w:shd w:val="clear" w:color="auto" w:fill="F2F2F2"/>
          </w:tcPr>
          <w:p w14:paraId="46D3F2CB" w14:textId="77777777" w:rsidR="00E316A3" w:rsidRDefault="00000000">
            <w:r>
              <w:t>Liabilities and equity</w:t>
            </w:r>
          </w:p>
        </w:tc>
        <w:tc>
          <w:tcPr>
            <w:tcW w:w="3120" w:type="dxa"/>
            <w:shd w:val="clear" w:color="auto" w:fill="F2F2F2"/>
          </w:tcPr>
          <w:p w14:paraId="4C161DFB" w14:textId="77777777" w:rsidR="00E316A3" w:rsidRDefault="00000000">
            <w:r>
              <w:t>31 Dec 2025 (€m)</w:t>
            </w:r>
          </w:p>
        </w:tc>
        <w:tc>
          <w:tcPr>
            <w:tcW w:w="3120" w:type="dxa"/>
            <w:shd w:val="clear" w:color="auto" w:fill="F2F2F2"/>
          </w:tcPr>
          <w:p w14:paraId="0788F490" w14:textId="77777777" w:rsidR="00E316A3" w:rsidRDefault="00000000">
            <w:r>
              <w:t>% of total</w:t>
            </w:r>
          </w:p>
        </w:tc>
      </w:tr>
      <w:tr w:rsidR="00E316A3" w14:paraId="382B65E0" w14:textId="77777777">
        <w:tc>
          <w:tcPr>
            <w:tcW w:w="3120" w:type="dxa"/>
          </w:tcPr>
          <w:p w14:paraId="1FCEB651" w14:textId="77777777" w:rsidR="00E316A3" w:rsidRDefault="00000000">
            <w:r>
              <w:t>Deposits from customers</w:t>
            </w:r>
          </w:p>
        </w:tc>
        <w:tc>
          <w:tcPr>
            <w:tcW w:w="3120" w:type="dxa"/>
          </w:tcPr>
          <w:p w14:paraId="5834FCB1" w14:textId="77777777" w:rsidR="00E316A3" w:rsidRDefault="00000000">
            <w:r>
              <w:t>1,075,564</w:t>
            </w:r>
          </w:p>
        </w:tc>
        <w:tc>
          <w:tcPr>
            <w:tcW w:w="3120" w:type="dxa"/>
          </w:tcPr>
          <w:p w14:paraId="03CF0625" w14:textId="77777777" w:rsidR="00E316A3" w:rsidRDefault="00000000">
            <w:r>
              <w:t>38.5%</w:t>
            </w:r>
          </w:p>
        </w:tc>
      </w:tr>
      <w:tr w:rsidR="00E316A3" w14:paraId="206E92BE" w14:textId="77777777">
        <w:tc>
          <w:tcPr>
            <w:tcW w:w="3120" w:type="dxa"/>
          </w:tcPr>
          <w:p w14:paraId="73F01132" w14:textId="77777777" w:rsidR="00E316A3" w:rsidRDefault="00000000">
            <w:r>
              <w:t>Trading liabilities at fair value through P&amp;L (repos, derivatives, short securities, structured debt)</w:t>
            </w:r>
          </w:p>
        </w:tc>
        <w:tc>
          <w:tcPr>
            <w:tcW w:w="3120" w:type="dxa"/>
          </w:tcPr>
          <w:p w14:paraId="5BD0AEA9" w14:textId="77777777" w:rsidR="00E316A3" w:rsidRDefault="00000000">
            <w:r>
              <w:t>838,439</w:t>
            </w:r>
          </w:p>
        </w:tc>
        <w:tc>
          <w:tcPr>
            <w:tcW w:w="3120" w:type="dxa"/>
          </w:tcPr>
          <w:p w14:paraId="6FC98134" w14:textId="77777777" w:rsidR="00E316A3" w:rsidRDefault="00000000">
            <w:r>
              <w:t>30.0%</w:t>
            </w:r>
          </w:p>
        </w:tc>
      </w:tr>
      <w:tr w:rsidR="00E316A3" w14:paraId="14D60E89" w14:textId="77777777">
        <w:tc>
          <w:tcPr>
            <w:tcW w:w="3120" w:type="dxa"/>
          </w:tcPr>
          <w:p w14:paraId="4D003766" w14:textId="77777777" w:rsidR="00E316A3" w:rsidRDefault="00000000">
            <w:r>
              <w:t>Liabilities related to insurance contracts and activities</w:t>
            </w:r>
          </w:p>
        </w:tc>
        <w:tc>
          <w:tcPr>
            <w:tcW w:w="3120" w:type="dxa"/>
          </w:tcPr>
          <w:p w14:paraId="1C5A1C9F" w14:textId="77777777" w:rsidR="00E316A3" w:rsidRDefault="00000000">
            <w:r>
              <w:t>282,723</w:t>
            </w:r>
          </w:p>
        </w:tc>
        <w:tc>
          <w:tcPr>
            <w:tcW w:w="3120" w:type="dxa"/>
          </w:tcPr>
          <w:p w14:paraId="4808CE10" w14:textId="77777777" w:rsidR="00E316A3" w:rsidRDefault="00000000">
            <w:r>
              <w:t>10.1%</w:t>
            </w:r>
          </w:p>
        </w:tc>
      </w:tr>
      <w:tr w:rsidR="00E316A3" w14:paraId="008800BB" w14:textId="77777777">
        <w:tc>
          <w:tcPr>
            <w:tcW w:w="3120" w:type="dxa"/>
          </w:tcPr>
          <w:p w14:paraId="72F8659F" w14:textId="77777777" w:rsidR="00E316A3" w:rsidRDefault="00000000">
            <w:r>
              <w:t>Debt securities and subordinated debt (</w:t>
            </w:r>
            <w:proofErr w:type="spellStart"/>
            <w:r>
              <w:t>amortised</w:t>
            </w:r>
            <w:proofErr w:type="spellEnd"/>
            <w:r>
              <w:t xml:space="preserve"> cost)</w:t>
            </w:r>
          </w:p>
        </w:tc>
        <w:tc>
          <w:tcPr>
            <w:tcW w:w="3120" w:type="dxa"/>
          </w:tcPr>
          <w:p w14:paraId="3E5F8C62" w14:textId="77777777" w:rsidR="00E316A3" w:rsidRDefault="00000000">
            <w:r>
              <w:t>208,401</w:t>
            </w:r>
          </w:p>
        </w:tc>
        <w:tc>
          <w:tcPr>
            <w:tcW w:w="3120" w:type="dxa"/>
          </w:tcPr>
          <w:p w14:paraId="72995CBF" w14:textId="77777777" w:rsidR="00E316A3" w:rsidRDefault="00000000">
            <w:r>
              <w:t>7.5%</w:t>
            </w:r>
          </w:p>
        </w:tc>
      </w:tr>
      <w:tr w:rsidR="00E316A3" w14:paraId="79A8D5F5" w14:textId="77777777">
        <w:tc>
          <w:tcPr>
            <w:tcW w:w="3120" w:type="dxa"/>
          </w:tcPr>
          <w:p w14:paraId="7C90A46D" w14:textId="77777777" w:rsidR="00E316A3" w:rsidRDefault="00000000">
            <w:r>
              <w:t>Deposits from banks and central banks</w:t>
            </w:r>
          </w:p>
        </w:tc>
        <w:tc>
          <w:tcPr>
            <w:tcW w:w="3120" w:type="dxa"/>
          </w:tcPr>
          <w:p w14:paraId="5400E707" w14:textId="77777777" w:rsidR="00E316A3" w:rsidRDefault="00000000">
            <w:r>
              <w:t>74,339</w:t>
            </w:r>
          </w:p>
        </w:tc>
        <w:tc>
          <w:tcPr>
            <w:tcW w:w="3120" w:type="dxa"/>
          </w:tcPr>
          <w:p w14:paraId="41ABDF78" w14:textId="77777777" w:rsidR="00E316A3" w:rsidRDefault="00000000">
            <w:r>
              <w:t>2.7%</w:t>
            </w:r>
          </w:p>
        </w:tc>
      </w:tr>
      <w:tr w:rsidR="00E316A3" w14:paraId="232C5109" w14:textId="77777777">
        <w:tc>
          <w:tcPr>
            <w:tcW w:w="3120" w:type="dxa"/>
          </w:tcPr>
          <w:p w14:paraId="5D251043" w14:textId="77777777" w:rsidR="00E316A3" w:rsidRDefault="00000000">
            <w:r>
              <w:t>Other liabilities and provisions</w:t>
            </w:r>
          </w:p>
        </w:tc>
        <w:tc>
          <w:tcPr>
            <w:tcW w:w="3120" w:type="dxa"/>
          </w:tcPr>
          <w:p w14:paraId="71EDC8B5" w14:textId="77777777" w:rsidR="00E316A3" w:rsidRDefault="00000000">
            <w:r>
              <w:t>181,342</w:t>
            </w:r>
          </w:p>
        </w:tc>
        <w:tc>
          <w:tcPr>
            <w:tcW w:w="3120" w:type="dxa"/>
          </w:tcPr>
          <w:p w14:paraId="4A39B6F2" w14:textId="77777777" w:rsidR="00E316A3" w:rsidRDefault="00000000">
            <w:r>
              <w:t>6.5%</w:t>
            </w:r>
          </w:p>
        </w:tc>
      </w:tr>
      <w:tr w:rsidR="00E316A3" w14:paraId="6E8D8AED" w14:textId="77777777">
        <w:tc>
          <w:tcPr>
            <w:tcW w:w="3120" w:type="dxa"/>
          </w:tcPr>
          <w:p w14:paraId="762D880E" w14:textId="77777777" w:rsidR="00E316A3" w:rsidRDefault="00000000">
            <w:r>
              <w:rPr>
                <w:b/>
              </w:rPr>
              <w:t>Total equity</w:t>
            </w:r>
          </w:p>
        </w:tc>
        <w:tc>
          <w:tcPr>
            <w:tcW w:w="3120" w:type="dxa"/>
          </w:tcPr>
          <w:p w14:paraId="4BC96D5B" w14:textId="77777777" w:rsidR="00E316A3" w:rsidRDefault="00000000">
            <w:r>
              <w:rPr>
                <w:b/>
              </w:rPr>
              <w:t>132,173</w:t>
            </w:r>
          </w:p>
        </w:tc>
        <w:tc>
          <w:tcPr>
            <w:tcW w:w="3120" w:type="dxa"/>
          </w:tcPr>
          <w:p w14:paraId="09752809" w14:textId="77777777" w:rsidR="00E316A3" w:rsidRDefault="00000000">
            <w:r>
              <w:rPr>
                <w:b/>
              </w:rPr>
              <w:t>4.7%</w:t>
            </w:r>
          </w:p>
        </w:tc>
      </w:tr>
      <w:tr w:rsidR="00E316A3" w14:paraId="421BCC55" w14:textId="77777777">
        <w:tc>
          <w:tcPr>
            <w:tcW w:w="3120" w:type="dxa"/>
          </w:tcPr>
          <w:p w14:paraId="4717A600" w14:textId="77777777" w:rsidR="00E316A3" w:rsidRDefault="00000000">
            <w:r>
              <w:rPr>
                <w:b/>
              </w:rPr>
              <w:t>Total liabilities and equity</w:t>
            </w:r>
          </w:p>
        </w:tc>
        <w:tc>
          <w:tcPr>
            <w:tcW w:w="3120" w:type="dxa"/>
          </w:tcPr>
          <w:p w14:paraId="71482A3C" w14:textId="77777777" w:rsidR="00E316A3" w:rsidRDefault="00000000">
            <w:r>
              <w:rPr>
                <w:b/>
              </w:rPr>
              <w:t>2,792,981</w:t>
            </w:r>
          </w:p>
        </w:tc>
        <w:tc>
          <w:tcPr>
            <w:tcW w:w="3120" w:type="dxa"/>
          </w:tcPr>
          <w:p w14:paraId="788930A3" w14:textId="77777777" w:rsidR="00E316A3" w:rsidRDefault="00000000">
            <w:r>
              <w:rPr>
                <w:b/>
              </w:rPr>
              <w:t>100%</w:t>
            </w:r>
          </w:p>
        </w:tc>
      </w:tr>
    </w:tbl>
    <w:p w14:paraId="3F7AC11B" w14:textId="77777777" w:rsidR="00E316A3" w:rsidRDefault="00000000">
      <w:r>
        <w:rPr>
          <w:i/>
        </w:rPr>
        <w:t>Source: Consolidated balance sheet, p. 6. Groupings are our own.</w:t>
      </w:r>
    </w:p>
    <w:p w14:paraId="634EF5AF" w14:textId="77777777" w:rsidR="00E316A3" w:rsidRDefault="00000000">
      <w:r>
        <w:t xml:space="preserve">Customer deposits of </w:t>
      </w:r>
      <w:r>
        <w:rPr>
          <w:b/>
        </w:rPr>
        <w:t>€1,076 billion</w:t>
      </w:r>
      <w:r>
        <w:t xml:space="preserve"> are the main source of funding and grew by €40.7bn (+3.9%) in 2025. They exceed customer loans: the </w:t>
      </w:r>
      <w:r>
        <w:rPr>
          <w:b/>
        </w:rPr>
        <w:t>loan-to-deposit ratio is 83%</w:t>
      </w:r>
      <w:r>
        <w:t xml:space="preserve"> (€897bn / €1,076bn). The bank therefore funds all its lending with stable deposits and does not depend on market borrowing to lend.</w:t>
      </w:r>
    </w:p>
    <w:p w14:paraId="67342259" w14:textId="77777777" w:rsidR="00E316A3" w:rsidRDefault="00000000">
      <w:pPr>
        <w:pStyle w:val="Heading3"/>
      </w:pPr>
      <w:r>
        <w:t>1.4 What the size means: key ratios</w:t>
      </w:r>
    </w:p>
    <w:tbl>
      <w:tblPr>
        <w:tblStyle w:val="TableGrid"/>
        <w:tblW w:w="0" w:type="auto"/>
        <w:tblLayout w:type="fixed"/>
        <w:tblLook w:val="0420" w:firstRow="1" w:lastRow="0" w:firstColumn="0" w:lastColumn="0" w:noHBand="0" w:noVBand="1"/>
      </w:tblPr>
      <w:tblGrid>
        <w:gridCol w:w="3120"/>
        <w:gridCol w:w="3120"/>
        <w:gridCol w:w="3120"/>
      </w:tblGrid>
      <w:tr w:rsidR="00E316A3" w14:paraId="592C19DE" w14:textId="77777777">
        <w:trPr>
          <w:tblHeader/>
        </w:trPr>
        <w:tc>
          <w:tcPr>
            <w:tcW w:w="3120" w:type="dxa"/>
            <w:shd w:val="clear" w:color="auto" w:fill="F2F2F2"/>
          </w:tcPr>
          <w:p w14:paraId="5616A020" w14:textId="77777777" w:rsidR="00E316A3" w:rsidRDefault="00000000">
            <w:r>
              <w:t>Ratio</w:t>
            </w:r>
          </w:p>
        </w:tc>
        <w:tc>
          <w:tcPr>
            <w:tcW w:w="3120" w:type="dxa"/>
            <w:shd w:val="clear" w:color="auto" w:fill="F2F2F2"/>
          </w:tcPr>
          <w:p w14:paraId="3D09C5C4" w14:textId="77777777" w:rsidR="00E316A3" w:rsidRDefault="00000000">
            <w:r>
              <w:t>Calculation</w:t>
            </w:r>
          </w:p>
        </w:tc>
        <w:tc>
          <w:tcPr>
            <w:tcW w:w="3120" w:type="dxa"/>
            <w:shd w:val="clear" w:color="auto" w:fill="F2F2F2"/>
          </w:tcPr>
          <w:p w14:paraId="3AF4B763" w14:textId="77777777" w:rsidR="00E316A3" w:rsidRDefault="00000000">
            <w:r>
              <w:t>2025</w:t>
            </w:r>
          </w:p>
        </w:tc>
      </w:tr>
      <w:tr w:rsidR="00E316A3" w14:paraId="695E017B" w14:textId="77777777">
        <w:tc>
          <w:tcPr>
            <w:tcW w:w="3120" w:type="dxa"/>
          </w:tcPr>
          <w:p w14:paraId="0BE94FBD" w14:textId="77777777" w:rsidR="00E316A3" w:rsidRDefault="00000000">
            <w:r>
              <w:t>Equity / total assets</w:t>
            </w:r>
          </w:p>
        </w:tc>
        <w:tc>
          <w:tcPr>
            <w:tcW w:w="3120" w:type="dxa"/>
          </w:tcPr>
          <w:p w14:paraId="10A4C354" w14:textId="77777777" w:rsidR="00E316A3" w:rsidRDefault="00000000">
            <w:r>
              <w:t>132,173 / 2,792,981</w:t>
            </w:r>
          </w:p>
        </w:tc>
        <w:tc>
          <w:tcPr>
            <w:tcW w:w="3120" w:type="dxa"/>
          </w:tcPr>
          <w:p w14:paraId="1BE633CD" w14:textId="77777777" w:rsidR="00E316A3" w:rsidRDefault="00000000">
            <w:r>
              <w:t>4.7%</w:t>
            </w:r>
          </w:p>
        </w:tc>
      </w:tr>
      <w:tr w:rsidR="00E316A3" w14:paraId="188AA1AC" w14:textId="77777777">
        <w:tc>
          <w:tcPr>
            <w:tcW w:w="3120" w:type="dxa"/>
          </w:tcPr>
          <w:p w14:paraId="566BCCDC" w14:textId="77777777" w:rsidR="00E316A3" w:rsidRDefault="00000000">
            <w:r>
              <w:t>Leverage (assets per €1 of equity)</w:t>
            </w:r>
          </w:p>
        </w:tc>
        <w:tc>
          <w:tcPr>
            <w:tcW w:w="3120" w:type="dxa"/>
          </w:tcPr>
          <w:p w14:paraId="009EF376" w14:textId="77777777" w:rsidR="00E316A3" w:rsidRDefault="00000000">
            <w:r>
              <w:t>2,792,981 / 132,173</w:t>
            </w:r>
          </w:p>
        </w:tc>
        <w:tc>
          <w:tcPr>
            <w:tcW w:w="3120" w:type="dxa"/>
          </w:tcPr>
          <w:p w14:paraId="6CEE99AE" w14:textId="77777777" w:rsidR="00E316A3" w:rsidRDefault="00000000">
            <w:r>
              <w:t>21x</w:t>
            </w:r>
          </w:p>
        </w:tc>
      </w:tr>
      <w:tr w:rsidR="00E316A3" w14:paraId="50334B88" w14:textId="77777777">
        <w:tc>
          <w:tcPr>
            <w:tcW w:w="3120" w:type="dxa"/>
          </w:tcPr>
          <w:p w14:paraId="1969136F" w14:textId="77777777" w:rsidR="00E316A3" w:rsidRDefault="00000000">
            <w:r>
              <w:t>Loan-to-deposit ratio</w:t>
            </w:r>
          </w:p>
        </w:tc>
        <w:tc>
          <w:tcPr>
            <w:tcW w:w="3120" w:type="dxa"/>
          </w:tcPr>
          <w:p w14:paraId="6F1B5BE5" w14:textId="77777777" w:rsidR="00E316A3" w:rsidRDefault="00000000">
            <w:r>
              <w:t>897,358 / 1,075,564</w:t>
            </w:r>
          </w:p>
        </w:tc>
        <w:tc>
          <w:tcPr>
            <w:tcW w:w="3120" w:type="dxa"/>
          </w:tcPr>
          <w:p w14:paraId="07A1407A" w14:textId="77777777" w:rsidR="00E316A3" w:rsidRDefault="00000000">
            <w:r>
              <w:t>83%</w:t>
            </w:r>
          </w:p>
        </w:tc>
      </w:tr>
      <w:tr w:rsidR="00E316A3" w14:paraId="26A7DFBC" w14:textId="77777777">
        <w:tc>
          <w:tcPr>
            <w:tcW w:w="3120" w:type="dxa"/>
          </w:tcPr>
          <w:p w14:paraId="5AE5779F" w14:textId="77777777" w:rsidR="00E316A3" w:rsidRDefault="00000000">
            <w:r>
              <w:lastRenderedPageBreak/>
              <w:t>Return on assets (net income / total assets)</w:t>
            </w:r>
          </w:p>
        </w:tc>
        <w:tc>
          <w:tcPr>
            <w:tcW w:w="3120" w:type="dxa"/>
          </w:tcPr>
          <w:p w14:paraId="302AF916" w14:textId="77777777" w:rsidR="00E316A3" w:rsidRDefault="00000000">
            <w:r>
              <w:t>12,858 / 2,792,981</w:t>
            </w:r>
          </w:p>
        </w:tc>
        <w:tc>
          <w:tcPr>
            <w:tcW w:w="3120" w:type="dxa"/>
          </w:tcPr>
          <w:p w14:paraId="7BA2912A" w14:textId="77777777" w:rsidR="00E316A3" w:rsidRDefault="00000000">
            <w:r>
              <w:t>0.46%</w:t>
            </w:r>
          </w:p>
        </w:tc>
      </w:tr>
    </w:tbl>
    <w:p w14:paraId="113F034B" w14:textId="77777777" w:rsidR="00E316A3" w:rsidRDefault="00000000">
      <w:pPr>
        <w:pStyle w:val="ListParagraph"/>
        <w:numPr>
          <w:ilvl w:val="0"/>
          <w:numId w:val="4"/>
        </w:numPr>
      </w:pPr>
      <w:r>
        <w:rPr>
          <w:b/>
        </w:rPr>
        <w:t>Leverage of 21x</w:t>
      </w:r>
      <w:r>
        <w:t xml:space="preserve"> means each euro of shareholders' money supports €21 of assets. A 4.7% fall in asset values would in theory wipe out equity. This accounting ratio is not the regulatory one: regulators measure capital against </w:t>
      </w:r>
      <w:r>
        <w:rPr>
          <w:i/>
        </w:rPr>
        <w:t>risk-weighted</w:t>
      </w:r>
      <w:r>
        <w:t xml:space="preserve"> assets, which are much smaller than total assets because safe assets (cash at central banks, sovereign bonds) carry low weights.</w:t>
      </w:r>
    </w:p>
    <w:p w14:paraId="396E1F7A" w14:textId="77777777" w:rsidR="00E316A3" w:rsidRDefault="00000000">
      <w:pPr>
        <w:pStyle w:val="ListParagraph"/>
        <w:numPr>
          <w:ilvl w:val="0"/>
          <w:numId w:val="4"/>
        </w:numPr>
      </w:pPr>
      <w:r>
        <w:rPr>
          <w:b/>
        </w:rPr>
        <w:t>Return on assets of 0.46%</w:t>
      </w:r>
      <w:r>
        <w:t xml:space="preserve"> is typical of a large European bank. Net income of €12.9bn is large in absolute terms, but small relative to the size of the balance sheet. Banks earn thin margins on a very large volume of assets.</w:t>
      </w:r>
    </w:p>
    <w:p w14:paraId="50BA4CE2" w14:textId="77777777" w:rsidR="00E316A3" w:rsidRDefault="00000000">
      <w:pPr>
        <w:pStyle w:val="ListParagraph"/>
        <w:numPr>
          <w:ilvl w:val="0"/>
          <w:numId w:val="4"/>
        </w:numPr>
      </w:pPr>
      <w:r>
        <w:rPr>
          <w:b/>
        </w:rPr>
        <w:t>Equity fell slightly</w:t>
      </w:r>
      <w:r>
        <w:t xml:space="preserve"> (€134.1bn to €132.2bn) despite record profit, mainly because of dividends, share buybacks and a €2.0bn decline in </w:t>
      </w:r>
      <w:proofErr w:type="spellStart"/>
      <w:r>
        <w:t>unrealised</w:t>
      </w:r>
      <w:proofErr w:type="spellEnd"/>
      <w:r>
        <w:t xml:space="preserve"> gains and losses </w:t>
      </w:r>
      <w:proofErr w:type="spellStart"/>
      <w:r>
        <w:t>recognised</w:t>
      </w:r>
      <w:proofErr w:type="spellEnd"/>
      <w:r>
        <w:t xml:space="preserve"> in equity.</w:t>
      </w:r>
    </w:p>
    <w:p w14:paraId="16245179" w14:textId="77777777" w:rsidR="00E316A3" w:rsidRDefault="00000000">
      <w:r>
        <w:rPr>
          <w:b/>
        </w:rPr>
        <w:t>Geographic footprint.</w:t>
      </w:r>
      <w:r>
        <w:t xml:space="preserve"> 80.9% of assets are booked in Europe, the Middle East and Africa (€2,260bn), 12.9% in the Americas (€361bn) and 6.2% in Asia-Pacific (€172bn) (Note 3, p. 67). BNP Paribas is a global bank, but with a strong European core.</w:t>
      </w:r>
    </w:p>
    <w:p w14:paraId="0A563A7E" w14:textId="77777777" w:rsidR="00E316A3" w:rsidRDefault="00000000">
      <w:pPr>
        <w:pStyle w:val="Heading2"/>
      </w:pPr>
      <w:r>
        <w:t>Part 2 — Business lines and the weight of each</w:t>
      </w:r>
    </w:p>
    <w:p w14:paraId="290EBBB5" w14:textId="77777777" w:rsidR="00E316A3" w:rsidRDefault="00000000">
      <w:r>
        <w:t xml:space="preserve">BNP Paribas is </w:t>
      </w:r>
      <w:proofErr w:type="spellStart"/>
      <w:r>
        <w:t>organised</w:t>
      </w:r>
      <w:proofErr w:type="spellEnd"/>
      <w:r>
        <w:t xml:space="preserve"> into </w:t>
      </w:r>
      <w:r>
        <w:rPr>
          <w:b/>
        </w:rPr>
        <w:t>three operating divisions</w:t>
      </w:r>
      <w:r>
        <w:t>. Commercial and retail banking (CPBS) is the biggest earner with about half of revenues, but the corporate and investment bank (CIB) uses almost half of the balance sheet and generates the largest profit per euro of revenue.</w:t>
      </w:r>
    </w:p>
    <w:p w14:paraId="3543D09E" w14:textId="77777777" w:rsidR="00E316A3" w:rsidRDefault="00000000">
      <w:pPr>
        <w:pStyle w:val="Heading3"/>
      </w:pPr>
      <w:r>
        <w:t>2.1 The three divisions</w:t>
      </w:r>
    </w:p>
    <w:p w14:paraId="05A70A47" w14:textId="77777777" w:rsidR="00E316A3" w:rsidRDefault="00000000">
      <w:pPr>
        <w:pStyle w:val="ListParagraph"/>
        <w:numPr>
          <w:ilvl w:val="0"/>
          <w:numId w:val="5"/>
        </w:numPr>
      </w:pPr>
      <w:r>
        <w:rPr>
          <w:b/>
        </w:rPr>
        <w:t>Corporate &amp; Institutional Banking (CIB)</w:t>
      </w:r>
      <w:r>
        <w:t xml:space="preserve"> serves large companies and institutions:</w:t>
      </w:r>
    </w:p>
    <w:p w14:paraId="74420734" w14:textId="77777777" w:rsidR="00E316A3" w:rsidRDefault="00000000">
      <w:pPr>
        <w:pStyle w:val="ListParagraph"/>
        <w:numPr>
          <w:ilvl w:val="1"/>
          <w:numId w:val="6"/>
        </w:numPr>
      </w:pPr>
      <w:r>
        <w:rPr>
          <w:i/>
        </w:rPr>
        <w:t>Global Banking</w:t>
      </w:r>
      <w:r>
        <w:t>: corporate lending, transaction banking, M&amp;A advice, bond and equity issuance</w:t>
      </w:r>
    </w:p>
    <w:p w14:paraId="241B45B0" w14:textId="77777777" w:rsidR="00E316A3" w:rsidRDefault="00000000">
      <w:pPr>
        <w:pStyle w:val="ListParagraph"/>
        <w:numPr>
          <w:ilvl w:val="1"/>
          <w:numId w:val="6"/>
        </w:numPr>
      </w:pPr>
      <w:r>
        <w:rPr>
          <w:i/>
        </w:rPr>
        <w:t>Global Markets</w:t>
      </w:r>
      <w:r>
        <w:t>: trading and sales of bonds, currencies, equities and derivatives</w:t>
      </w:r>
    </w:p>
    <w:p w14:paraId="454D24B7" w14:textId="77777777" w:rsidR="00E316A3" w:rsidRDefault="00000000">
      <w:pPr>
        <w:pStyle w:val="ListParagraph"/>
        <w:numPr>
          <w:ilvl w:val="1"/>
          <w:numId w:val="6"/>
        </w:numPr>
      </w:pPr>
      <w:r>
        <w:rPr>
          <w:i/>
        </w:rPr>
        <w:t>Securities Services</w:t>
      </w:r>
      <w:r>
        <w:t>: custody and administration of securities for asset managers and investors</w:t>
      </w:r>
    </w:p>
    <w:p w14:paraId="3B8647AA" w14:textId="77777777" w:rsidR="00E316A3" w:rsidRDefault="00000000">
      <w:pPr>
        <w:pStyle w:val="ListParagraph"/>
        <w:numPr>
          <w:ilvl w:val="0"/>
          <w:numId w:val="5"/>
        </w:numPr>
      </w:pPr>
      <w:r>
        <w:rPr>
          <w:b/>
        </w:rPr>
        <w:t>Commercial, Personal Banking &amp; Services (CPBS)</w:t>
      </w:r>
      <w:r>
        <w:t xml:space="preserve"> serves individuals, professionals and SMEs:</w:t>
      </w:r>
    </w:p>
    <w:p w14:paraId="29780DAA" w14:textId="77777777" w:rsidR="00E316A3" w:rsidRDefault="00000000">
      <w:pPr>
        <w:pStyle w:val="ListParagraph"/>
        <w:numPr>
          <w:ilvl w:val="1"/>
          <w:numId w:val="7"/>
        </w:numPr>
      </w:pPr>
      <w:r>
        <w:rPr>
          <w:i/>
        </w:rPr>
        <w:t>Eurozone retail networks</w:t>
      </w:r>
      <w:r>
        <w:t>: France (CPBF), Italy (BNL), Belgium (BNP Paribas Fortis), Luxembourg (BGL)</w:t>
      </w:r>
    </w:p>
    <w:p w14:paraId="7DB1027A" w14:textId="77777777" w:rsidR="00E316A3" w:rsidRDefault="00000000">
      <w:pPr>
        <w:pStyle w:val="ListParagraph"/>
        <w:numPr>
          <w:ilvl w:val="1"/>
          <w:numId w:val="7"/>
        </w:numPr>
      </w:pPr>
      <w:r>
        <w:rPr>
          <w:i/>
        </w:rPr>
        <w:t>Europe-Mediterranean</w:t>
      </w:r>
      <w:r>
        <w:t>: Poland, Türkiye and other countries outside the eurozone</w:t>
      </w:r>
    </w:p>
    <w:p w14:paraId="0AB90CB7" w14:textId="77777777" w:rsidR="00E316A3" w:rsidRDefault="00000000">
      <w:pPr>
        <w:pStyle w:val="ListParagraph"/>
        <w:numPr>
          <w:ilvl w:val="1"/>
          <w:numId w:val="7"/>
        </w:numPr>
      </w:pPr>
      <w:proofErr w:type="spellStart"/>
      <w:r>
        <w:rPr>
          <w:i/>
        </w:rPr>
        <w:t>Specialised</w:t>
      </w:r>
      <w:proofErr w:type="spellEnd"/>
      <w:r>
        <w:rPr>
          <w:i/>
        </w:rPr>
        <w:t xml:space="preserve"> businesses</w:t>
      </w:r>
      <w:r>
        <w:t xml:space="preserve">: Personal Finance (consumer credit), Arval (car leasing) and Leasing Solutions, digital banks (Nickel, Floa, </w:t>
      </w:r>
      <w:proofErr w:type="spellStart"/>
      <w:r>
        <w:t>Lyf</w:t>
      </w:r>
      <w:proofErr w:type="spellEnd"/>
      <w:r>
        <w:t>) and Personal Investors</w:t>
      </w:r>
    </w:p>
    <w:p w14:paraId="78298ED6" w14:textId="77777777" w:rsidR="00E316A3" w:rsidRDefault="00000000">
      <w:pPr>
        <w:pStyle w:val="ListParagraph"/>
        <w:numPr>
          <w:ilvl w:val="0"/>
          <w:numId w:val="5"/>
        </w:numPr>
      </w:pPr>
      <w:r>
        <w:rPr>
          <w:b/>
        </w:rPr>
        <w:t>Investment &amp; Protection Services (IPS)</w:t>
      </w:r>
      <w:r>
        <w:t xml:space="preserve"> manages and protects savings:</w:t>
      </w:r>
    </w:p>
    <w:p w14:paraId="6D599715" w14:textId="77777777" w:rsidR="00E316A3" w:rsidRDefault="00000000">
      <w:pPr>
        <w:pStyle w:val="ListParagraph"/>
        <w:numPr>
          <w:ilvl w:val="1"/>
          <w:numId w:val="8"/>
        </w:numPr>
      </w:pPr>
      <w:r>
        <w:rPr>
          <w:i/>
        </w:rPr>
        <w:t>Insurance</w:t>
      </w:r>
      <w:r>
        <w:t xml:space="preserve"> (BNP Paribas </w:t>
      </w:r>
      <w:proofErr w:type="spellStart"/>
      <w:r>
        <w:t>Cardif</w:t>
      </w:r>
      <w:proofErr w:type="spellEnd"/>
      <w:r>
        <w:t xml:space="preserve">), </w:t>
      </w:r>
      <w:r>
        <w:rPr>
          <w:i/>
        </w:rPr>
        <w:t>Wealth Management</w:t>
      </w:r>
      <w:r>
        <w:t xml:space="preserve">, </w:t>
      </w:r>
      <w:r>
        <w:rPr>
          <w:i/>
        </w:rPr>
        <w:t>Asset Management</w:t>
      </w:r>
      <w:r>
        <w:t xml:space="preserve"> (including Real Estate and the group's investment portfolio) and </w:t>
      </w:r>
      <w:r>
        <w:rPr>
          <w:i/>
        </w:rPr>
        <w:t>AXA IM</w:t>
      </w:r>
      <w:r>
        <w:t>, acquired and consolidated in 2025</w:t>
      </w:r>
    </w:p>
    <w:p w14:paraId="2105FDD6" w14:textId="77777777" w:rsidR="00E316A3" w:rsidRDefault="00000000">
      <w:r>
        <w:t xml:space="preserve">A fourth segment, </w:t>
      </w:r>
      <w:r>
        <w:rPr>
          <w:b/>
        </w:rPr>
        <w:t>Other Activities</w:t>
      </w:r>
      <w:r>
        <w:t>, is not a business line. It holds the central treasury, restructuring and integration costs, the run-off mortgage portfolio of Personal Finance and accounting restatements linked to IFRS 17 insurance rules.</w:t>
      </w:r>
    </w:p>
    <w:p w14:paraId="7DE7C24C" w14:textId="77777777" w:rsidR="00E316A3" w:rsidRDefault="00000000">
      <w:pPr>
        <w:pStyle w:val="Heading3"/>
      </w:pPr>
      <w:r>
        <w:lastRenderedPageBreak/>
        <w:t>2.2 Weight of each division</w:t>
      </w:r>
    </w:p>
    <w:p w14:paraId="3F15C95B" w14:textId="77777777" w:rsidR="00E316A3" w:rsidRDefault="00000000">
      <w:r>
        <w:rPr>
          <w:noProof/>
        </w:rPr>
        <w:drawing>
          <wp:inline distT="0" distB="0" distL="0" distR="0" wp14:anchorId="6CDB8BF8" wp14:editId="3D959E22">
            <wp:extent cx="5486400" cy="2432957"/>
            <wp:effectExtent l="0" t="0" r="0" b="0"/>
            <wp:docPr id="1" name="image1" descr="BNP Paribas, Consolidated Financial Statements 2025, Note 3 Segment information, pp. 63 and 66"/>
            <wp:cNvGraphicFramePr/>
            <a:graphic xmlns:a="http://schemas.openxmlformats.org/drawingml/2006/main">
              <a:graphicData uri="http://schemas.openxmlformats.org/drawingml/2006/picture">
                <pic:pic xmlns:pic="http://schemas.openxmlformats.org/drawingml/2006/picture">
                  <pic:nvPicPr>
                    <pic:cNvPr id="1" name="image1" descr="BNP Paribas, Consolidated Financial Statements 2025, Note 3 Segment information, pp. 63 and 66"/>
                    <pic:cNvPicPr/>
                  </pic:nvPicPr>
                  <pic:blipFill>
                    <a:blip r:embed="rId5"/>
                    <a:stretch>
                      <a:fillRect/>
                    </a:stretch>
                  </pic:blipFill>
                  <pic:spPr>
                    <a:xfrm>
                      <a:off x="0" y="0"/>
                      <a:ext cx="5486400" cy="2432957"/>
                    </a:xfrm>
                    <a:prstGeom prst="rect">
                      <a:avLst/>
                    </a:prstGeom>
                  </pic:spPr>
                </pic:pic>
              </a:graphicData>
            </a:graphic>
          </wp:inline>
        </w:drawing>
      </w:r>
    </w:p>
    <w:p w14:paraId="41DA89B1" w14:textId="77777777" w:rsidR="00E316A3" w:rsidRDefault="00000000">
      <w:r>
        <w:t>BNP Paribas, Consolidated Financial Statements 2025, Note 3 Segment information, pp. 63 and 66</w:t>
      </w:r>
    </w:p>
    <w:tbl>
      <w:tblPr>
        <w:tblStyle w:val="TableGrid"/>
        <w:tblW w:w="0" w:type="auto"/>
        <w:tblLayout w:type="fixed"/>
        <w:tblLook w:val="0420" w:firstRow="1" w:lastRow="0" w:firstColumn="0" w:lastColumn="0" w:noHBand="0" w:noVBand="1"/>
      </w:tblPr>
      <w:tblGrid>
        <w:gridCol w:w="1170"/>
        <w:gridCol w:w="1170"/>
        <w:gridCol w:w="1170"/>
        <w:gridCol w:w="1170"/>
        <w:gridCol w:w="1170"/>
        <w:gridCol w:w="1170"/>
        <w:gridCol w:w="1170"/>
        <w:gridCol w:w="1170"/>
      </w:tblGrid>
      <w:tr w:rsidR="00E316A3" w14:paraId="56B50386" w14:textId="77777777">
        <w:trPr>
          <w:tblHeader/>
        </w:trPr>
        <w:tc>
          <w:tcPr>
            <w:tcW w:w="1170" w:type="dxa"/>
            <w:shd w:val="clear" w:color="auto" w:fill="F2F2F2"/>
          </w:tcPr>
          <w:p w14:paraId="77E118C6" w14:textId="77777777" w:rsidR="00E316A3" w:rsidRDefault="00000000">
            <w:r>
              <w:t>Division</w:t>
            </w:r>
          </w:p>
        </w:tc>
        <w:tc>
          <w:tcPr>
            <w:tcW w:w="1170" w:type="dxa"/>
            <w:shd w:val="clear" w:color="auto" w:fill="F2F2F2"/>
          </w:tcPr>
          <w:p w14:paraId="11805D18" w14:textId="77777777" w:rsidR="00E316A3" w:rsidRDefault="00000000">
            <w:r>
              <w:t>Revenues 2025 (€m)</w:t>
            </w:r>
          </w:p>
        </w:tc>
        <w:tc>
          <w:tcPr>
            <w:tcW w:w="1170" w:type="dxa"/>
            <w:shd w:val="clear" w:color="auto" w:fill="F2F2F2"/>
          </w:tcPr>
          <w:p w14:paraId="04800A42" w14:textId="77777777" w:rsidR="00E316A3" w:rsidRDefault="00000000">
            <w:r>
              <w:t>% of group</w:t>
            </w:r>
          </w:p>
        </w:tc>
        <w:tc>
          <w:tcPr>
            <w:tcW w:w="1170" w:type="dxa"/>
            <w:shd w:val="clear" w:color="auto" w:fill="F2F2F2"/>
          </w:tcPr>
          <w:p w14:paraId="3F1643B8" w14:textId="77777777" w:rsidR="00E316A3" w:rsidRDefault="00000000">
            <w:r>
              <w:t>Pre-tax income 2025 (€m)</w:t>
            </w:r>
          </w:p>
        </w:tc>
        <w:tc>
          <w:tcPr>
            <w:tcW w:w="1170" w:type="dxa"/>
            <w:shd w:val="clear" w:color="auto" w:fill="F2F2F2"/>
          </w:tcPr>
          <w:p w14:paraId="5430B718" w14:textId="77777777" w:rsidR="00E316A3" w:rsidRDefault="00000000">
            <w:r>
              <w:t>% of group</w:t>
            </w:r>
          </w:p>
        </w:tc>
        <w:tc>
          <w:tcPr>
            <w:tcW w:w="1170" w:type="dxa"/>
            <w:shd w:val="clear" w:color="auto" w:fill="F2F2F2"/>
          </w:tcPr>
          <w:p w14:paraId="6BECF7F8" w14:textId="77777777" w:rsidR="00E316A3" w:rsidRDefault="00000000">
            <w:r>
              <w:t>Total assets 31/12/2025 (€m)</w:t>
            </w:r>
          </w:p>
        </w:tc>
        <w:tc>
          <w:tcPr>
            <w:tcW w:w="1170" w:type="dxa"/>
            <w:shd w:val="clear" w:color="auto" w:fill="F2F2F2"/>
          </w:tcPr>
          <w:p w14:paraId="7CF1E6A4" w14:textId="77777777" w:rsidR="00E316A3" w:rsidRDefault="00000000">
            <w:r>
              <w:t>% of group</w:t>
            </w:r>
          </w:p>
        </w:tc>
        <w:tc>
          <w:tcPr>
            <w:tcW w:w="1170" w:type="dxa"/>
            <w:shd w:val="clear" w:color="auto" w:fill="F2F2F2"/>
          </w:tcPr>
          <w:p w14:paraId="672A2407" w14:textId="77777777" w:rsidR="00E316A3" w:rsidRDefault="00000000">
            <w:r>
              <w:t>Revenue growth vs 2024</w:t>
            </w:r>
          </w:p>
        </w:tc>
      </w:tr>
      <w:tr w:rsidR="00E316A3" w14:paraId="75F2A76B" w14:textId="77777777">
        <w:tc>
          <w:tcPr>
            <w:tcW w:w="1170" w:type="dxa"/>
          </w:tcPr>
          <w:p w14:paraId="7955037E" w14:textId="77777777" w:rsidR="00E316A3" w:rsidRDefault="00000000">
            <w:r>
              <w:t>Commercial, Personal Banking &amp; Services (CPBS)</w:t>
            </w:r>
          </w:p>
        </w:tc>
        <w:tc>
          <w:tcPr>
            <w:tcW w:w="1170" w:type="dxa"/>
          </w:tcPr>
          <w:p w14:paraId="4D73F47B" w14:textId="77777777" w:rsidR="00E316A3" w:rsidRDefault="00000000">
            <w:r>
              <w:t>26,717</w:t>
            </w:r>
          </w:p>
        </w:tc>
        <w:tc>
          <w:tcPr>
            <w:tcW w:w="1170" w:type="dxa"/>
          </w:tcPr>
          <w:p w14:paraId="7476E853" w14:textId="77777777" w:rsidR="00E316A3" w:rsidRDefault="00000000">
            <w:r>
              <w:t>52.2%</w:t>
            </w:r>
          </w:p>
        </w:tc>
        <w:tc>
          <w:tcPr>
            <w:tcW w:w="1170" w:type="dxa"/>
          </w:tcPr>
          <w:p w14:paraId="10BBA999" w14:textId="77777777" w:rsidR="00E316A3" w:rsidRDefault="00000000">
            <w:r>
              <w:t>7,805</w:t>
            </w:r>
          </w:p>
        </w:tc>
        <w:tc>
          <w:tcPr>
            <w:tcW w:w="1170" w:type="dxa"/>
          </w:tcPr>
          <w:p w14:paraId="0A66065C" w14:textId="77777777" w:rsidR="00E316A3" w:rsidRDefault="00000000">
            <w:r>
              <w:t>45.7%</w:t>
            </w:r>
          </w:p>
        </w:tc>
        <w:tc>
          <w:tcPr>
            <w:tcW w:w="1170" w:type="dxa"/>
          </w:tcPr>
          <w:p w14:paraId="070EBE9C" w14:textId="77777777" w:rsidR="00E316A3" w:rsidRDefault="00000000">
            <w:r>
              <w:t>821,207</w:t>
            </w:r>
          </w:p>
        </w:tc>
        <w:tc>
          <w:tcPr>
            <w:tcW w:w="1170" w:type="dxa"/>
          </w:tcPr>
          <w:p w14:paraId="5BB30936" w14:textId="77777777" w:rsidR="00E316A3" w:rsidRDefault="00000000">
            <w:r>
              <w:t>29.4%</w:t>
            </w:r>
          </w:p>
        </w:tc>
        <w:tc>
          <w:tcPr>
            <w:tcW w:w="1170" w:type="dxa"/>
          </w:tcPr>
          <w:p w14:paraId="7E7552B3" w14:textId="77777777" w:rsidR="00E316A3" w:rsidRDefault="00000000">
            <w:r>
              <w:t>+2.6%</w:t>
            </w:r>
          </w:p>
        </w:tc>
      </w:tr>
      <w:tr w:rsidR="00E316A3" w14:paraId="12718E51" w14:textId="77777777">
        <w:tc>
          <w:tcPr>
            <w:tcW w:w="1170" w:type="dxa"/>
          </w:tcPr>
          <w:p w14:paraId="790DA097" w14:textId="77777777" w:rsidR="00E316A3" w:rsidRDefault="00000000">
            <w:r>
              <w:t>Corporate &amp; Institutional Banking (CIB)</w:t>
            </w:r>
          </w:p>
        </w:tc>
        <w:tc>
          <w:tcPr>
            <w:tcW w:w="1170" w:type="dxa"/>
          </w:tcPr>
          <w:p w14:paraId="1AD6B047" w14:textId="77777777" w:rsidR="00E316A3" w:rsidRDefault="00000000">
            <w:r>
              <w:t>18,997</w:t>
            </w:r>
          </w:p>
        </w:tc>
        <w:tc>
          <w:tcPr>
            <w:tcW w:w="1170" w:type="dxa"/>
          </w:tcPr>
          <w:p w14:paraId="39354B2A" w14:textId="77777777" w:rsidR="00E316A3" w:rsidRDefault="00000000">
            <w:r>
              <w:t>37.1%</w:t>
            </w:r>
          </w:p>
        </w:tc>
        <w:tc>
          <w:tcPr>
            <w:tcW w:w="1170" w:type="dxa"/>
          </w:tcPr>
          <w:p w14:paraId="4C916D03" w14:textId="77777777" w:rsidR="00E316A3" w:rsidRDefault="00000000">
            <w:r>
              <w:t>7,506</w:t>
            </w:r>
          </w:p>
        </w:tc>
        <w:tc>
          <w:tcPr>
            <w:tcW w:w="1170" w:type="dxa"/>
          </w:tcPr>
          <w:p w14:paraId="020FF55E" w14:textId="77777777" w:rsidR="00E316A3" w:rsidRDefault="00000000">
            <w:r>
              <w:t>44.0%</w:t>
            </w:r>
          </w:p>
        </w:tc>
        <w:tc>
          <w:tcPr>
            <w:tcW w:w="1170" w:type="dxa"/>
          </w:tcPr>
          <w:p w14:paraId="3944D27E" w14:textId="77777777" w:rsidR="00E316A3" w:rsidRDefault="00000000">
            <w:r>
              <w:t>1,280,405</w:t>
            </w:r>
          </w:p>
        </w:tc>
        <w:tc>
          <w:tcPr>
            <w:tcW w:w="1170" w:type="dxa"/>
          </w:tcPr>
          <w:p w14:paraId="204C0039" w14:textId="77777777" w:rsidR="00E316A3" w:rsidRDefault="00000000">
            <w:r>
              <w:t>45.8%</w:t>
            </w:r>
          </w:p>
        </w:tc>
        <w:tc>
          <w:tcPr>
            <w:tcW w:w="1170" w:type="dxa"/>
          </w:tcPr>
          <w:p w14:paraId="1EB14A06" w14:textId="77777777" w:rsidR="00E316A3" w:rsidRDefault="00000000">
            <w:r>
              <w:t>+5.6%</w:t>
            </w:r>
          </w:p>
        </w:tc>
      </w:tr>
      <w:tr w:rsidR="00E316A3" w14:paraId="67F56F16" w14:textId="77777777">
        <w:tc>
          <w:tcPr>
            <w:tcW w:w="1170" w:type="dxa"/>
          </w:tcPr>
          <w:p w14:paraId="296D6D81" w14:textId="77777777" w:rsidR="00E316A3" w:rsidRDefault="00000000">
            <w:r>
              <w:t>Investment &amp; Protection Services (IPS)</w:t>
            </w:r>
          </w:p>
        </w:tc>
        <w:tc>
          <w:tcPr>
            <w:tcW w:w="1170" w:type="dxa"/>
          </w:tcPr>
          <w:p w14:paraId="660EAA8E" w14:textId="77777777" w:rsidR="00E316A3" w:rsidRDefault="00000000">
            <w:r>
              <w:t>6,929</w:t>
            </w:r>
          </w:p>
        </w:tc>
        <w:tc>
          <w:tcPr>
            <w:tcW w:w="1170" w:type="dxa"/>
          </w:tcPr>
          <w:p w14:paraId="5BB1E85E" w14:textId="77777777" w:rsidR="00E316A3" w:rsidRDefault="00000000">
            <w:r>
              <w:t>13.5%</w:t>
            </w:r>
          </w:p>
        </w:tc>
        <w:tc>
          <w:tcPr>
            <w:tcW w:w="1170" w:type="dxa"/>
          </w:tcPr>
          <w:p w14:paraId="532C55BC" w14:textId="77777777" w:rsidR="00E316A3" w:rsidRDefault="00000000">
            <w:r>
              <w:t>3,089</w:t>
            </w:r>
          </w:p>
        </w:tc>
        <w:tc>
          <w:tcPr>
            <w:tcW w:w="1170" w:type="dxa"/>
          </w:tcPr>
          <w:p w14:paraId="66E1E33D" w14:textId="77777777" w:rsidR="00E316A3" w:rsidRDefault="00000000">
            <w:r>
              <w:t>18.1%</w:t>
            </w:r>
          </w:p>
        </w:tc>
        <w:tc>
          <w:tcPr>
            <w:tcW w:w="1170" w:type="dxa"/>
          </w:tcPr>
          <w:p w14:paraId="02D7821E" w14:textId="77777777" w:rsidR="00E316A3" w:rsidRDefault="00000000">
            <w:r>
              <w:t>345,077</w:t>
            </w:r>
          </w:p>
        </w:tc>
        <w:tc>
          <w:tcPr>
            <w:tcW w:w="1170" w:type="dxa"/>
          </w:tcPr>
          <w:p w14:paraId="20A75C0B" w14:textId="77777777" w:rsidR="00E316A3" w:rsidRDefault="00000000">
            <w:r>
              <w:t>12.4%</w:t>
            </w:r>
          </w:p>
        </w:tc>
        <w:tc>
          <w:tcPr>
            <w:tcW w:w="1170" w:type="dxa"/>
          </w:tcPr>
          <w:p w14:paraId="4F82CCBE" w14:textId="77777777" w:rsidR="00E316A3" w:rsidRDefault="00000000">
            <w:r>
              <w:t>+19.6%</w:t>
            </w:r>
          </w:p>
        </w:tc>
      </w:tr>
      <w:tr w:rsidR="00E316A3" w14:paraId="7D0156EA" w14:textId="77777777">
        <w:tc>
          <w:tcPr>
            <w:tcW w:w="1170" w:type="dxa"/>
          </w:tcPr>
          <w:p w14:paraId="4DB38592" w14:textId="77777777" w:rsidR="00E316A3" w:rsidRDefault="00000000">
            <w:r>
              <w:t>Other Activities</w:t>
            </w:r>
          </w:p>
        </w:tc>
        <w:tc>
          <w:tcPr>
            <w:tcW w:w="1170" w:type="dxa"/>
          </w:tcPr>
          <w:p w14:paraId="7B17FF10" w14:textId="77777777" w:rsidR="00E316A3" w:rsidRDefault="00000000">
            <w:r>
              <w:t>−1,420</w:t>
            </w:r>
          </w:p>
        </w:tc>
        <w:tc>
          <w:tcPr>
            <w:tcW w:w="1170" w:type="dxa"/>
          </w:tcPr>
          <w:p w14:paraId="62A0FE86" w14:textId="77777777" w:rsidR="00E316A3" w:rsidRDefault="00000000">
            <w:r>
              <w:t>−2.8%</w:t>
            </w:r>
          </w:p>
        </w:tc>
        <w:tc>
          <w:tcPr>
            <w:tcW w:w="1170" w:type="dxa"/>
          </w:tcPr>
          <w:p w14:paraId="5551424E" w14:textId="77777777" w:rsidR="00E316A3" w:rsidRDefault="00000000">
            <w:r>
              <w:t>−1,335</w:t>
            </w:r>
          </w:p>
        </w:tc>
        <w:tc>
          <w:tcPr>
            <w:tcW w:w="1170" w:type="dxa"/>
          </w:tcPr>
          <w:p w14:paraId="29698C32" w14:textId="77777777" w:rsidR="00E316A3" w:rsidRDefault="00000000">
            <w:r>
              <w:t>−7.8%</w:t>
            </w:r>
          </w:p>
        </w:tc>
        <w:tc>
          <w:tcPr>
            <w:tcW w:w="1170" w:type="dxa"/>
          </w:tcPr>
          <w:p w14:paraId="5134162E" w14:textId="77777777" w:rsidR="00E316A3" w:rsidRDefault="00000000">
            <w:r>
              <w:t>346,292</w:t>
            </w:r>
          </w:p>
        </w:tc>
        <w:tc>
          <w:tcPr>
            <w:tcW w:w="1170" w:type="dxa"/>
          </w:tcPr>
          <w:p w14:paraId="5643CF81" w14:textId="77777777" w:rsidR="00E316A3" w:rsidRDefault="00000000">
            <w:r>
              <w:t>12.4%</w:t>
            </w:r>
          </w:p>
        </w:tc>
        <w:tc>
          <w:tcPr>
            <w:tcW w:w="1170" w:type="dxa"/>
          </w:tcPr>
          <w:p w14:paraId="027C7E2E" w14:textId="77777777" w:rsidR="00E316A3" w:rsidRDefault="00000000">
            <w:r>
              <w:t>—</w:t>
            </w:r>
          </w:p>
        </w:tc>
      </w:tr>
      <w:tr w:rsidR="00E316A3" w14:paraId="6CB71492" w14:textId="77777777">
        <w:tc>
          <w:tcPr>
            <w:tcW w:w="1170" w:type="dxa"/>
          </w:tcPr>
          <w:p w14:paraId="377055A8" w14:textId="77777777" w:rsidR="00E316A3" w:rsidRDefault="00000000">
            <w:r>
              <w:rPr>
                <w:b/>
              </w:rPr>
              <w:t>Group total</w:t>
            </w:r>
          </w:p>
        </w:tc>
        <w:tc>
          <w:tcPr>
            <w:tcW w:w="1170" w:type="dxa"/>
          </w:tcPr>
          <w:p w14:paraId="6B92E82B" w14:textId="77777777" w:rsidR="00E316A3" w:rsidRDefault="00000000">
            <w:r>
              <w:rPr>
                <w:b/>
              </w:rPr>
              <w:t>51,223</w:t>
            </w:r>
          </w:p>
        </w:tc>
        <w:tc>
          <w:tcPr>
            <w:tcW w:w="1170" w:type="dxa"/>
          </w:tcPr>
          <w:p w14:paraId="7DE1A72A" w14:textId="77777777" w:rsidR="00E316A3" w:rsidRDefault="00000000">
            <w:r>
              <w:rPr>
                <w:b/>
              </w:rPr>
              <w:t>100%</w:t>
            </w:r>
          </w:p>
        </w:tc>
        <w:tc>
          <w:tcPr>
            <w:tcW w:w="1170" w:type="dxa"/>
          </w:tcPr>
          <w:p w14:paraId="54D6E5AD" w14:textId="77777777" w:rsidR="00E316A3" w:rsidRDefault="00000000">
            <w:r>
              <w:rPr>
                <w:b/>
              </w:rPr>
              <w:t>17,065</w:t>
            </w:r>
          </w:p>
        </w:tc>
        <w:tc>
          <w:tcPr>
            <w:tcW w:w="1170" w:type="dxa"/>
          </w:tcPr>
          <w:p w14:paraId="5335FB95" w14:textId="77777777" w:rsidR="00E316A3" w:rsidRDefault="00000000">
            <w:r>
              <w:rPr>
                <w:b/>
              </w:rPr>
              <w:t>100%</w:t>
            </w:r>
          </w:p>
        </w:tc>
        <w:tc>
          <w:tcPr>
            <w:tcW w:w="1170" w:type="dxa"/>
          </w:tcPr>
          <w:p w14:paraId="590165E2" w14:textId="77777777" w:rsidR="00E316A3" w:rsidRDefault="00000000">
            <w:r>
              <w:rPr>
                <w:b/>
              </w:rPr>
              <w:t>2,792,981</w:t>
            </w:r>
          </w:p>
        </w:tc>
        <w:tc>
          <w:tcPr>
            <w:tcW w:w="1170" w:type="dxa"/>
          </w:tcPr>
          <w:p w14:paraId="25AE7861" w14:textId="77777777" w:rsidR="00E316A3" w:rsidRDefault="00000000">
            <w:r>
              <w:rPr>
                <w:b/>
              </w:rPr>
              <w:t>100%</w:t>
            </w:r>
          </w:p>
        </w:tc>
        <w:tc>
          <w:tcPr>
            <w:tcW w:w="1170" w:type="dxa"/>
          </w:tcPr>
          <w:p w14:paraId="314CDC95" w14:textId="77777777" w:rsidR="00E316A3" w:rsidRDefault="00000000">
            <w:r>
              <w:rPr>
                <w:b/>
              </w:rPr>
              <w:t>+4.9%</w:t>
            </w:r>
          </w:p>
        </w:tc>
      </w:tr>
    </w:tbl>
    <w:p w14:paraId="469D1A14" w14:textId="77777777" w:rsidR="00E316A3" w:rsidRDefault="00000000">
      <w:proofErr w:type="gramStart"/>
      <w:r>
        <w:rPr>
          <w:i/>
          <w:lang w:val="fr-MA"/>
        </w:rPr>
        <w:lastRenderedPageBreak/>
        <w:t>Source:</w:t>
      </w:r>
      <w:proofErr w:type="gramEnd"/>
      <w:r>
        <w:rPr>
          <w:i/>
          <w:lang w:val="fr-MA"/>
        </w:rPr>
        <w:t xml:space="preserve"> Note 3, Segment information, pp. 63–66. </w:t>
      </w:r>
      <w:r>
        <w:rPr>
          <w:i/>
        </w:rPr>
        <w:t>Percentages are of group totals, so Other Activities makes the three divisions add up to slightly more than 100% on revenues and pre-tax income.</w:t>
      </w:r>
    </w:p>
    <w:p w14:paraId="13FE409E" w14:textId="77777777" w:rsidR="00E316A3" w:rsidRDefault="00000000">
      <w:r>
        <w:t>The weight of each division depends strongly on the measure used:</w:t>
      </w:r>
    </w:p>
    <w:p w14:paraId="1C01AE97" w14:textId="77777777" w:rsidR="00E316A3" w:rsidRDefault="00000000">
      <w:pPr>
        <w:pStyle w:val="ListParagraph"/>
        <w:numPr>
          <w:ilvl w:val="0"/>
          <w:numId w:val="9"/>
        </w:numPr>
      </w:pPr>
      <w:r>
        <w:rPr>
          <w:b/>
        </w:rPr>
        <w:t xml:space="preserve">CPBS is the largest </w:t>
      </w:r>
      <w:proofErr w:type="gramStart"/>
      <w:r>
        <w:rPr>
          <w:b/>
        </w:rPr>
        <w:t>by</w:t>
      </w:r>
      <w:proofErr w:type="gramEnd"/>
      <w:r>
        <w:rPr>
          <w:b/>
        </w:rPr>
        <w:t xml:space="preserve"> revenues (52%) and pre-tax income (46%)</w:t>
      </w:r>
      <w:r>
        <w:t xml:space="preserve"> but holds only 29% of assets. Retail and commercial banking earns high margins on loans and fees relative to the assets it uses. Its profit share is lower than its revenue share because it bears </w:t>
      </w:r>
      <w:r>
        <w:rPr>
          <w:b/>
        </w:rPr>
        <w:t>86% of the group's cost of risk</w:t>
      </w:r>
      <w:r>
        <w:t xml:space="preserve"> (€3,059m of €3,553m), mostly from consumer credit.</w:t>
      </w:r>
    </w:p>
    <w:p w14:paraId="07938B62" w14:textId="77777777" w:rsidR="00E316A3" w:rsidRDefault="00000000">
      <w:pPr>
        <w:pStyle w:val="ListParagraph"/>
        <w:numPr>
          <w:ilvl w:val="0"/>
          <w:numId w:val="9"/>
        </w:numPr>
      </w:pPr>
      <w:r>
        <w:rPr>
          <w:b/>
        </w:rPr>
        <w:t>CIB holds 46% of total assets but produces 37% of revenues.</w:t>
      </w:r>
      <w:r>
        <w:t xml:space="preserve"> Its market activities need a very large balance sheet (securities, repos, derivatives). However, CIB converts revenue into profit efficiently: it makes 44% of pre-tax income with 37% of revenues, thanks to a low cost of risk (€452m).</w:t>
      </w:r>
    </w:p>
    <w:p w14:paraId="4256EEBE" w14:textId="77777777" w:rsidR="00E316A3" w:rsidRDefault="00000000">
      <w:pPr>
        <w:pStyle w:val="ListParagraph"/>
        <w:numPr>
          <w:ilvl w:val="0"/>
          <w:numId w:val="9"/>
        </w:numPr>
      </w:pPr>
      <w:r>
        <w:rPr>
          <w:b/>
        </w:rPr>
        <w:t>IPS is the smallest (13.5% of revenues, 12% of assets) but the fastest growing (+19.6%)</w:t>
      </w:r>
      <w:r>
        <w:t xml:space="preserve"> and the most profitable relative to revenue (18% of pre-tax income). Growth comes largely from the first-time consolidation of AXA IM (€782m of revenues).</w:t>
      </w:r>
    </w:p>
    <w:p w14:paraId="1C11B515" w14:textId="77777777" w:rsidR="00E316A3" w:rsidRDefault="00000000">
      <w:pPr>
        <w:pStyle w:val="Heading3"/>
      </w:pPr>
      <w:r>
        <w:t>2.3 Inside each division</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E316A3" w14:paraId="19A4AE69" w14:textId="77777777">
        <w:trPr>
          <w:tblHeader/>
        </w:trPr>
        <w:tc>
          <w:tcPr>
            <w:tcW w:w="1560" w:type="dxa"/>
            <w:shd w:val="clear" w:color="auto" w:fill="F2F2F2"/>
          </w:tcPr>
          <w:p w14:paraId="6E5CBA19" w14:textId="77777777" w:rsidR="00E316A3" w:rsidRDefault="00000000">
            <w:r>
              <w:t>Business line</w:t>
            </w:r>
          </w:p>
        </w:tc>
        <w:tc>
          <w:tcPr>
            <w:tcW w:w="1560" w:type="dxa"/>
            <w:shd w:val="clear" w:color="auto" w:fill="F2F2F2"/>
          </w:tcPr>
          <w:p w14:paraId="765C3841" w14:textId="77777777" w:rsidR="00E316A3" w:rsidRDefault="00000000">
            <w:r>
              <w:t>Revenues (€m)</w:t>
            </w:r>
          </w:p>
        </w:tc>
        <w:tc>
          <w:tcPr>
            <w:tcW w:w="1560" w:type="dxa"/>
            <w:shd w:val="clear" w:color="auto" w:fill="F2F2F2"/>
          </w:tcPr>
          <w:p w14:paraId="4AE71A76" w14:textId="77777777" w:rsidR="00E316A3" w:rsidRDefault="00000000">
            <w:r>
              <w:t>% of its division</w:t>
            </w:r>
          </w:p>
        </w:tc>
        <w:tc>
          <w:tcPr>
            <w:tcW w:w="1560" w:type="dxa"/>
            <w:shd w:val="clear" w:color="auto" w:fill="F2F2F2"/>
          </w:tcPr>
          <w:p w14:paraId="1EEEFCA8" w14:textId="77777777" w:rsidR="00E316A3" w:rsidRDefault="00000000">
            <w:r>
              <w:t>Pre-tax income (€m)</w:t>
            </w:r>
          </w:p>
        </w:tc>
        <w:tc>
          <w:tcPr>
            <w:tcW w:w="1560" w:type="dxa"/>
            <w:shd w:val="clear" w:color="auto" w:fill="F2F2F2"/>
          </w:tcPr>
          <w:p w14:paraId="515F8010" w14:textId="77777777" w:rsidR="00E316A3" w:rsidRDefault="00000000">
            <w:r>
              <w:t>Assets (€m)</w:t>
            </w:r>
          </w:p>
        </w:tc>
        <w:tc>
          <w:tcPr>
            <w:tcW w:w="1560" w:type="dxa"/>
            <w:shd w:val="clear" w:color="auto" w:fill="F2F2F2"/>
          </w:tcPr>
          <w:p w14:paraId="57C0C725" w14:textId="77777777" w:rsidR="00E316A3" w:rsidRDefault="00000000">
            <w:r>
              <w:t>Cost / income ratio</w:t>
            </w:r>
          </w:p>
        </w:tc>
      </w:tr>
      <w:tr w:rsidR="00E316A3" w14:paraId="1E50F83D" w14:textId="77777777">
        <w:tc>
          <w:tcPr>
            <w:tcW w:w="1560" w:type="dxa"/>
          </w:tcPr>
          <w:p w14:paraId="5DC3AF0F" w14:textId="77777777" w:rsidR="00E316A3" w:rsidRDefault="00000000">
            <w:r>
              <w:rPr>
                <w:b/>
              </w:rPr>
              <w:t>CIB</w:t>
            </w:r>
          </w:p>
        </w:tc>
        <w:tc>
          <w:tcPr>
            <w:tcW w:w="1560" w:type="dxa"/>
          </w:tcPr>
          <w:p w14:paraId="371FC624" w14:textId="77777777" w:rsidR="00E316A3" w:rsidRDefault="00000000">
            <w:r>
              <w:rPr>
                <w:b/>
              </w:rPr>
              <w:t>18,997</w:t>
            </w:r>
          </w:p>
        </w:tc>
        <w:tc>
          <w:tcPr>
            <w:tcW w:w="1560" w:type="dxa"/>
          </w:tcPr>
          <w:p w14:paraId="590117F0" w14:textId="77777777" w:rsidR="00E316A3" w:rsidRDefault="00000000">
            <w:r>
              <w:rPr>
                <w:b/>
              </w:rPr>
              <w:t>100%</w:t>
            </w:r>
          </w:p>
        </w:tc>
        <w:tc>
          <w:tcPr>
            <w:tcW w:w="1560" w:type="dxa"/>
          </w:tcPr>
          <w:p w14:paraId="1A002942" w14:textId="77777777" w:rsidR="00E316A3" w:rsidRDefault="00000000">
            <w:r>
              <w:rPr>
                <w:b/>
              </w:rPr>
              <w:t>7,506</w:t>
            </w:r>
          </w:p>
        </w:tc>
        <w:tc>
          <w:tcPr>
            <w:tcW w:w="1560" w:type="dxa"/>
          </w:tcPr>
          <w:p w14:paraId="133B7F01" w14:textId="77777777" w:rsidR="00E316A3" w:rsidRDefault="00000000">
            <w:r>
              <w:rPr>
                <w:b/>
              </w:rPr>
              <w:t>1,280,405</w:t>
            </w:r>
          </w:p>
        </w:tc>
        <w:tc>
          <w:tcPr>
            <w:tcW w:w="1560" w:type="dxa"/>
          </w:tcPr>
          <w:p w14:paraId="6C83FB6A" w14:textId="77777777" w:rsidR="00E316A3" w:rsidRDefault="00000000">
            <w:r>
              <w:rPr>
                <w:b/>
              </w:rPr>
              <w:t>58%</w:t>
            </w:r>
          </w:p>
        </w:tc>
      </w:tr>
      <w:tr w:rsidR="00E316A3" w14:paraId="2650E1A3" w14:textId="77777777">
        <w:tc>
          <w:tcPr>
            <w:tcW w:w="1560" w:type="dxa"/>
          </w:tcPr>
          <w:p w14:paraId="234FF0D6" w14:textId="77777777" w:rsidR="00E316A3" w:rsidRDefault="00000000">
            <w:r>
              <w:t>Global Markets</w:t>
            </w:r>
          </w:p>
        </w:tc>
        <w:tc>
          <w:tcPr>
            <w:tcW w:w="1560" w:type="dxa"/>
          </w:tcPr>
          <w:p w14:paraId="4CD70FD1" w14:textId="77777777" w:rsidR="00E316A3" w:rsidRDefault="00000000">
            <w:r>
              <w:t>9,568</w:t>
            </w:r>
          </w:p>
        </w:tc>
        <w:tc>
          <w:tcPr>
            <w:tcW w:w="1560" w:type="dxa"/>
          </w:tcPr>
          <w:p w14:paraId="7186A91A" w14:textId="77777777" w:rsidR="00E316A3" w:rsidRDefault="00000000">
            <w:r>
              <w:t>50.4%</w:t>
            </w:r>
          </w:p>
        </w:tc>
        <w:tc>
          <w:tcPr>
            <w:tcW w:w="1560" w:type="dxa"/>
          </w:tcPr>
          <w:p w14:paraId="56124507" w14:textId="77777777" w:rsidR="00E316A3" w:rsidRDefault="00000000">
            <w:r>
              <w:t>3,399</w:t>
            </w:r>
          </w:p>
        </w:tc>
        <w:tc>
          <w:tcPr>
            <w:tcW w:w="1560" w:type="dxa"/>
          </w:tcPr>
          <w:p w14:paraId="15EEFDAE" w14:textId="77777777" w:rsidR="00E316A3" w:rsidRDefault="00000000">
            <w:r>
              <w:t>1,035,342</w:t>
            </w:r>
          </w:p>
        </w:tc>
        <w:tc>
          <w:tcPr>
            <w:tcW w:w="1560" w:type="dxa"/>
          </w:tcPr>
          <w:p w14:paraId="0C86B16A" w14:textId="77777777" w:rsidR="00E316A3" w:rsidRDefault="00000000">
            <w:r>
              <w:t>62%</w:t>
            </w:r>
          </w:p>
        </w:tc>
      </w:tr>
      <w:tr w:rsidR="00E316A3" w14:paraId="75CDB138" w14:textId="77777777">
        <w:tc>
          <w:tcPr>
            <w:tcW w:w="1560" w:type="dxa"/>
          </w:tcPr>
          <w:p w14:paraId="07ECF18D" w14:textId="77777777" w:rsidR="00E316A3" w:rsidRDefault="00000000">
            <w:r>
              <w:t>Global Banking</w:t>
            </w:r>
          </w:p>
        </w:tc>
        <w:tc>
          <w:tcPr>
            <w:tcW w:w="1560" w:type="dxa"/>
          </w:tcPr>
          <w:p w14:paraId="27FB5EB4" w14:textId="77777777" w:rsidR="00E316A3" w:rsidRDefault="00000000">
            <w:r>
              <w:t>6,244</w:t>
            </w:r>
          </w:p>
        </w:tc>
        <w:tc>
          <w:tcPr>
            <w:tcW w:w="1560" w:type="dxa"/>
          </w:tcPr>
          <w:p w14:paraId="716CE6DF" w14:textId="77777777" w:rsidR="00E316A3" w:rsidRDefault="00000000">
            <w:r>
              <w:t>32.9%</w:t>
            </w:r>
          </w:p>
        </w:tc>
        <w:tc>
          <w:tcPr>
            <w:tcW w:w="1560" w:type="dxa"/>
          </w:tcPr>
          <w:p w14:paraId="79E1DDC9" w14:textId="77777777" w:rsidR="00E316A3" w:rsidRDefault="00000000">
            <w:r>
              <w:t>3,102</w:t>
            </w:r>
          </w:p>
        </w:tc>
        <w:tc>
          <w:tcPr>
            <w:tcW w:w="1560" w:type="dxa"/>
          </w:tcPr>
          <w:p w14:paraId="6906740F" w14:textId="77777777" w:rsidR="00E316A3" w:rsidRDefault="00000000">
            <w:r>
              <w:t>190,744</w:t>
            </w:r>
          </w:p>
        </w:tc>
        <w:tc>
          <w:tcPr>
            <w:tcW w:w="1560" w:type="dxa"/>
          </w:tcPr>
          <w:p w14:paraId="379F5005" w14:textId="77777777" w:rsidR="00E316A3" w:rsidRDefault="00000000">
            <w:r>
              <w:t>47%</w:t>
            </w:r>
          </w:p>
        </w:tc>
      </w:tr>
      <w:tr w:rsidR="00E316A3" w14:paraId="236043B3" w14:textId="77777777">
        <w:tc>
          <w:tcPr>
            <w:tcW w:w="1560" w:type="dxa"/>
          </w:tcPr>
          <w:p w14:paraId="6F14B6A3" w14:textId="77777777" w:rsidR="00E316A3" w:rsidRDefault="00000000">
            <w:r>
              <w:t>Securities Services</w:t>
            </w:r>
          </w:p>
        </w:tc>
        <w:tc>
          <w:tcPr>
            <w:tcW w:w="1560" w:type="dxa"/>
          </w:tcPr>
          <w:p w14:paraId="08AF90D1" w14:textId="77777777" w:rsidR="00E316A3" w:rsidRDefault="00000000">
            <w:r>
              <w:t>3,185</w:t>
            </w:r>
          </w:p>
        </w:tc>
        <w:tc>
          <w:tcPr>
            <w:tcW w:w="1560" w:type="dxa"/>
          </w:tcPr>
          <w:p w14:paraId="5253504E" w14:textId="77777777" w:rsidR="00E316A3" w:rsidRDefault="00000000">
            <w:r>
              <w:t>16.8%</w:t>
            </w:r>
          </w:p>
        </w:tc>
        <w:tc>
          <w:tcPr>
            <w:tcW w:w="1560" w:type="dxa"/>
          </w:tcPr>
          <w:p w14:paraId="613CAAE2" w14:textId="77777777" w:rsidR="00E316A3" w:rsidRDefault="00000000">
            <w:r>
              <w:t>1,005</w:t>
            </w:r>
          </w:p>
        </w:tc>
        <w:tc>
          <w:tcPr>
            <w:tcW w:w="1560" w:type="dxa"/>
          </w:tcPr>
          <w:p w14:paraId="6F74852D" w14:textId="77777777" w:rsidR="00E316A3" w:rsidRDefault="00000000">
            <w:r>
              <w:t>54,319</w:t>
            </w:r>
          </w:p>
        </w:tc>
        <w:tc>
          <w:tcPr>
            <w:tcW w:w="1560" w:type="dxa"/>
          </w:tcPr>
          <w:p w14:paraId="642610D2" w14:textId="77777777" w:rsidR="00E316A3" w:rsidRDefault="00000000">
            <w:r>
              <w:t>69%</w:t>
            </w:r>
          </w:p>
        </w:tc>
      </w:tr>
      <w:tr w:rsidR="00E316A3" w14:paraId="2049C6BE" w14:textId="77777777">
        <w:tc>
          <w:tcPr>
            <w:tcW w:w="1560" w:type="dxa"/>
          </w:tcPr>
          <w:p w14:paraId="3F11E3B9" w14:textId="77777777" w:rsidR="00E316A3" w:rsidRDefault="00000000">
            <w:r>
              <w:rPr>
                <w:b/>
              </w:rPr>
              <w:t>CPBS</w:t>
            </w:r>
          </w:p>
        </w:tc>
        <w:tc>
          <w:tcPr>
            <w:tcW w:w="1560" w:type="dxa"/>
          </w:tcPr>
          <w:p w14:paraId="2C5A04CD" w14:textId="77777777" w:rsidR="00E316A3" w:rsidRDefault="00000000">
            <w:r>
              <w:rPr>
                <w:b/>
              </w:rPr>
              <w:t>26,717</w:t>
            </w:r>
          </w:p>
        </w:tc>
        <w:tc>
          <w:tcPr>
            <w:tcW w:w="1560" w:type="dxa"/>
          </w:tcPr>
          <w:p w14:paraId="14770916" w14:textId="77777777" w:rsidR="00E316A3" w:rsidRDefault="00000000">
            <w:r>
              <w:rPr>
                <w:b/>
              </w:rPr>
              <w:t>100%</w:t>
            </w:r>
          </w:p>
        </w:tc>
        <w:tc>
          <w:tcPr>
            <w:tcW w:w="1560" w:type="dxa"/>
          </w:tcPr>
          <w:p w14:paraId="35A457F3" w14:textId="77777777" w:rsidR="00E316A3" w:rsidRDefault="00000000">
            <w:r>
              <w:rPr>
                <w:b/>
              </w:rPr>
              <w:t>7,805</w:t>
            </w:r>
          </w:p>
        </w:tc>
        <w:tc>
          <w:tcPr>
            <w:tcW w:w="1560" w:type="dxa"/>
          </w:tcPr>
          <w:p w14:paraId="7CCEDFA3" w14:textId="77777777" w:rsidR="00E316A3" w:rsidRDefault="00000000">
            <w:r>
              <w:rPr>
                <w:b/>
              </w:rPr>
              <w:t>821,207</w:t>
            </w:r>
          </w:p>
        </w:tc>
        <w:tc>
          <w:tcPr>
            <w:tcW w:w="1560" w:type="dxa"/>
          </w:tcPr>
          <w:p w14:paraId="276672AB" w14:textId="77777777" w:rsidR="00E316A3" w:rsidRDefault="00000000">
            <w:r>
              <w:rPr>
                <w:b/>
              </w:rPr>
              <w:t>60%</w:t>
            </w:r>
          </w:p>
        </w:tc>
      </w:tr>
      <w:tr w:rsidR="00E316A3" w14:paraId="54775A93" w14:textId="77777777">
        <w:tc>
          <w:tcPr>
            <w:tcW w:w="1560" w:type="dxa"/>
          </w:tcPr>
          <w:p w14:paraId="495A187A" w14:textId="77777777" w:rsidR="00E316A3" w:rsidRDefault="00000000">
            <w:r>
              <w:t>CPB in France</w:t>
            </w:r>
          </w:p>
        </w:tc>
        <w:tc>
          <w:tcPr>
            <w:tcW w:w="1560" w:type="dxa"/>
          </w:tcPr>
          <w:p w14:paraId="2069D5AA" w14:textId="77777777" w:rsidR="00E316A3" w:rsidRDefault="00000000">
            <w:r>
              <w:t>6,464</w:t>
            </w:r>
          </w:p>
        </w:tc>
        <w:tc>
          <w:tcPr>
            <w:tcW w:w="1560" w:type="dxa"/>
          </w:tcPr>
          <w:p w14:paraId="1736B054" w14:textId="77777777" w:rsidR="00E316A3" w:rsidRDefault="00000000">
            <w:r>
              <w:t>24.2%</w:t>
            </w:r>
          </w:p>
        </w:tc>
        <w:tc>
          <w:tcPr>
            <w:tcW w:w="1560" w:type="dxa"/>
          </w:tcPr>
          <w:p w14:paraId="28174AA1" w14:textId="77777777" w:rsidR="00E316A3" w:rsidRDefault="00000000">
            <w:r>
              <w:t>1,555</w:t>
            </w:r>
          </w:p>
        </w:tc>
        <w:tc>
          <w:tcPr>
            <w:tcW w:w="1560" w:type="dxa"/>
          </w:tcPr>
          <w:p w14:paraId="2096BA3D" w14:textId="77777777" w:rsidR="00E316A3" w:rsidRDefault="00000000">
            <w:r>
              <w:t>236,289</w:t>
            </w:r>
          </w:p>
        </w:tc>
        <w:tc>
          <w:tcPr>
            <w:tcW w:w="1560" w:type="dxa"/>
          </w:tcPr>
          <w:p w14:paraId="51736F08" w14:textId="77777777" w:rsidR="00E316A3" w:rsidRDefault="00000000">
            <w:r>
              <w:t>69%</w:t>
            </w:r>
          </w:p>
        </w:tc>
      </w:tr>
      <w:tr w:rsidR="00E316A3" w14:paraId="4E118BA1" w14:textId="77777777">
        <w:tc>
          <w:tcPr>
            <w:tcW w:w="1560" w:type="dxa"/>
          </w:tcPr>
          <w:p w14:paraId="01DA9CFC" w14:textId="77777777" w:rsidR="00E316A3" w:rsidRDefault="00000000">
            <w:r>
              <w:t>Personal Finance (core)</w:t>
            </w:r>
          </w:p>
        </w:tc>
        <w:tc>
          <w:tcPr>
            <w:tcW w:w="1560" w:type="dxa"/>
          </w:tcPr>
          <w:p w14:paraId="3AC53262" w14:textId="77777777" w:rsidR="00E316A3" w:rsidRDefault="00000000">
            <w:r>
              <w:t>5,154</w:t>
            </w:r>
          </w:p>
        </w:tc>
        <w:tc>
          <w:tcPr>
            <w:tcW w:w="1560" w:type="dxa"/>
          </w:tcPr>
          <w:p w14:paraId="3A2AB458" w14:textId="77777777" w:rsidR="00E316A3" w:rsidRDefault="00000000">
            <w:r>
              <w:t>19.3%</w:t>
            </w:r>
          </w:p>
        </w:tc>
        <w:tc>
          <w:tcPr>
            <w:tcW w:w="1560" w:type="dxa"/>
          </w:tcPr>
          <w:p w14:paraId="13555D2D" w14:textId="77777777" w:rsidR="00E316A3" w:rsidRDefault="00000000">
            <w:r>
              <w:t>968</w:t>
            </w:r>
          </w:p>
        </w:tc>
        <w:tc>
          <w:tcPr>
            <w:tcW w:w="1560" w:type="dxa"/>
          </w:tcPr>
          <w:p w14:paraId="4CE44C95" w14:textId="77777777" w:rsidR="00E316A3" w:rsidRDefault="00000000">
            <w:r>
              <w:t>111,693</w:t>
            </w:r>
          </w:p>
        </w:tc>
        <w:tc>
          <w:tcPr>
            <w:tcW w:w="1560" w:type="dxa"/>
          </w:tcPr>
          <w:p w14:paraId="6D5AC3AC" w14:textId="77777777" w:rsidR="00E316A3" w:rsidRDefault="00000000">
            <w:r>
              <w:t>50%</w:t>
            </w:r>
          </w:p>
        </w:tc>
      </w:tr>
      <w:tr w:rsidR="00E316A3" w14:paraId="057322B0" w14:textId="77777777">
        <w:tc>
          <w:tcPr>
            <w:tcW w:w="1560" w:type="dxa"/>
          </w:tcPr>
          <w:p w14:paraId="122679EE" w14:textId="77777777" w:rsidR="00E316A3" w:rsidRDefault="00000000">
            <w:r>
              <w:t>CPB in Belgium</w:t>
            </w:r>
          </w:p>
        </w:tc>
        <w:tc>
          <w:tcPr>
            <w:tcW w:w="1560" w:type="dxa"/>
          </w:tcPr>
          <w:p w14:paraId="69205C27" w14:textId="77777777" w:rsidR="00E316A3" w:rsidRDefault="00000000">
            <w:r>
              <w:t>3,732</w:t>
            </w:r>
          </w:p>
        </w:tc>
        <w:tc>
          <w:tcPr>
            <w:tcW w:w="1560" w:type="dxa"/>
          </w:tcPr>
          <w:p w14:paraId="197C22F4" w14:textId="77777777" w:rsidR="00E316A3" w:rsidRDefault="00000000">
            <w:r>
              <w:t>14.0%</w:t>
            </w:r>
          </w:p>
        </w:tc>
        <w:tc>
          <w:tcPr>
            <w:tcW w:w="1560" w:type="dxa"/>
          </w:tcPr>
          <w:p w14:paraId="4A55BBDD" w14:textId="77777777" w:rsidR="00E316A3" w:rsidRDefault="00000000">
            <w:r>
              <w:t>1,125</w:t>
            </w:r>
          </w:p>
        </w:tc>
        <w:tc>
          <w:tcPr>
            <w:tcW w:w="1560" w:type="dxa"/>
          </w:tcPr>
          <w:p w14:paraId="5614E33A" w14:textId="77777777" w:rsidR="00E316A3" w:rsidRDefault="00000000">
            <w:r>
              <w:t>202,914</w:t>
            </w:r>
          </w:p>
        </w:tc>
        <w:tc>
          <w:tcPr>
            <w:tcW w:w="1560" w:type="dxa"/>
          </w:tcPr>
          <w:p w14:paraId="7A5E0F05" w14:textId="77777777" w:rsidR="00E316A3" w:rsidRDefault="00000000">
            <w:r>
              <w:t>69%</w:t>
            </w:r>
          </w:p>
        </w:tc>
      </w:tr>
      <w:tr w:rsidR="00E316A3" w14:paraId="3BA9B6F0" w14:textId="77777777">
        <w:tc>
          <w:tcPr>
            <w:tcW w:w="1560" w:type="dxa"/>
          </w:tcPr>
          <w:p w14:paraId="2D0674C2" w14:textId="77777777" w:rsidR="00E316A3" w:rsidRDefault="00000000">
            <w:r>
              <w:t>Europe-Mediterranean</w:t>
            </w:r>
          </w:p>
        </w:tc>
        <w:tc>
          <w:tcPr>
            <w:tcW w:w="1560" w:type="dxa"/>
          </w:tcPr>
          <w:p w14:paraId="6BBA0081" w14:textId="77777777" w:rsidR="00E316A3" w:rsidRDefault="00000000">
            <w:r>
              <w:t>3,693</w:t>
            </w:r>
          </w:p>
        </w:tc>
        <w:tc>
          <w:tcPr>
            <w:tcW w:w="1560" w:type="dxa"/>
          </w:tcPr>
          <w:p w14:paraId="59B24062" w14:textId="77777777" w:rsidR="00E316A3" w:rsidRDefault="00000000">
            <w:r>
              <w:t>13.8%</w:t>
            </w:r>
          </w:p>
        </w:tc>
        <w:tc>
          <w:tcPr>
            <w:tcW w:w="1560" w:type="dxa"/>
          </w:tcPr>
          <w:p w14:paraId="265CE29E" w14:textId="77777777" w:rsidR="00E316A3" w:rsidRDefault="00000000">
            <w:r>
              <w:t>1,325</w:t>
            </w:r>
          </w:p>
        </w:tc>
        <w:tc>
          <w:tcPr>
            <w:tcW w:w="1560" w:type="dxa"/>
          </w:tcPr>
          <w:p w14:paraId="546E9A45" w14:textId="77777777" w:rsidR="00E316A3" w:rsidRDefault="00000000">
            <w:r>
              <w:t>72,278</w:t>
            </w:r>
          </w:p>
        </w:tc>
        <w:tc>
          <w:tcPr>
            <w:tcW w:w="1560" w:type="dxa"/>
          </w:tcPr>
          <w:p w14:paraId="32211EDC" w14:textId="77777777" w:rsidR="00E316A3" w:rsidRDefault="00000000">
            <w:r>
              <w:t>59%</w:t>
            </w:r>
          </w:p>
        </w:tc>
      </w:tr>
      <w:tr w:rsidR="00E316A3" w14:paraId="0EA98DDC" w14:textId="77777777">
        <w:tc>
          <w:tcPr>
            <w:tcW w:w="1560" w:type="dxa"/>
          </w:tcPr>
          <w:p w14:paraId="78DBE6EE" w14:textId="77777777" w:rsidR="00E316A3" w:rsidRDefault="00000000">
            <w:r>
              <w:t>Arval &amp; Leasing Solutions</w:t>
            </w:r>
          </w:p>
        </w:tc>
        <w:tc>
          <w:tcPr>
            <w:tcW w:w="1560" w:type="dxa"/>
          </w:tcPr>
          <w:p w14:paraId="27373F2F" w14:textId="77777777" w:rsidR="00E316A3" w:rsidRDefault="00000000">
            <w:r>
              <w:t>3,254</w:t>
            </w:r>
          </w:p>
        </w:tc>
        <w:tc>
          <w:tcPr>
            <w:tcW w:w="1560" w:type="dxa"/>
          </w:tcPr>
          <w:p w14:paraId="0D7FB855" w14:textId="77777777" w:rsidR="00E316A3" w:rsidRDefault="00000000">
            <w:r>
              <w:t>12.2%</w:t>
            </w:r>
          </w:p>
        </w:tc>
        <w:tc>
          <w:tcPr>
            <w:tcW w:w="1560" w:type="dxa"/>
          </w:tcPr>
          <w:p w14:paraId="77CF4894" w14:textId="77777777" w:rsidR="00E316A3" w:rsidRDefault="00000000">
            <w:r>
              <w:t>1,330</w:t>
            </w:r>
          </w:p>
        </w:tc>
        <w:tc>
          <w:tcPr>
            <w:tcW w:w="1560" w:type="dxa"/>
          </w:tcPr>
          <w:p w14:paraId="66203C57" w14:textId="77777777" w:rsidR="00E316A3" w:rsidRDefault="00000000">
            <w:r>
              <w:t>73,257</w:t>
            </w:r>
          </w:p>
        </w:tc>
        <w:tc>
          <w:tcPr>
            <w:tcW w:w="1560" w:type="dxa"/>
          </w:tcPr>
          <w:p w14:paraId="7DB7C911" w14:textId="77777777" w:rsidR="00E316A3" w:rsidRDefault="00000000">
            <w:r>
              <w:t>50%</w:t>
            </w:r>
          </w:p>
        </w:tc>
      </w:tr>
      <w:tr w:rsidR="00E316A3" w14:paraId="535549FA" w14:textId="77777777">
        <w:tc>
          <w:tcPr>
            <w:tcW w:w="1560" w:type="dxa"/>
          </w:tcPr>
          <w:p w14:paraId="19B3EDFE" w14:textId="77777777" w:rsidR="00E316A3" w:rsidRDefault="00000000">
            <w:r>
              <w:t>BNL (Italy)</w:t>
            </w:r>
          </w:p>
        </w:tc>
        <w:tc>
          <w:tcPr>
            <w:tcW w:w="1560" w:type="dxa"/>
          </w:tcPr>
          <w:p w14:paraId="26BDDE2D" w14:textId="77777777" w:rsidR="00E316A3" w:rsidRDefault="00000000">
            <w:r>
              <w:t>2,699</w:t>
            </w:r>
          </w:p>
        </w:tc>
        <w:tc>
          <w:tcPr>
            <w:tcW w:w="1560" w:type="dxa"/>
          </w:tcPr>
          <w:p w14:paraId="5D0120F7" w14:textId="77777777" w:rsidR="00E316A3" w:rsidRDefault="00000000">
            <w:r>
              <w:t>10.1%</w:t>
            </w:r>
          </w:p>
        </w:tc>
        <w:tc>
          <w:tcPr>
            <w:tcW w:w="1560" w:type="dxa"/>
          </w:tcPr>
          <w:p w14:paraId="0F5A7B8D" w14:textId="77777777" w:rsidR="00E316A3" w:rsidRDefault="00000000">
            <w:r>
              <w:t>889</w:t>
            </w:r>
          </w:p>
        </w:tc>
        <w:tc>
          <w:tcPr>
            <w:tcW w:w="1560" w:type="dxa"/>
          </w:tcPr>
          <w:p w14:paraId="1D427F35" w14:textId="77777777" w:rsidR="00E316A3" w:rsidRDefault="00000000">
            <w:r>
              <w:t>89,522</w:t>
            </w:r>
          </w:p>
        </w:tc>
        <w:tc>
          <w:tcPr>
            <w:tcW w:w="1560" w:type="dxa"/>
          </w:tcPr>
          <w:p w14:paraId="1B16C376" w14:textId="77777777" w:rsidR="00E316A3" w:rsidRDefault="00000000">
            <w:r>
              <w:t>61%</w:t>
            </w:r>
          </w:p>
        </w:tc>
      </w:tr>
      <w:tr w:rsidR="00E316A3" w14:paraId="5837FE8D" w14:textId="77777777">
        <w:tc>
          <w:tcPr>
            <w:tcW w:w="1560" w:type="dxa"/>
          </w:tcPr>
          <w:p w14:paraId="0A03D9EF" w14:textId="77777777" w:rsidR="00E316A3" w:rsidRDefault="00000000">
            <w:r>
              <w:lastRenderedPageBreak/>
              <w:t>New Digital Businesses &amp; Personal Investors</w:t>
            </w:r>
          </w:p>
        </w:tc>
        <w:tc>
          <w:tcPr>
            <w:tcW w:w="1560" w:type="dxa"/>
          </w:tcPr>
          <w:p w14:paraId="50CC5EB2" w14:textId="77777777" w:rsidR="00E316A3" w:rsidRDefault="00000000">
            <w:r>
              <w:t>1,060</w:t>
            </w:r>
          </w:p>
        </w:tc>
        <w:tc>
          <w:tcPr>
            <w:tcW w:w="1560" w:type="dxa"/>
          </w:tcPr>
          <w:p w14:paraId="4B59A755" w14:textId="77777777" w:rsidR="00E316A3" w:rsidRDefault="00000000">
            <w:r>
              <w:t>4.0%</w:t>
            </w:r>
          </w:p>
        </w:tc>
        <w:tc>
          <w:tcPr>
            <w:tcW w:w="1560" w:type="dxa"/>
          </w:tcPr>
          <w:p w14:paraId="49754B75" w14:textId="77777777" w:rsidR="00E316A3" w:rsidRDefault="00000000">
            <w:r>
              <w:t>274</w:t>
            </w:r>
          </w:p>
        </w:tc>
        <w:tc>
          <w:tcPr>
            <w:tcW w:w="1560" w:type="dxa"/>
          </w:tcPr>
          <w:p w14:paraId="33DCB0B4" w14:textId="77777777" w:rsidR="00E316A3" w:rsidRDefault="00000000">
            <w:r>
              <w:t>4,140</w:t>
            </w:r>
          </w:p>
        </w:tc>
        <w:tc>
          <w:tcPr>
            <w:tcW w:w="1560" w:type="dxa"/>
          </w:tcPr>
          <w:p w14:paraId="3473C421" w14:textId="77777777" w:rsidR="00E316A3" w:rsidRDefault="00000000">
            <w:r>
              <w:t>64%</w:t>
            </w:r>
          </w:p>
        </w:tc>
      </w:tr>
      <w:tr w:rsidR="00E316A3" w14:paraId="4070311B" w14:textId="77777777">
        <w:tc>
          <w:tcPr>
            <w:tcW w:w="1560" w:type="dxa"/>
          </w:tcPr>
          <w:p w14:paraId="772D5BE2" w14:textId="77777777" w:rsidR="00E316A3" w:rsidRDefault="00000000">
            <w:r>
              <w:t>CPB in Luxembourg</w:t>
            </w:r>
          </w:p>
        </w:tc>
        <w:tc>
          <w:tcPr>
            <w:tcW w:w="1560" w:type="dxa"/>
          </w:tcPr>
          <w:p w14:paraId="222AE630" w14:textId="77777777" w:rsidR="00E316A3" w:rsidRDefault="00000000">
            <w:r>
              <w:t>661</w:t>
            </w:r>
          </w:p>
        </w:tc>
        <w:tc>
          <w:tcPr>
            <w:tcW w:w="1560" w:type="dxa"/>
          </w:tcPr>
          <w:p w14:paraId="62CD874B" w14:textId="77777777" w:rsidR="00E316A3" w:rsidRDefault="00000000">
            <w:r>
              <w:t>2.5%</w:t>
            </w:r>
          </w:p>
        </w:tc>
        <w:tc>
          <w:tcPr>
            <w:tcW w:w="1560" w:type="dxa"/>
          </w:tcPr>
          <w:p w14:paraId="01CC2982" w14:textId="77777777" w:rsidR="00E316A3" w:rsidRDefault="00000000">
            <w:r>
              <w:t>338</w:t>
            </w:r>
          </w:p>
        </w:tc>
        <w:tc>
          <w:tcPr>
            <w:tcW w:w="1560" w:type="dxa"/>
          </w:tcPr>
          <w:p w14:paraId="10610ADD" w14:textId="77777777" w:rsidR="00E316A3" w:rsidRDefault="00000000">
            <w:r>
              <w:t>31,114</w:t>
            </w:r>
          </w:p>
        </w:tc>
        <w:tc>
          <w:tcPr>
            <w:tcW w:w="1560" w:type="dxa"/>
          </w:tcPr>
          <w:p w14:paraId="75EA8153" w14:textId="77777777" w:rsidR="00E316A3" w:rsidRDefault="00000000">
            <w:r>
              <w:t>47%</w:t>
            </w:r>
          </w:p>
        </w:tc>
      </w:tr>
      <w:tr w:rsidR="00E316A3" w14:paraId="7AE5C35E" w14:textId="77777777">
        <w:tc>
          <w:tcPr>
            <w:tcW w:w="1560" w:type="dxa"/>
          </w:tcPr>
          <w:p w14:paraId="2B18BEA3" w14:textId="77777777" w:rsidR="00E316A3" w:rsidRDefault="00000000">
            <w:r>
              <w:rPr>
                <w:b/>
              </w:rPr>
              <w:t>IPS</w:t>
            </w:r>
          </w:p>
        </w:tc>
        <w:tc>
          <w:tcPr>
            <w:tcW w:w="1560" w:type="dxa"/>
          </w:tcPr>
          <w:p w14:paraId="6F564748" w14:textId="77777777" w:rsidR="00E316A3" w:rsidRDefault="00000000">
            <w:r>
              <w:rPr>
                <w:b/>
              </w:rPr>
              <w:t>6,929</w:t>
            </w:r>
          </w:p>
        </w:tc>
        <w:tc>
          <w:tcPr>
            <w:tcW w:w="1560" w:type="dxa"/>
          </w:tcPr>
          <w:p w14:paraId="5BF98DB7" w14:textId="77777777" w:rsidR="00E316A3" w:rsidRDefault="00000000">
            <w:r>
              <w:rPr>
                <w:b/>
              </w:rPr>
              <w:t>100%</w:t>
            </w:r>
          </w:p>
        </w:tc>
        <w:tc>
          <w:tcPr>
            <w:tcW w:w="1560" w:type="dxa"/>
          </w:tcPr>
          <w:p w14:paraId="0FBE895D" w14:textId="77777777" w:rsidR="00E316A3" w:rsidRDefault="00000000">
            <w:r>
              <w:rPr>
                <w:b/>
              </w:rPr>
              <w:t>3,089</w:t>
            </w:r>
          </w:p>
        </w:tc>
        <w:tc>
          <w:tcPr>
            <w:tcW w:w="1560" w:type="dxa"/>
          </w:tcPr>
          <w:p w14:paraId="1BA86D22" w14:textId="77777777" w:rsidR="00E316A3" w:rsidRDefault="00000000">
            <w:r>
              <w:rPr>
                <w:b/>
              </w:rPr>
              <w:t>345,077</w:t>
            </w:r>
          </w:p>
        </w:tc>
        <w:tc>
          <w:tcPr>
            <w:tcW w:w="1560" w:type="dxa"/>
          </w:tcPr>
          <w:p w14:paraId="276F7B9B" w14:textId="77777777" w:rsidR="00E316A3" w:rsidRDefault="00000000">
            <w:r>
              <w:rPr>
                <w:b/>
              </w:rPr>
              <w:t>60%</w:t>
            </w:r>
          </w:p>
        </w:tc>
      </w:tr>
      <w:tr w:rsidR="00E316A3" w14:paraId="289CF2F1" w14:textId="77777777">
        <w:tc>
          <w:tcPr>
            <w:tcW w:w="1560" w:type="dxa"/>
          </w:tcPr>
          <w:p w14:paraId="5B84FA16" w14:textId="77777777" w:rsidR="00E316A3" w:rsidRDefault="00000000">
            <w:r>
              <w:t>Insurance</w:t>
            </w:r>
          </w:p>
        </w:tc>
        <w:tc>
          <w:tcPr>
            <w:tcW w:w="1560" w:type="dxa"/>
          </w:tcPr>
          <w:p w14:paraId="177B1176" w14:textId="77777777" w:rsidR="00E316A3" w:rsidRDefault="00000000">
            <w:r>
              <w:t>2,424</w:t>
            </w:r>
          </w:p>
        </w:tc>
        <w:tc>
          <w:tcPr>
            <w:tcW w:w="1560" w:type="dxa"/>
          </w:tcPr>
          <w:p w14:paraId="67598BD2" w14:textId="77777777" w:rsidR="00E316A3" w:rsidRDefault="00000000">
            <w:r>
              <w:t>35.0%</w:t>
            </w:r>
          </w:p>
        </w:tc>
        <w:tc>
          <w:tcPr>
            <w:tcW w:w="1560" w:type="dxa"/>
          </w:tcPr>
          <w:p w14:paraId="7155DAB7" w14:textId="77777777" w:rsidR="00E316A3" w:rsidRDefault="00000000">
            <w:r>
              <w:t>1,956</w:t>
            </w:r>
          </w:p>
        </w:tc>
        <w:tc>
          <w:tcPr>
            <w:tcW w:w="1560" w:type="dxa"/>
          </w:tcPr>
          <w:p w14:paraId="05B4A01C" w14:textId="77777777" w:rsidR="00E316A3" w:rsidRDefault="00000000">
            <w:r>
              <w:t>305,475</w:t>
            </w:r>
          </w:p>
        </w:tc>
        <w:tc>
          <w:tcPr>
            <w:tcW w:w="1560" w:type="dxa"/>
          </w:tcPr>
          <w:p w14:paraId="7D6F0EEF" w14:textId="77777777" w:rsidR="00E316A3" w:rsidRDefault="00000000">
            <w:r>
              <w:t>34%</w:t>
            </w:r>
          </w:p>
        </w:tc>
      </w:tr>
      <w:tr w:rsidR="00E316A3" w14:paraId="51803110" w14:textId="77777777">
        <w:tc>
          <w:tcPr>
            <w:tcW w:w="1560" w:type="dxa"/>
          </w:tcPr>
          <w:p w14:paraId="2820D4CE" w14:textId="77777777" w:rsidR="00E316A3" w:rsidRDefault="00000000">
            <w:r>
              <w:t>Asset Management (incl. Real Estate, IPS Investments)</w:t>
            </w:r>
          </w:p>
        </w:tc>
        <w:tc>
          <w:tcPr>
            <w:tcW w:w="1560" w:type="dxa"/>
          </w:tcPr>
          <w:p w14:paraId="0E90A0BB" w14:textId="77777777" w:rsidR="00E316A3" w:rsidRDefault="00000000">
            <w:r>
              <w:t>1,924</w:t>
            </w:r>
          </w:p>
        </w:tc>
        <w:tc>
          <w:tcPr>
            <w:tcW w:w="1560" w:type="dxa"/>
          </w:tcPr>
          <w:p w14:paraId="5D72DAC2" w14:textId="77777777" w:rsidR="00E316A3" w:rsidRDefault="00000000">
            <w:r>
              <w:t>27.8%</w:t>
            </w:r>
          </w:p>
        </w:tc>
        <w:tc>
          <w:tcPr>
            <w:tcW w:w="1560" w:type="dxa"/>
          </w:tcPr>
          <w:p w14:paraId="1A3F207E" w14:textId="77777777" w:rsidR="00E316A3" w:rsidRDefault="00000000">
            <w:r>
              <w:t>321</w:t>
            </w:r>
          </w:p>
        </w:tc>
        <w:tc>
          <w:tcPr>
            <w:tcW w:w="1560" w:type="dxa"/>
          </w:tcPr>
          <w:p w14:paraId="02CE375A" w14:textId="77777777" w:rsidR="00E316A3" w:rsidRDefault="00000000">
            <w:r>
              <w:t>9,597</w:t>
            </w:r>
          </w:p>
        </w:tc>
        <w:tc>
          <w:tcPr>
            <w:tcW w:w="1560" w:type="dxa"/>
          </w:tcPr>
          <w:p w14:paraId="3C2E264D" w14:textId="77777777" w:rsidR="00E316A3" w:rsidRDefault="00000000">
            <w:r>
              <w:t>81%</w:t>
            </w:r>
          </w:p>
        </w:tc>
      </w:tr>
      <w:tr w:rsidR="00E316A3" w14:paraId="7DD25DC3" w14:textId="77777777">
        <w:tc>
          <w:tcPr>
            <w:tcW w:w="1560" w:type="dxa"/>
          </w:tcPr>
          <w:p w14:paraId="3DE72288" w14:textId="77777777" w:rsidR="00E316A3" w:rsidRDefault="00000000">
            <w:r>
              <w:t>Wealth Management</w:t>
            </w:r>
          </w:p>
        </w:tc>
        <w:tc>
          <w:tcPr>
            <w:tcW w:w="1560" w:type="dxa"/>
          </w:tcPr>
          <w:p w14:paraId="67248E93" w14:textId="77777777" w:rsidR="00E316A3" w:rsidRDefault="00000000">
            <w:r>
              <w:t>1,799</w:t>
            </w:r>
          </w:p>
        </w:tc>
        <w:tc>
          <w:tcPr>
            <w:tcW w:w="1560" w:type="dxa"/>
          </w:tcPr>
          <w:p w14:paraId="007E8F13" w14:textId="77777777" w:rsidR="00E316A3" w:rsidRDefault="00000000">
            <w:r>
              <w:t>26.0%</w:t>
            </w:r>
          </w:p>
        </w:tc>
        <w:tc>
          <w:tcPr>
            <w:tcW w:w="1560" w:type="dxa"/>
          </w:tcPr>
          <w:p w14:paraId="12436E13" w14:textId="77777777" w:rsidR="00E316A3" w:rsidRDefault="00000000">
            <w:r>
              <w:t>570</w:t>
            </w:r>
          </w:p>
        </w:tc>
        <w:tc>
          <w:tcPr>
            <w:tcW w:w="1560" w:type="dxa"/>
          </w:tcPr>
          <w:p w14:paraId="3FE27BC9" w14:textId="77777777" w:rsidR="00E316A3" w:rsidRDefault="00000000">
            <w:r>
              <w:t>28,018</w:t>
            </w:r>
          </w:p>
        </w:tc>
        <w:tc>
          <w:tcPr>
            <w:tcW w:w="1560" w:type="dxa"/>
          </w:tcPr>
          <w:p w14:paraId="6EB3ABCA" w14:textId="77777777" w:rsidR="00E316A3" w:rsidRDefault="00000000">
            <w:r>
              <w:t>68%</w:t>
            </w:r>
          </w:p>
        </w:tc>
      </w:tr>
      <w:tr w:rsidR="00E316A3" w14:paraId="7256F801" w14:textId="77777777">
        <w:tc>
          <w:tcPr>
            <w:tcW w:w="1560" w:type="dxa"/>
          </w:tcPr>
          <w:p w14:paraId="0A640BF0" w14:textId="77777777" w:rsidR="00E316A3" w:rsidRDefault="00000000">
            <w:r>
              <w:t>AXA IM</w:t>
            </w:r>
          </w:p>
        </w:tc>
        <w:tc>
          <w:tcPr>
            <w:tcW w:w="1560" w:type="dxa"/>
          </w:tcPr>
          <w:p w14:paraId="3B2AA0AC" w14:textId="77777777" w:rsidR="00E316A3" w:rsidRDefault="00000000">
            <w:r>
              <w:t>782</w:t>
            </w:r>
          </w:p>
        </w:tc>
        <w:tc>
          <w:tcPr>
            <w:tcW w:w="1560" w:type="dxa"/>
          </w:tcPr>
          <w:p w14:paraId="6D62BFF2" w14:textId="77777777" w:rsidR="00E316A3" w:rsidRDefault="00000000">
            <w:r>
              <w:t>11.3%</w:t>
            </w:r>
          </w:p>
        </w:tc>
        <w:tc>
          <w:tcPr>
            <w:tcW w:w="1560" w:type="dxa"/>
          </w:tcPr>
          <w:p w14:paraId="006AA27A" w14:textId="77777777" w:rsidR="00E316A3" w:rsidRDefault="00000000">
            <w:r>
              <w:t>242</w:t>
            </w:r>
          </w:p>
        </w:tc>
        <w:tc>
          <w:tcPr>
            <w:tcW w:w="1560" w:type="dxa"/>
          </w:tcPr>
          <w:p w14:paraId="15E7C3AB" w14:textId="77777777" w:rsidR="00E316A3" w:rsidRDefault="00000000">
            <w:r>
              <w:t>1,987</w:t>
            </w:r>
          </w:p>
        </w:tc>
        <w:tc>
          <w:tcPr>
            <w:tcW w:w="1560" w:type="dxa"/>
          </w:tcPr>
          <w:p w14:paraId="774A2414" w14:textId="77777777" w:rsidR="00E316A3" w:rsidRDefault="00000000">
            <w:r>
              <w:t>70%</w:t>
            </w:r>
          </w:p>
        </w:tc>
      </w:tr>
    </w:tbl>
    <w:p w14:paraId="0D7533C8" w14:textId="77777777" w:rsidR="00E316A3" w:rsidRDefault="00000000">
      <w:r>
        <w:rPr>
          <w:i/>
        </w:rPr>
        <w:t>Source: Note 3, pp. 63 and 66. Cost/income ratio = operating expenses / revenues, our calculation.</w:t>
      </w:r>
    </w:p>
    <w:p w14:paraId="6450250B" w14:textId="77777777" w:rsidR="00E316A3" w:rsidRDefault="00000000">
      <w:r>
        <w:rPr>
          <w:b/>
        </w:rPr>
        <w:t>CIB.</w:t>
      </w:r>
      <w:r>
        <w:t xml:space="preserve"> Global Markets is the single largest business line of the group: half of CIB revenues (€9.6bn, +9.1% vs 2024) and </w:t>
      </w:r>
      <w:r>
        <w:rPr>
          <w:b/>
        </w:rPr>
        <w:t>37% of the entire group balance sheet</w:t>
      </w:r>
      <w:r>
        <w:t xml:space="preserve"> (€1,035bn). This is the trading book seen in Part 1. Global Banking is the most efficient line, with a cost/income ratio of 47%. Its pre-tax income still fell from €3,532m to €3,102m, because cost of risk moved from a net release </w:t>
      </w:r>
      <w:proofErr w:type="gramStart"/>
      <w:r>
        <w:t>of €171m in</w:t>
      </w:r>
      <w:proofErr w:type="gramEnd"/>
      <w:r>
        <w:t xml:space="preserve"> 2024 to a charge of €229m in 2025.</w:t>
      </w:r>
    </w:p>
    <w:p w14:paraId="71AA0955" w14:textId="77777777" w:rsidR="00E316A3" w:rsidRDefault="00000000">
      <w:r>
        <w:rPr>
          <w:b/>
        </w:rPr>
        <w:t>CPBS.</w:t>
      </w:r>
      <w:r>
        <w:t xml:space="preserve"> France is the largest retail network (€6.5bn of revenues, 24% of the division), followed by Personal Finance and Belgium. Pre-tax income of CPB in France rose by 33% (€1,167m to €1,555m) as cost of risk fell. Personal Finance shows the risk of consumer lending: €5.2bn of revenues but a cost of risk of €1,642m, almost half of the whole </w:t>
      </w:r>
      <w:proofErr w:type="gramStart"/>
      <w:r>
        <w:t>group's</w:t>
      </w:r>
      <w:proofErr w:type="gramEnd"/>
      <w:r>
        <w:t>. Arval's pre-tax income dropped by 28% (€1,836m to €1,330m). Europe-Mediterranean grew fastest (+16% revenues, +55% pre-tax income).</w:t>
      </w:r>
    </w:p>
    <w:p w14:paraId="23350920" w14:textId="77777777" w:rsidR="00E316A3" w:rsidRDefault="00000000">
      <w:r>
        <w:rPr>
          <w:b/>
        </w:rPr>
        <w:t>IPS.</w:t>
      </w:r>
      <w:r>
        <w:t xml:space="preserve"> Insurance stands apart: €2.4bn of revenues turn into €2.0bn of pre-tax income (cost/income 34%), and it carries almost all IPS assets (€305bn of investments backing policyholders' savings). Asset and wealth management use very little balance sheet: they earn fees on clients' money, which stays off BNP Paribas' own balance sheet.</w:t>
      </w:r>
    </w:p>
    <w:p w14:paraId="44ABE538" w14:textId="77777777" w:rsidR="00E316A3" w:rsidRDefault="00000000">
      <w:r>
        <w:rPr>
          <w:b/>
        </w:rPr>
        <w:t>Revenue per euro of assets</w:t>
      </w:r>
      <w:r>
        <w:t xml:space="preserve"> </w:t>
      </w:r>
      <w:proofErr w:type="spellStart"/>
      <w:r>
        <w:t>summarises</w:t>
      </w:r>
      <w:proofErr w:type="spellEnd"/>
      <w:r>
        <w:t xml:space="preserve"> the differences: about 3.3% for CPBS, 2.0% for IPS and 1.5% for CIB (Global Markets alone: 0.9%). The businesses that use the most balance sheet are not those that earn the most from it.</w:t>
      </w:r>
    </w:p>
    <w:p w14:paraId="118571F5" w14:textId="77777777" w:rsidR="00E316A3" w:rsidRDefault="00000000">
      <w:pPr>
        <w:pStyle w:val="Heading2"/>
      </w:pPr>
      <w:r>
        <w:lastRenderedPageBreak/>
        <w:t>Part 3 — International activities</w:t>
      </w:r>
    </w:p>
    <w:p w14:paraId="47718AF6" w14:textId="77777777" w:rsidR="00E316A3" w:rsidRDefault="00000000">
      <w:r>
        <w:t xml:space="preserve">BNP Paribas is a European bank with a worldwide network. </w:t>
      </w:r>
      <w:r>
        <w:rPr>
          <w:b/>
        </w:rPr>
        <w:t>About 81% of its revenues and assets are booked in Europe, the Middle East and Africa (EMEA)</w:t>
      </w:r>
      <w:r>
        <w:t xml:space="preserve">, and the share earned outside Europe has stayed close to </w:t>
      </w:r>
      <w:r>
        <w:rPr>
          <w:b/>
        </w:rPr>
        <w:t>one-fifth for ten years</w:t>
      </w:r>
      <w:r>
        <w:t xml:space="preserve"> (19.2% of revenues and 19.1% of assets in 2025). What has changed is the mix: the group sold its US retail bank in 2023, and the Americas have since been rebuilt around corporate and investment banking, making them the </w:t>
      </w:r>
      <w:r>
        <w:rPr>
          <w:b/>
        </w:rPr>
        <w:t>fastest-growing region (+13.0% a year since 2022)</w:t>
      </w:r>
      <w:r>
        <w:t>. This part uses the multi-year geographic, segment and employee data in the Company Fundamentals export to measure where the group operates, how this has evolved, and what it costs in risk.</w:t>
      </w:r>
    </w:p>
    <w:p w14:paraId="69ECD9BA" w14:textId="77777777" w:rsidR="00E316A3" w:rsidRDefault="00000000">
      <w:pPr>
        <w:pStyle w:val="Heading3"/>
      </w:pPr>
      <w:r>
        <w:t>3.1 Where revenues and assets are booked (2022–2025)</w:t>
      </w:r>
    </w:p>
    <w:tbl>
      <w:tblPr>
        <w:tblStyle w:val="TableGrid"/>
        <w:tblW w:w="0" w:type="auto"/>
        <w:tblLayout w:type="fixed"/>
        <w:tblLook w:val="0420" w:firstRow="1" w:lastRow="0" w:firstColumn="0" w:lastColumn="0" w:noHBand="0" w:noVBand="1"/>
      </w:tblPr>
      <w:tblGrid>
        <w:gridCol w:w="1440"/>
        <w:gridCol w:w="1100"/>
        <w:gridCol w:w="1000"/>
        <w:gridCol w:w="1000"/>
        <w:gridCol w:w="1000"/>
        <w:gridCol w:w="1240"/>
        <w:gridCol w:w="1160"/>
        <w:gridCol w:w="1420"/>
      </w:tblGrid>
      <w:tr w:rsidR="00E316A3" w14:paraId="43721FAE" w14:textId="77777777">
        <w:trPr>
          <w:tblHeader/>
        </w:trPr>
        <w:tc>
          <w:tcPr>
            <w:tcW w:w="1440" w:type="dxa"/>
            <w:shd w:val="clear" w:color="auto" w:fill="F2F2F2"/>
          </w:tcPr>
          <w:p w14:paraId="3E69B705" w14:textId="77777777" w:rsidR="00E316A3" w:rsidRDefault="00000000">
            <w:r>
              <w:t>Region</w:t>
            </w:r>
          </w:p>
        </w:tc>
        <w:tc>
          <w:tcPr>
            <w:tcW w:w="1100" w:type="dxa"/>
            <w:shd w:val="clear" w:color="auto" w:fill="F2F2F2"/>
          </w:tcPr>
          <w:p w14:paraId="789F1DB8" w14:textId="77777777" w:rsidR="00E316A3" w:rsidRDefault="00000000">
            <w:r>
              <w:t>Revenues 2022 (€m)</w:t>
            </w:r>
          </w:p>
        </w:tc>
        <w:tc>
          <w:tcPr>
            <w:tcW w:w="1000" w:type="dxa"/>
            <w:shd w:val="clear" w:color="auto" w:fill="F2F2F2"/>
          </w:tcPr>
          <w:p w14:paraId="0B44130F" w14:textId="77777777" w:rsidR="00E316A3" w:rsidRDefault="00000000">
            <w:r>
              <w:t>2023</w:t>
            </w:r>
          </w:p>
        </w:tc>
        <w:tc>
          <w:tcPr>
            <w:tcW w:w="1000" w:type="dxa"/>
            <w:shd w:val="clear" w:color="auto" w:fill="F2F2F2"/>
          </w:tcPr>
          <w:p w14:paraId="4D9BD9A0" w14:textId="77777777" w:rsidR="00E316A3" w:rsidRDefault="00000000">
            <w:r>
              <w:t>2024</w:t>
            </w:r>
          </w:p>
        </w:tc>
        <w:tc>
          <w:tcPr>
            <w:tcW w:w="1000" w:type="dxa"/>
            <w:shd w:val="clear" w:color="auto" w:fill="F2F2F2"/>
          </w:tcPr>
          <w:p w14:paraId="6EF8AB49" w14:textId="77777777" w:rsidR="00E316A3" w:rsidRDefault="00000000">
            <w:r>
              <w:t>2025</w:t>
            </w:r>
          </w:p>
        </w:tc>
        <w:tc>
          <w:tcPr>
            <w:tcW w:w="1240" w:type="dxa"/>
            <w:shd w:val="clear" w:color="auto" w:fill="F2F2F2"/>
          </w:tcPr>
          <w:p w14:paraId="54CFF964" w14:textId="77777777" w:rsidR="00E316A3" w:rsidRDefault="00000000">
            <w:r>
              <w:t>Annual growth 2022–25</w:t>
            </w:r>
          </w:p>
        </w:tc>
        <w:tc>
          <w:tcPr>
            <w:tcW w:w="1160" w:type="dxa"/>
            <w:shd w:val="clear" w:color="auto" w:fill="F2F2F2"/>
          </w:tcPr>
          <w:p w14:paraId="499F647E" w14:textId="77777777" w:rsidR="00E316A3" w:rsidRDefault="00000000">
            <w:r>
              <w:t>% of group 2025</w:t>
            </w:r>
          </w:p>
        </w:tc>
        <w:tc>
          <w:tcPr>
            <w:tcW w:w="1420" w:type="dxa"/>
            <w:shd w:val="clear" w:color="auto" w:fill="F2F2F2"/>
          </w:tcPr>
          <w:p w14:paraId="02DF1696" w14:textId="77777777" w:rsidR="00E316A3" w:rsidRDefault="00000000">
            <w:r>
              <w:t>Share of revenue growth 2022–25</w:t>
            </w:r>
          </w:p>
        </w:tc>
      </w:tr>
      <w:tr w:rsidR="00E316A3" w14:paraId="079E6E33" w14:textId="77777777">
        <w:trPr>
          <w:cantSplit/>
        </w:trPr>
        <w:tc>
          <w:tcPr>
            <w:tcW w:w="1440" w:type="dxa"/>
          </w:tcPr>
          <w:p w14:paraId="0C362FFB" w14:textId="77777777" w:rsidR="00E316A3" w:rsidRDefault="00000000">
            <w:r>
              <w:t>EMEA</w:t>
            </w:r>
          </w:p>
        </w:tc>
        <w:tc>
          <w:tcPr>
            <w:tcW w:w="1100" w:type="dxa"/>
          </w:tcPr>
          <w:p w14:paraId="15DB6B88" w14:textId="77777777" w:rsidR="00E316A3" w:rsidRDefault="00000000">
            <w:r>
              <w:t>37,675</w:t>
            </w:r>
          </w:p>
        </w:tc>
        <w:tc>
          <w:tcPr>
            <w:tcW w:w="1000" w:type="dxa"/>
          </w:tcPr>
          <w:p w14:paraId="1DB8EE7D" w14:textId="77777777" w:rsidR="00E316A3" w:rsidRDefault="00000000">
            <w:r>
              <w:t>37,822</w:t>
            </w:r>
          </w:p>
        </w:tc>
        <w:tc>
          <w:tcPr>
            <w:tcW w:w="1000" w:type="dxa"/>
          </w:tcPr>
          <w:p w14:paraId="5AA20015" w14:textId="77777777" w:rsidR="00E316A3" w:rsidRDefault="00000000">
            <w:r>
              <w:t>39,688</w:t>
            </w:r>
          </w:p>
        </w:tc>
        <w:tc>
          <w:tcPr>
            <w:tcW w:w="1000" w:type="dxa"/>
          </w:tcPr>
          <w:p w14:paraId="13EA1B32" w14:textId="77777777" w:rsidR="00E316A3" w:rsidRDefault="00000000">
            <w:r>
              <w:t>41,381</w:t>
            </w:r>
          </w:p>
        </w:tc>
        <w:tc>
          <w:tcPr>
            <w:tcW w:w="1240" w:type="dxa"/>
          </w:tcPr>
          <w:p w14:paraId="1722006B" w14:textId="77777777" w:rsidR="00E316A3" w:rsidRDefault="00000000">
            <w:r>
              <w:t>+3.2%</w:t>
            </w:r>
          </w:p>
        </w:tc>
        <w:tc>
          <w:tcPr>
            <w:tcW w:w="1160" w:type="dxa"/>
          </w:tcPr>
          <w:p w14:paraId="0E76C5A4" w14:textId="77777777" w:rsidR="00E316A3" w:rsidRDefault="00000000">
            <w:r>
              <w:t>80.8%</w:t>
            </w:r>
          </w:p>
        </w:tc>
        <w:tc>
          <w:tcPr>
            <w:tcW w:w="1420" w:type="dxa"/>
          </w:tcPr>
          <w:p w14:paraId="7D88E3F7" w14:textId="77777777" w:rsidR="00E316A3" w:rsidRDefault="00000000">
            <w:r>
              <w:t>64.0%</w:t>
            </w:r>
          </w:p>
        </w:tc>
      </w:tr>
      <w:tr w:rsidR="00E316A3" w14:paraId="37B28D6D" w14:textId="77777777">
        <w:trPr>
          <w:cantSplit/>
        </w:trPr>
        <w:tc>
          <w:tcPr>
            <w:tcW w:w="1440" w:type="dxa"/>
          </w:tcPr>
          <w:p w14:paraId="63F64A8E" w14:textId="77777777" w:rsidR="00E316A3" w:rsidRDefault="00000000">
            <w:r>
              <w:t>Americas</w:t>
            </w:r>
          </w:p>
        </w:tc>
        <w:tc>
          <w:tcPr>
            <w:tcW w:w="1100" w:type="dxa"/>
          </w:tcPr>
          <w:p w14:paraId="7A9713FB" w14:textId="77777777" w:rsidR="00E316A3" w:rsidRDefault="00000000">
            <w:r>
              <w:t>3,818</w:t>
            </w:r>
          </w:p>
        </w:tc>
        <w:tc>
          <w:tcPr>
            <w:tcW w:w="1000" w:type="dxa"/>
          </w:tcPr>
          <w:p w14:paraId="10E681B1" w14:textId="77777777" w:rsidR="00E316A3" w:rsidRDefault="00000000">
            <w:r>
              <w:t>4,286</w:t>
            </w:r>
          </w:p>
        </w:tc>
        <w:tc>
          <w:tcPr>
            <w:tcW w:w="1000" w:type="dxa"/>
          </w:tcPr>
          <w:p w14:paraId="760A205D" w14:textId="77777777" w:rsidR="00E316A3" w:rsidRDefault="00000000">
            <w:r>
              <w:t>4,898</w:t>
            </w:r>
          </w:p>
        </w:tc>
        <w:tc>
          <w:tcPr>
            <w:tcW w:w="1000" w:type="dxa"/>
          </w:tcPr>
          <w:p w14:paraId="7D889168" w14:textId="77777777" w:rsidR="00E316A3" w:rsidRDefault="00000000">
            <w:r>
              <w:t>5,513</w:t>
            </w:r>
          </w:p>
        </w:tc>
        <w:tc>
          <w:tcPr>
            <w:tcW w:w="1240" w:type="dxa"/>
          </w:tcPr>
          <w:p w14:paraId="7B3F4C45" w14:textId="77777777" w:rsidR="00E316A3" w:rsidRDefault="00000000">
            <w:r>
              <w:t>+13.0%</w:t>
            </w:r>
          </w:p>
        </w:tc>
        <w:tc>
          <w:tcPr>
            <w:tcW w:w="1160" w:type="dxa"/>
          </w:tcPr>
          <w:p w14:paraId="465DFF42" w14:textId="77777777" w:rsidR="00E316A3" w:rsidRDefault="00000000">
            <w:r>
              <w:t>10.8%</w:t>
            </w:r>
          </w:p>
        </w:tc>
        <w:tc>
          <w:tcPr>
            <w:tcW w:w="1420" w:type="dxa"/>
          </w:tcPr>
          <w:p w14:paraId="1F165B20" w14:textId="77777777" w:rsidR="00E316A3" w:rsidRDefault="00000000">
            <w:r>
              <w:t>29.3%</w:t>
            </w:r>
          </w:p>
        </w:tc>
      </w:tr>
      <w:tr w:rsidR="00E316A3" w14:paraId="1DDD474C" w14:textId="77777777">
        <w:trPr>
          <w:cantSplit/>
        </w:trPr>
        <w:tc>
          <w:tcPr>
            <w:tcW w:w="1440" w:type="dxa"/>
          </w:tcPr>
          <w:p w14:paraId="57E86E48" w14:textId="77777777" w:rsidR="00E316A3" w:rsidRDefault="00000000">
            <w:r>
              <w:t>Asia-Pacific</w:t>
            </w:r>
          </w:p>
        </w:tc>
        <w:tc>
          <w:tcPr>
            <w:tcW w:w="1100" w:type="dxa"/>
          </w:tcPr>
          <w:p w14:paraId="0ADB9847" w14:textId="77777777" w:rsidR="00E316A3" w:rsidRDefault="00000000">
            <w:r>
              <w:t>3,937</w:t>
            </w:r>
          </w:p>
        </w:tc>
        <w:tc>
          <w:tcPr>
            <w:tcW w:w="1000" w:type="dxa"/>
          </w:tcPr>
          <w:p w14:paraId="256D8049" w14:textId="77777777" w:rsidR="00E316A3" w:rsidRDefault="00000000">
            <w:r>
              <w:t>3,766</w:t>
            </w:r>
          </w:p>
        </w:tc>
        <w:tc>
          <w:tcPr>
            <w:tcW w:w="1000" w:type="dxa"/>
          </w:tcPr>
          <w:p w14:paraId="74DF359A" w14:textId="77777777" w:rsidR="00E316A3" w:rsidRDefault="00000000">
            <w:r>
              <w:t>4,245</w:t>
            </w:r>
          </w:p>
        </w:tc>
        <w:tc>
          <w:tcPr>
            <w:tcW w:w="1000" w:type="dxa"/>
          </w:tcPr>
          <w:p w14:paraId="321840EB" w14:textId="77777777" w:rsidR="00E316A3" w:rsidRDefault="00000000">
            <w:r>
              <w:t>4,329</w:t>
            </w:r>
          </w:p>
        </w:tc>
        <w:tc>
          <w:tcPr>
            <w:tcW w:w="1240" w:type="dxa"/>
          </w:tcPr>
          <w:p w14:paraId="677F4778" w14:textId="77777777" w:rsidR="00E316A3" w:rsidRDefault="00000000">
            <w:r>
              <w:t>+3.2%</w:t>
            </w:r>
          </w:p>
        </w:tc>
        <w:tc>
          <w:tcPr>
            <w:tcW w:w="1160" w:type="dxa"/>
          </w:tcPr>
          <w:p w14:paraId="18E5A71B" w14:textId="77777777" w:rsidR="00E316A3" w:rsidRDefault="00000000">
            <w:r>
              <w:t>8.5%</w:t>
            </w:r>
          </w:p>
        </w:tc>
        <w:tc>
          <w:tcPr>
            <w:tcW w:w="1420" w:type="dxa"/>
          </w:tcPr>
          <w:p w14:paraId="3D48687D" w14:textId="77777777" w:rsidR="00E316A3" w:rsidRDefault="00000000">
            <w:r>
              <w:t>6.8%</w:t>
            </w:r>
          </w:p>
        </w:tc>
      </w:tr>
      <w:tr w:rsidR="00E316A3" w14:paraId="6703845E" w14:textId="77777777">
        <w:trPr>
          <w:cantSplit/>
        </w:trPr>
        <w:tc>
          <w:tcPr>
            <w:tcW w:w="1440" w:type="dxa"/>
          </w:tcPr>
          <w:p w14:paraId="4D04F7D0" w14:textId="77777777" w:rsidR="00E316A3" w:rsidRDefault="00000000">
            <w:r>
              <w:rPr>
                <w:b/>
              </w:rPr>
              <w:t>Group total</w:t>
            </w:r>
          </w:p>
        </w:tc>
        <w:tc>
          <w:tcPr>
            <w:tcW w:w="1100" w:type="dxa"/>
          </w:tcPr>
          <w:p w14:paraId="52A3D229" w14:textId="77777777" w:rsidR="00E316A3" w:rsidRDefault="00000000">
            <w:r>
              <w:rPr>
                <w:b/>
              </w:rPr>
              <w:t>45,430</w:t>
            </w:r>
          </w:p>
        </w:tc>
        <w:tc>
          <w:tcPr>
            <w:tcW w:w="1000" w:type="dxa"/>
          </w:tcPr>
          <w:p w14:paraId="71C24270" w14:textId="77777777" w:rsidR="00E316A3" w:rsidRDefault="00000000">
            <w:r>
              <w:rPr>
                <w:b/>
              </w:rPr>
              <w:t>45,874</w:t>
            </w:r>
          </w:p>
        </w:tc>
        <w:tc>
          <w:tcPr>
            <w:tcW w:w="1000" w:type="dxa"/>
          </w:tcPr>
          <w:p w14:paraId="447BB0D5" w14:textId="77777777" w:rsidR="00E316A3" w:rsidRDefault="00000000">
            <w:r>
              <w:rPr>
                <w:b/>
              </w:rPr>
              <w:t>48,831</w:t>
            </w:r>
          </w:p>
        </w:tc>
        <w:tc>
          <w:tcPr>
            <w:tcW w:w="1000" w:type="dxa"/>
          </w:tcPr>
          <w:p w14:paraId="583BB5D1" w14:textId="77777777" w:rsidR="00E316A3" w:rsidRDefault="00000000">
            <w:r>
              <w:rPr>
                <w:b/>
              </w:rPr>
              <w:t>51,223</w:t>
            </w:r>
          </w:p>
        </w:tc>
        <w:tc>
          <w:tcPr>
            <w:tcW w:w="1240" w:type="dxa"/>
          </w:tcPr>
          <w:p w14:paraId="05BAF5FC" w14:textId="77777777" w:rsidR="00E316A3" w:rsidRDefault="00000000">
            <w:r>
              <w:rPr>
                <w:b/>
              </w:rPr>
              <w:t>+4.1%</w:t>
            </w:r>
          </w:p>
        </w:tc>
        <w:tc>
          <w:tcPr>
            <w:tcW w:w="1160" w:type="dxa"/>
          </w:tcPr>
          <w:p w14:paraId="707B7CF7" w14:textId="77777777" w:rsidR="00E316A3" w:rsidRDefault="00000000">
            <w:r>
              <w:rPr>
                <w:b/>
              </w:rPr>
              <w:t>100%</w:t>
            </w:r>
          </w:p>
        </w:tc>
        <w:tc>
          <w:tcPr>
            <w:tcW w:w="1420" w:type="dxa"/>
          </w:tcPr>
          <w:p w14:paraId="4C760751" w14:textId="77777777" w:rsidR="00E316A3" w:rsidRDefault="00000000">
            <w:r>
              <w:rPr>
                <w:b/>
              </w:rPr>
              <w:t>100%</w:t>
            </w:r>
          </w:p>
        </w:tc>
      </w:tr>
    </w:tbl>
    <w:p w14:paraId="0CF9F11A" w14:textId="77777777" w:rsidR="00E316A3" w:rsidRDefault="00000000">
      <w:r>
        <w:rPr>
          <w:i/>
        </w:rPr>
        <w:t xml:space="preserve">Source: Company Fundamentals (CF) export, BNP Paribas SA (BNPP.PA), 7 Oct 2026, sheet "Geographic Line </w:t>
      </w:r>
      <w:proofErr w:type="gramStart"/>
      <w:r>
        <w:rPr>
          <w:i/>
        </w:rPr>
        <w:t>By</w:t>
      </w:r>
      <w:proofErr w:type="gramEnd"/>
      <w:r>
        <w:rPr>
          <w:i/>
        </w:rPr>
        <w:t xml:space="preserve"> Segment". Annual growth = compound annual growth rate; shares and growth contributions are our calculations.</w:t>
      </w:r>
    </w:p>
    <w:tbl>
      <w:tblPr>
        <w:tblStyle w:val="TableGrid"/>
        <w:tblW w:w="0" w:type="auto"/>
        <w:tblLayout w:type="fixed"/>
        <w:tblLook w:val="0420" w:firstRow="1" w:lastRow="0" w:firstColumn="0" w:lastColumn="0" w:noHBand="0" w:noVBand="1"/>
      </w:tblPr>
      <w:tblGrid>
        <w:gridCol w:w="1440"/>
        <w:gridCol w:w="1180"/>
        <w:gridCol w:w="1100"/>
        <w:gridCol w:w="1100"/>
        <w:gridCol w:w="1100"/>
        <w:gridCol w:w="1140"/>
        <w:gridCol w:w="1100"/>
        <w:gridCol w:w="1200"/>
      </w:tblGrid>
      <w:tr w:rsidR="00E316A3" w14:paraId="6CFF6791" w14:textId="77777777">
        <w:trPr>
          <w:tblHeader/>
        </w:trPr>
        <w:tc>
          <w:tcPr>
            <w:tcW w:w="1440" w:type="dxa"/>
            <w:shd w:val="clear" w:color="auto" w:fill="F2F2F2"/>
          </w:tcPr>
          <w:p w14:paraId="6BA33BF3" w14:textId="77777777" w:rsidR="00E316A3" w:rsidRDefault="00000000">
            <w:r>
              <w:t>Region</w:t>
            </w:r>
          </w:p>
        </w:tc>
        <w:tc>
          <w:tcPr>
            <w:tcW w:w="1180" w:type="dxa"/>
            <w:shd w:val="clear" w:color="auto" w:fill="F2F2F2"/>
          </w:tcPr>
          <w:p w14:paraId="703FBA62" w14:textId="77777777" w:rsidR="00E316A3" w:rsidRDefault="00000000">
            <w:r>
              <w:t>Total assets 2022 (€bn)</w:t>
            </w:r>
          </w:p>
        </w:tc>
        <w:tc>
          <w:tcPr>
            <w:tcW w:w="1100" w:type="dxa"/>
            <w:shd w:val="clear" w:color="auto" w:fill="F2F2F2"/>
          </w:tcPr>
          <w:p w14:paraId="57DE2B06" w14:textId="77777777" w:rsidR="00E316A3" w:rsidRDefault="00000000">
            <w:r>
              <w:t>2023</w:t>
            </w:r>
          </w:p>
        </w:tc>
        <w:tc>
          <w:tcPr>
            <w:tcW w:w="1100" w:type="dxa"/>
            <w:shd w:val="clear" w:color="auto" w:fill="F2F2F2"/>
          </w:tcPr>
          <w:p w14:paraId="012574E7" w14:textId="77777777" w:rsidR="00E316A3" w:rsidRDefault="00000000">
            <w:r>
              <w:t>2024</w:t>
            </w:r>
          </w:p>
        </w:tc>
        <w:tc>
          <w:tcPr>
            <w:tcW w:w="1100" w:type="dxa"/>
            <w:shd w:val="clear" w:color="auto" w:fill="F2F2F2"/>
          </w:tcPr>
          <w:p w14:paraId="15026EBA" w14:textId="77777777" w:rsidR="00E316A3" w:rsidRDefault="00000000">
            <w:r>
              <w:t>2025</w:t>
            </w:r>
          </w:p>
        </w:tc>
        <w:tc>
          <w:tcPr>
            <w:tcW w:w="1140" w:type="dxa"/>
            <w:shd w:val="clear" w:color="auto" w:fill="F2F2F2"/>
          </w:tcPr>
          <w:p w14:paraId="195EA0E1" w14:textId="77777777" w:rsidR="00E316A3" w:rsidRDefault="00000000">
            <w:r>
              <w:t>Change 2024–25 (€bn)</w:t>
            </w:r>
          </w:p>
        </w:tc>
        <w:tc>
          <w:tcPr>
            <w:tcW w:w="1100" w:type="dxa"/>
            <w:shd w:val="clear" w:color="auto" w:fill="F2F2F2"/>
          </w:tcPr>
          <w:p w14:paraId="5E4E8568" w14:textId="77777777" w:rsidR="00E316A3" w:rsidRDefault="00000000">
            <w:r>
              <w:t>% of group 2025</w:t>
            </w:r>
          </w:p>
        </w:tc>
        <w:tc>
          <w:tcPr>
            <w:tcW w:w="1200" w:type="dxa"/>
            <w:shd w:val="clear" w:color="auto" w:fill="F2F2F2"/>
          </w:tcPr>
          <w:p w14:paraId="0560C8AE" w14:textId="77777777" w:rsidR="00E316A3" w:rsidRDefault="00000000">
            <w:r>
              <w:t>Revenues / assets 2025</w:t>
            </w:r>
          </w:p>
        </w:tc>
      </w:tr>
      <w:tr w:rsidR="00E316A3" w14:paraId="70E7F622" w14:textId="77777777">
        <w:trPr>
          <w:cantSplit/>
        </w:trPr>
        <w:tc>
          <w:tcPr>
            <w:tcW w:w="1440" w:type="dxa"/>
          </w:tcPr>
          <w:p w14:paraId="1D3513E6" w14:textId="77777777" w:rsidR="00E316A3" w:rsidRDefault="00000000">
            <w:r>
              <w:t>EMEA</w:t>
            </w:r>
          </w:p>
        </w:tc>
        <w:tc>
          <w:tcPr>
            <w:tcW w:w="1180" w:type="dxa"/>
          </w:tcPr>
          <w:p w14:paraId="18491987" w14:textId="77777777" w:rsidR="00E316A3" w:rsidRDefault="00000000">
            <w:r>
              <w:t>2,188.6</w:t>
            </w:r>
          </w:p>
        </w:tc>
        <w:tc>
          <w:tcPr>
            <w:tcW w:w="1100" w:type="dxa"/>
          </w:tcPr>
          <w:p w14:paraId="476501A5" w14:textId="77777777" w:rsidR="00E316A3" w:rsidRDefault="00000000">
            <w:r>
              <w:t>2,148.5</w:t>
            </w:r>
          </w:p>
        </w:tc>
        <w:tc>
          <w:tcPr>
            <w:tcW w:w="1100" w:type="dxa"/>
          </w:tcPr>
          <w:p w14:paraId="08FCFA3A" w14:textId="77777777" w:rsidR="00E316A3" w:rsidRDefault="00000000">
            <w:r>
              <w:t>2,196.7</w:t>
            </w:r>
          </w:p>
        </w:tc>
        <w:tc>
          <w:tcPr>
            <w:tcW w:w="1100" w:type="dxa"/>
          </w:tcPr>
          <w:p w14:paraId="6C182A08" w14:textId="77777777" w:rsidR="00E316A3" w:rsidRDefault="00000000">
            <w:r>
              <w:t>2,259.8</w:t>
            </w:r>
          </w:p>
        </w:tc>
        <w:tc>
          <w:tcPr>
            <w:tcW w:w="1140" w:type="dxa"/>
          </w:tcPr>
          <w:p w14:paraId="76116020" w14:textId="77777777" w:rsidR="00E316A3" w:rsidRDefault="00000000">
            <w:r>
              <w:t>+63.1</w:t>
            </w:r>
          </w:p>
        </w:tc>
        <w:tc>
          <w:tcPr>
            <w:tcW w:w="1100" w:type="dxa"/>
          </w:tcPr>
          <w:p w14:paraId="13A1A922" w14:textId="77777777" w:rsidR="00E316A3" w:rsidRDefault="00000000">
            <w:r>
              <w:t>80.9%</w:t>
            </w:r>
          </w:p>
        </w:tc>
        <w:tc>
          <w:tcPr>
            <w:tcW w:w="1200" w:type="dxa"/>
          </w:tcPr>
          <w:p w14:paraId="3BE23A6B" w14:textId="77777777" w:rsidR="00E316A3" w:rsidRDefault="00000000">
            <w:r>
              <w:t>1.83%</w:t>
            </w:r>
          </w:p>
        </w:tc>
      </w:tr>
      <w:tr w:rsidR="00E316A3" w14:paraId="0F5EBB81" w14:textId="77777777">
        <w:trPr>
          <w:cantSplit/>
        </w:trPr>
        <w:tc>
          <w:tcPr>
            <w:tcW w:w="1440" w:type="dxa"/>
          </w:tcPr>
          <w:p w14:paraId="0DDA5956" w14:textId="77777777" w:rsidR="00E316A3" w:rsidRDefault="00000000">
            <w:r>
              <w:t>Americas</w:t>
            </w:r>
          </w:p>
        </w:tc>
        <w:tc>
          <w:tcPr>
            <w:tcW w:w="1180" w:type="dxa"/>
          </w:tcPr>
          <w:p w14:paraId="0CA1E9C6" w14:textId="77777777" w:rsidR="00E316A3" w:rsidRDefault="00000000">
            <w:r>
              <w:t>304.8</w:t>
            </w:r>
          </w:p>
        </w:tc>
        <w:tc>
          <w:tcPr>
            <w:tcW w:w="1100" w:type="dxa"/>
          </w:tcPr>
          <w:p w14:paraId="3A9206E1" w14:textId="77777777" w:rsidR="00E316A3" w:rsidRDefault="00000000">
            <w:r>
              <w:t>255.1</w:t>
            </w:r>
          </w:p>
        </w:tc>
        <w:tc>
          <w:tcPr>
            <w:tcW w:w="1100" w:type="dxa"/>
          </w:tcPr>
          <w:p w14:paraId="0F1EB730" w14:textId="77777777" w:rsidR="00E316A3" w:rsidRDefault="00000000">
            <w:r>
              <w:t>316.4</w:t>
            </w:r>
          </w:p>
        </w:tc>
        <w:tc>
          <w:tcPr>
            <w:tcW w:w="1100" w:type="dxa"/>
          </w:tcPr>
          <w:p w14:paraId="286670EC" w14:textId="77777777" w:rsidR="00E316A3" w:rsidRDefault="00000000">
            <w:r>
              <w:t>361.3</w:t>
            </w:r>
          </w:p>
        </w:tc>
        <w:tc>
          <w:tcPr>
            <w:tcW w:w="1140" w:type="dxa"/>
          </w:tcPr>
          <w:p w14:paraId="7D06E852" w14:textId="77777777" w:rsidR="00E316A3" w:rsidRDefault="00000000">
            <w:r>
              <w:t>+44.9</w:t>
            </w:r>
          </w:p>
        </w:tc>
        <w:tc>
          <w:tcPr>
            <w:tcW w:w="1100" w:type="dxa"/>
          </w:tcPr>
          <w:p w14:paraId="0D0B82C9" w14:textId="77777777" w:rsidR="00E316A3" w:rsidRDefault="00000000">
            <w:r>
              <w:t>12.9%</w:t>
            </w:r>
          </w:p>
        </w:tc>
        <w:tc>
          <w:tcPr>
            <w:tcW w:w="1200" w:type="dxa"/>
          </w:tcPr>
          <w:p w14:paraId="0DA50934" w14:textId="77777777" w:rsidR="00E316A3" w:rsidRDefault="00000000">
            <w:r>
              <w:t>1.53%</w:t>
            </w:r>
          </w:p>
        </w:tc>
      </w:tr>
      <w:tr w:rsidR="00E316A3" w14:paraId="7DD5F3C1" w14:textId="77777777">
        <w:trPr>
          <w:cantSplit/>
        </w:trPr>
        <w:tc>
          <w:tcPr>
            <w:tcW w:w="1440" w:type="dxa"/>
          </w:tcPr>
          <w:p w14:paraId="404BEC66" w14:textId="77777777" w:rsidR="00E316A3" w:rsidRDefault="00000000">
            <w:r>
              <w:t>Asia-Pacific</w:t>
            </w:r>
          </w:p>
        </w:tc>
        <w:tc>
          <w:tcPr>
            <w:tcW w:w="1180" w:type="dxa"/>
          </w:tcPr>
          <w:p w14:paraId="3BB8E929" w14:textId="77777777" w:rsidR="00E316A3" w:rsidRDefault="00000000">
            <w:r>
              <w:t>170.3</w:t>
            </w:r>
          </w:p>
        </w:tc>
        <w:tc>
          <w:tcPr>
            <w:tcW w:w="1100" w:type="dxa"/>
          </w:tcPr>
          <w:p w14:paraId="3FD59725" w14:textId="77777777" w:rsidR="00E316A3" w:rsidRDefault="00000000">
            <w:r>
              <w:t>187.9</w:t>
            </w:r>
          </w:p>
        </w:tc>
        <w:tc>
          <w:tcPr>
            <w:tcW w:w="1100" w:type="dxa"/>
          </w:tcPr>
          <w:p w14:paraId="00144AB3" w14:textId="77777777" w:rsidR="00E316A3" w:rsidRDefault="00000000">
            <w:r>
              <w:t>191.8</w:t>
            </w:r>
          </w:p>
        </w:tc>
        <w:tc>
          <w:tcPr>
            <w:tcW w:w="1100" w:type="dxa"/>
          </w:tcPr>
          <w:p w14:paraId="258269DB" w14:textId="77777777" w:rsidR="00E316A3" w:rsidRDefault="00000000">
            <w:r>
              <w:t>171.8</w:t>
            </w:r>
          </w:p>
        </w:tc>
        <w:tc>
          <w:tcPr>
            <w:tcW w:w="1140" w:type="dxa"/>
          </w:tcPr>
          <w:p w14:paraId="1723AC36" w14:textId="77777777" w:rsidR="00E316A3" w:rsidRDefault="00000000">
            <w:r>
              <w:t>−19.9</w:t>
            </w:r>
          </w:p>
        </w:tc>
        <w:tc>
          <w:tcPr>
            <w:tcW w:w="1100" w:type="dxa"/>
          </w:tcPr>
          <w:p w14:paraId="4E9256D4" w14:textId="77777777" w:rsidR="00E316A3" w:rsidRDefault="00000000">
            <w:r>
              <w:t>6.2%</w:t>
            </w:r>
          </w:p>
        </w:tc>
        <w:tc>
          <w:tcPr>
            <w:tcW w:w="1200" w:type="dxa"/>
          </w:tcPr>
          <w:p w14:paraId="5F19DA3B" w14:textId="77777777" w:rsidR="00E316A3" w:rsidRDefault="00000000">
            <w:r>
              <w:t>2.52%</w:t>
            </w:r>
          </w:p>
        </w:tc>
      </w:tr>
      <w:tr w:rsidR="00E316A3" w14:paraId="424E3A0E" w14:textId="77777777">
        <w:trPr>
          <w:cantSplit/>
        </w:trPr>
        <w:tc>
          <w:tcPr>
            <w:tcW w:w="1440" w:type="dxa"/>
          </w:tcPr>
          <w:p w14:paraId="13F529A7" w14:textId="77777777" w:rsidR="00E316A3" w:rsidRDefault="00000000">
            <w:r>
              <w:rPr>
                <w:b/>
              </w:rPr>
              <w:t>Group total</w:t>
            </w:r>
          </w:p>
        </w:tc>
        <w:tc>
          <w:tcPr>
            <w:tcW w:w="1180" w:type="dxa"/>
          </w:tcPr>
          <w:p w14:paraId="3F4BACEE" w14:textId="77777777" w:rsidR="00E316A3" w:rsidRDefault="00000000">
            <w:r>
              <w:rPr>
                <w:b/>
              </w:rPr>
              <w:t>2,663.7</w:t>
            </w:r>
          </w:p>
        </w:tc>
        <w:tc>
          <w:tcPr>
            <w:tcW w:w="1100" w:type="dxa"/>
          </w:tcPr>
          <w:p w14:paraId="55360851" w14:textId="77777777" w:rsidR="00E316A3" w:rsidRDefault="00000000">
            <w:r>
              <w:rPr>
                <w:b/>
              </w:rPr>
              <w:t>2,591.5</w:t>
            </w:r>
          </w:p>
        </w:tc>
        <w:tc>
          <w:tcPr>
            <w:tcW w:w="1100" w:type="dxa"/>
          </w:tcPr>
          <w:p w14:paraId="14E9EDCF" w14:textId="77777777" w:rsidR="00E316A3" w:rsidRDefault="00000000">
            <w:r>
              <w:rPr>
                <w:b/>
              </w:rPr>
              <w:t>2,704.9</w:t>
            </w:r>
          </w:p>
        </w:tc>
        <w:tc>
          <w:tcPr>
            <w:tcW w:w="1100" w:type="dxa"/>
          </w:tcPr>
          <w:p w14:paraId="6D54E4A1" w14:textId="77777777" w:rsidR="00E316A3" w:rsidRDefault="00000000">
            <w:r>
              <w:rPr>
                <w:b/>
              </w:rPr>
              <w:t>2,793.0</w:t>
            </w:r>
          </w:p>
        </w:tc>
        <w:tc>
          <w:tcPr>
            <w:tcW w:w="1140" w:type="dxa"/>
          </w:tcPr>
          <w:p w14:paraId="6CD3EACC" w14:textId="77777777" w:rsidR="00E316A3" w:rsidRDefault="00000000">
            <w:r>
              <w:rPr>
                <w:b/>
              </w:rPr>
              <w:t>+88.1</w:t>
            </w:r>
          </w:p>
        </w:tc>
        <w:tc>
          <w:tcPr>
            <w:tcW w:w="1100" w:type="dxa"/>
          </w:tcPr>
          <w:p w14:paraId="18E38D1F" w14:textId="77777777" w:rsidR="00E316A3" w:rsidRDefault="00000000">
            <w:r>
              <w:rPr>
                <w:b/>
              </w:rPr>
              <w:t>100%</w:t>
            </w:r>
          </w:p>
        </w:tc>
        <w:tc>
          <w:tcPr>
            <w:tcW w:w="1200" w:type="dxa"/>
          </w:tcPr>
          <w:p w14:paraId="6CA99F39" w14:textId="77777777" w:rsidR="00E316A3" w:rsidRDefault="00000000">
            <w:r>
              <w:rPr>
                <w:b/>
              </w:rPr>
              <w:t>1.83%</w:t>
            </w:r>
          </w:p>
        </w:tc>
      </w:tr>
    </w:tbl>
    <w:p w14:paraId="4E15F7BD" w14:textId="77777777" w:rsidR="00E316A3" w:rsidRDefault="00000000">
      <w:r>
        <w:rPr>
          <w:i/>
        </w:rPr>
        <w:t xml:space="preserve">Source: Company Fundamentals (CF) export, BNP Paribas SA (BNPP.PA), 7 Oct 2026, sheet "Geographic Line </w:t>
      </w:r>
      <w:proofErr w:type="gramStart"/>
      <w:r>
        <w:rPr>
          <w:i/>
        </w:rPr>
        <w:t>By</w:t>
      </w:r>
      <w:proofErr w:type="gramEnd"/>
      <w:r>
        <w:rPr>
          <w:i/>
        </w:rPr>
        <w:t xml:space="preserve"> Segment". Revenues/assets </w:t>
      </w:r>
      <w:proofErr w:type="gramStart"/>
      <w:r>
        <w:rPr>
          <w:i/>
        </w:rPr>
        <w:t>is</w:t>
      </w:r>
      <w:proofErr w:type="gramEnd"/>
      <w:r>
        <w:rPr>
          <w:i/>
        </w:rPr>
        <w:t xml:space="preserve"> our calculation.</w:t>
      </w:r>
    </w:p>
    <w:p w14:paraId="3BCDE088" w14:textId="77777777" w:rsidR="00E316A3" w:rsidRDefault="00000000">
      <w:r>
        <w:t>Three findings stand out:</w:t>
      </w:r>
    </w:p>
    <w:p w14:paraId="642B9732" w14:textId="77777777" w:rsidR="00E316A3" w:rsidRDefault="00000000">
      <w:pPr>
        <w:pStyle w:val="ListParagraph"/>
        <w:numPr>
          <w:ilvl w:val="0"/>
          <w:numId w:val="10"/>
        </w:numPr>
      </w:pPr>
      <w:r>
        <w:rPr>
          <w:b/>
        </w:rPr>
        <w:t>The Americas punch well above their weight in growth.</w:t>
      </w:r>
      <w:r>
        <w:t xml:space="preserve"> They hold 10.8% of revenues but delivered </w:t>
      </w:r>
      <w:r>
        <w:rPr>
          <w:b/>
        </w:rPr>
        <w:t>29% of the group's revenue growth since 2022</w:t>
      </w:r>
      <w:r>
        <w:t xml:space="preserve"> (+€1.7bn) and </w:t>
      </w:r>
      <w:r>
        <w:rPr>
          <w:b/>
        </w:rPr>
        <w:t>51% of its balance-sheet growth in 2025</w:t>
      </w:r>
      <w:r>
        <w:t xml:space="preserve"> (+€44.9bn of +€88.1bn). Revenues rose by 44% in three years, from €3.8bn to €5.5bn.</w:t>
      </w:r>
    </w:p>
    <w:p w14:paraId="7754588A" w14:textId="77777777" w:rsidR="00E316A3" w:rsidRDefault="00000000">
      <w:pPr>
        <w:pStyle w:val="ListParagraph"/>
        <w:numPr>
          <w:ilvl w:val="0"/>
          <w:numId w:val="10"/>
        </w:numPr>
      </w:pPr>
      <w:r>
        <w:rPr>
          <w:b/>
        </w:rPr>
        <w:lastRenderedPageBreak/>
        <w:t>That growth is balance-sheet hungry.</w:t>
      </w:r>
      <w:r>
        <w:t xml:space="preserve"> The Americas earn only 1.53% of revenues per euro of assets, below the group average (1.83%) and far below Asia-Pacific (2.52%). This is the signature of market activities (repos, securities, derivatives), which need large volumes to generate revenues. Asset productivity is improving, though: it was only 1.25% in 2022.</w:t>
      </w:r>
    </w:p>
    <w:p w14:paraId="79D59E3D" w14:textId="77777777" w:rsidR="00E316A3" w:rsidRDefault="00000000">
      <w:pPr>
        <w:pStyle w:val="ListParagraph"/>
        <w:numPr>
          <w:ilvl w:val="0"/>
          <w:numId w:val="10"/>
        </w:numPr>
      </w:pPr>
      <w:r>
        <w:rPr>
          <w:b/>
        </w:rPr>
        <w:t>Asia-Pacific is the most asset-efficient region.</w:t>
      </w:r>
      <w:r>
        <w:t xml:space="preserve"> It generates 8.5% of revenues with 6.2% of assets. In 2025 it cut its balance sheet by €19.9bn (−10.4%) while still growing revenues (+2.0%), which raised its revenue yield from 2.21% to 2.52%.</w:t>
      </w:r>
    </w:p>
    <w:p w14:paraId="132490F6" w14:textId="77777777" w:rsidR="00E316A3" w:rsidRDefault="00000000">
      <w:pPr>
        <w:pStyle w:val="ListParagraph"/>
        <w:numPr>
          <w:ilvl w:val="0"/>
          <w:numId w:val="10"/>
        </w:numPr>
      </w:pPr>
      <w:r>
        <w:rPr>
          <w:b/>
        </w:rPr>
        <w:t>EMEA remains the engine in absolute terms.</w:t>
      </w:r>
      <w:r>
        <w:t xml:space="preserve"> It generated 64% of revenue growth since </w:t>
      </w:r>
      <w:proofErr w:type="gramStart"/>
      <w:r>
        <w:t>2022, but</w:t>
      </w:r>
      <w:proofErr w:type="gramEnd"/>
      <w:r>
        <w:t xml:space="preserve"> grows more slowly (+3.2% a year) because it is a mature, mostly retail franchise.</w:t>
      </w:r>
    </w:p>
    <w:p w14:paraId="7CD9D826" w14:textId="77777777" w:rsidR="00E316A3" w:rsidRDefault="00000000">
      <w:pPr>
        <w:pStyle w:val="Heading3"/>
      </w:pPr>
      <w:r>
        <w:t>3.2 Ten-year view: how international is BNP Paribas?</w:t>
      </w:r>
    </w:p>
    <w:p w14:paraId="4C461F24" w14:textId="77777777" w:rsidR="00E316A3" w:rsidRDefault="00000000">
      <w:r>
        <w:t xml:space="preserve">The export provides geographic data back to 2016. Before 2022 the regions were Europe, North America, Asia-Pacific and "Others"; from 2022 they are EMEA, Americas and Asia-Pacific. To build a comparable series we take the share of revenues and assets booked </w:t>
      </w:r>
      <w:r>
        <w:rPr>
          <w:b/>
        </w:rPr>
        <w:t>outside Europe</w:t>
      </w:r>
      <w:r>
        <w:t>: North America + Asia-Pacific up to 2021, Americas + Asia-Pacific from 2022.</w:t>
      </w:r>
    </w:p>
    <w:p w14:paraId="3925934D" w14:textId="77777777" w:rsidR="00E316A3" w:rsidRDefault="00000000">
      <w:r>
        <w:rPr>
          <w:noProof/>
        </w:rPr>
        <w:drawing>
          <wp:inline distT="0" distB="0" distL="0" distR="0" wp14:anchorId="50EBBBE9" wp14:editId="7E94BCEC">
            <wp:extent cx="5486400" cy="2880360"/>
            <wp:effectExtent l="0" t="0" r="0" b="0"/>
            <wp:docPr id="20" name="chart_share" descr="Share of revenues and assets outside Europe, 2016-2025"/>
            <wp:cNvGraphicFramePr/>
            <a:graphic xmlns:a="http://schemas.openxmlformats.org/drawingml/2006/main">
              <a:graphicData uri="http://schemas.openxmlformats.org/drawingml/2006/picture">
                <pic:pic xmlns:pic="http://schemas.openxmlformats.org/drawingml/2006/picture">
                  <pic:nvPicPr>
                    <pic:cNvPr id="20" name="chart_share" descr="Share of revenues and assets outside Europe, 2016-2025"/>
                    <pic:cNvPicPr/>
                  </pic:nvPicPr>
                  <pic:blipFill>
                    <a:blip r:embed="rId6"/>
                    <a:stretch>
                      <a:fillRect/>
                    </a:stretch>
                  </pic:blipFill>
                  <pic:spPr>
                    <a:xfrm>
                      <a:off x="0" y="0"/>
                      <a:ext cx="5486400" cy="2880360"/>
                    </a:xfrm>
                    <a:prstGeom prst="rect">
                      <a:avLst/>
                    </a:prstGeom>
                  </pic:spPr>
                </pic:pic>
              </a:graphicData>
            </a:graphic>
          </wp:inline>
        </w:drawing>
      </w:r>
    </w:p>
    <w:p w14:paraId="7190C809" w14:textId="77777777" w:rsidR="00E316A3" w:rsidRDefault="00000000">
      <w:r>
        <w:rPr>
          <w:i/>
        </w:rPr>
        <w:t xml:space="preserve">Source: Company Fundamentals (CF) export, BNP Paribas SA (BNPP.PA), 7 Oct 2026, sheets "Geographic Line </w:t>
      </w:r>
      <w:proofErr w:type="gramStart"/>
      <w:r>
        <w:rPr>
          <w:i/>
        </w:rPr>
        <w:t>By</w:t>
      </w:r>
      <w:proofErr w:type="gramEnd"/>
      <w:r>
        <w:rPr>
          <w:i/>
        </w:rPr>
        <w:t xml:space="preserve"> Segment" and "By Statement Item". Our calculation; break in series in 2022 (new regional definitions).</w:t>
      </w:r>
    </w:p>
    <w:p w14:paraId="5A570405" w14:textId="77777777" w:rsidR="00E316A3" w:rsidRDefault="00000000">
      <w:pPr>
        <w:pStyle w:val="ListParagraph"/>
        <w:numPr>
          <w:ilvl w:val="0"/>
          <w:numId w:val="10"/>
        </w:numPr>
      </w:pPr>
      <w:r>
        <w:rPr>
          <w:b/>
        </w:rPr>
        <w:t>The international share is stable, not rising.</w:t>
      </w:r>
      <w:r>
        <w:t xml:space="preserve"> Revenues outside Europe have stayed between 17% and 21.5% of the group for a decade; 2025 (19.2%) is almost exactly the 2016 level (19.0%). BNP Paribas has deliberately remained a European bank with global reach, not a global bank with a European base.</w:t>
      </w:r>
    </w:p>
    <w:p w14:paraId="57420C4E" w14:textId="77777777" w:rsidR="00E316A3" w:rsidRDefault="00000000">
      <w:pPr>
        <w:pStyle w:val="ListParagraph"/>
        <w:numPr>
          <w:ilvl w:val="0"/>
          <w:numId w:val="10"/>
        </w:numPr>
      </w:pPr>
      <w:r>
        <w:rPr>
          <w:b/>
        </w:rPr>
        <w:t>The peak of 2020 (21.5%) was a market effect.</w:t>
      </w:r>
      <w:r>
        <w:t xml:space="preserve"> In the Covid year, North American revenues jumped by 23% (€4.7bn to €5.7bn) on very strong trading activity, while European revenues fell by 4.6%. Market-driven regions move faster than retail-driven ones, in both directions.</w:t>
      </w:r>
    </w:p>
    <w:p w14:paraId="1BDEFA09" w14:textId="77777777" w:rsidR="00E316A3" w:rsidRDefault="00000000">
      <w:pPr>
        <w:pStyle w:val="ListParagraph"/>
        <w:numPr>
          <w:ilvl w:val="0"/>
          <w:numId w:val="10"/>
        </w:numPr>
      </w:pPr>
      <w:r>
        <w:rPr>
          <w:b/>
        </w:rPr>
        <w:lastRenderedPageBreak/>
        <w:t>The asset share drifts upwards (16.6% → 19.1%).</w:t>
      </w:r>
      <w:r>
        <w:t xml:space="preserve"> The balance sheet outside Europe has grown faster than revenues, which is consistent with the growing weight of capital-market activities in the Americas.</w:t>
      </w:r>
    </w:p>
    <w:p w14:paraId="542ADBBF" w14:textId="77777777" w:rsidR="00E316A3" w:rsidRDefault="00000000">
      <w:r>
        <w:rPr>
          <w:noProof/>
        </w:rPr>
        <w:drawing>
          <wp:inline distT="0" distB="0" distL="0" distR="0" wp14:anchorId="2B209D6D" wp14:editId="1D442376">
            <wp:extent cx="5486400" cy="2880360"/>
            <wp:effectExtent l="0" t="0" r="0" b="0"/>
            <wp:docPr id="21" name="chart_regions" descr="Revenues in North America/Americas and Asia-Pacific, 2016-2025"/>
            <wp:cNvGraphicFramePr/>
            <a:graphic xmlns:a="http://schemas.openxmlformats.org/drawingml/2006/main">
              <a:graphicData uri="http://schemas.openxmlformats.org/drawingml/2006/picture">
                <pic:pic xmlns:pic="http://schemas.openxmlformats.org/drawingml/2006/picture">
                  <pic:nvPicPr>
                    <pic:cNvPr id="21" name="chart_regions" descr="Revenues in North America/Americas and Asia-Pacific, 2016-2025"/>
                    <pic:cNvPicPr/>
                  </pic:nvPicPr>
                  <pic:blipFill>
                    <a:blip r:embed="rId7"/>
                    <a:stretch>
                      <a:fillRect/>
                    </a:stretch>
                  </pic:blipFill>
                  <pic:spPr>
                    <a:xfrm>
                      <a:off x="0" y="0"/>
                      <a:ext cx="5486400" cy="2880360"/>
                    </a:xfrm>
                    <a:prstGeom prst="rect">
                      <a:avLst/>
                    </a:prstGeom>
                  </pic:spPr>
                </pic:pic>
              </a:graphicData>
            </a:graphic>
          </wp:inline>
        </w:drawing>
      </w:r>
    </w:p>
    <w:p w14:paraId="0B3D1C3C" w14:textId="77777777" w:rsidR="00E316A3" w:rsidRDefault="00000000">
      <w:r>
        <w:rPr>
          <w:i/>
        </w:rPr>
        <w:t>Source: Company Fundamentals (CF) export, BNP Paribas SA (BNPP.PA), 7 Oct 2026. North America to 2021, Americas (North and South) from 2022.</w:t>
      </w:r>
    </w:p>
    <w:p w14:paraId="4270E836" w14:textId="77777777" w:rsidR="00E316A3" w:rsidRDefault="00000000">
      <w:r>
        <w:rPr>
          <w:b/>
        </w:rPr>
        <w:t>The Americas: from retail bank to investment-banking platform.</w:t>
      </w:r>
      <w:r>
        <w:t xml:space="preserve"> In 2021 North America still included Bank of the West, the Californian retail bank. Its </w:t>
      </w:r>
      <w:proofErr w:type="gramStart"/>
      <w:r>
        <w:t>sale</w:t>
      </w:r>
      <w:proofErr w:type="gramEnd"/>
      <w:r>
        <w:t xml:space="preserve"> to BMO </w:t>
      </w:r>
      <w:proofErr w:type="gramStart"/>
      <w:r>
        <w:t>was</w:t>
      </w:r>
      <w:proofErr w:type="gramEnd"/>
      <w:r>
        <w:t xml:space="preserve"> completed on 1 February 2023: the export shows its results reclassified as discontinued operations (€720m in 2021, €687m in 2022, €2,947m in 2023 including the disposal gain). Revenues in the region therefore dropped to €3.8bn in 2022 and assets fell by 16% in 2023. Since </w:t>
      </w:r>
      <w:proofErr w:type="gramStart"/>
      <w:r>
        <w:t>then</w:t>
      </w:r>
      <w:proofErr w:type="gramEnd"/>
      <w:r>
        <w:t xml:space="preserve"> the Americas have grown by 13% a year and, at €5.5bn, </w:t>
      </w:r>
      <w:r>
        <w:rPr>
          <w:b/>
        </w:rPr>
        <w:t xml:space="preserve">already exceed the 2021 </w:t>
      </w:r>
      <w:proofErr w:type="gramStart"/>
      <w:r>
        <w:rPr>
          <w:b/>
        </w:rPr>
        <w:t>North-American</w:t>
      </w:r>
      <w:proofErr w:type="gramEnd"/>
      <w:r>
        <w:rPr>
          <w:b/>
        </w:rPr>
        <w:t xml:space="preserve"> level that still included a full retail bank</w:t>
      </w:r>
      <w:r>
        <w:t xml:space="preserve"> (€5.5bn). The region is now almost entirely CIB: 15 of the 21 consolidated US entities belong to CIB (Note 8.f, scope of consolidation). The trade-off is more volatility, because CIB revenues depend on market conditions rather than on a stable deposit and loan base.</w:t>
      </w:r>
    </w:p>
    <w:p w14:paraId="00894539" w14:textId="77777777" w:rsidR="00E316A3" w:rsidRDefault="00000000">
      <w:r>
        <w:rPr>
          <w:b/>
        </w:rPr>
        <w:t>Asia-Pacific: slow and steady.</w:t>
      </w:r>
      <w:r>
        <w:t xml:space="preserve"> Revenues rose from €3.1bn (2016) to €4.3bn (2025), +3.9% a year, against +1.9% for the group, while assets grew by only 1.1% a year. Asia-Pacific has become steadily more profitable per euro of balance sheet. It is a CIB and asset-management presence (Hong Kong, Singapore, China, Japan, Australia), not a retail market.</w:t>
      </w:r>
    </w:p>
    <w:p w14:paraId="2D315AE0" w14:textId="77777777" w:rsidR="00E316A3" w:rsidRDefault="00000000">
      <w:pPr>
        <w:pStyle w:val="Heading3"/>
      </w:pPr>
      <w:r>
        <w:t>3.3 Where the people work</w:t>
      </w:r>
    </w:p>
    <w:p w14:paraId="5977FB92" w14:textId="77777777" w:rsidR="00E316A3" w:rsidRDefault="00000000">
      <w:r>
        <w:t xml:space="preserve">The export breaks down employees by country up to 2021 (the most recent year available in this file). These figures add a dimension that revenues and assets </w:t>
      </w:r>
      <w:proofErr w:type="gramStart"/>
      <w:r>
        <w:t>miss:</w:t>
      </w:r>
      <w:proofErr w:type="gramEnd"/>
      <w:r>
        <w:t xml:space="preserve"> where the work is </w:t>
      </w:r>
      <w:proofErr w:type="gramStart"/>
      <w:r>
        <w:t>actually done</w:t>
      </w:r>
      <w:proofErr w:type="gramEnd"/>
      <w:r>
        <w:t>.</w:t>
      </w:r>
    </w:p>
    <w:tbl>
      <w:tblPr>
        <w:tblStyle w:val="TableGrid"/>
        <w:tblW w:w="0" w:type="auto"/>
        <w:tblLayout w:type="fixed"/>
        <w:tblLook w:val="0420" w:firstRow="1" w:lastRow="0" w:firstColumn="0" w:lastColumn="0" w:noHBand="0" w:noVBand="1"/>
      </w:tblPr>
      <w:tblGrid>
        <w:gridCol w:w="2400"/>
        <w:gridCol w:w="1700"/>
        <w:gridCol w:w="1700"/>
        <w:gridCol w:w="1700"/>
        <w:gridCol w:w="1700"/>
      </w:tblGrid>
      <w:tr w:rsidR="00E316A3" w14:paraId="0F1FD6D5" w14:textId="77777777">
        <w:trPr>
          <w:tblHeader/>
        </w:trPr>
        <w:tc>
          <w:tcPr>
            <w:tcW w:w="2400" w:type="dxa"/>
            <w:shd w:val="clear" w:color="auto" w:fill="F2F2F2"/>
          </w:tcPr>
          <w:p w14:paraId="6AFAFE38" w14:textId="77777777" w:rsidR="00E316A3" w:rsidRDefault="00000000">
            <w:r>
              <w:lastRenderedPageBreak/>
              <w:t>Country / region</w:t>
            </w:r>
          </w:p>
        </w:tc>
        <w:tc>
          <w:tcPr>
            <w:tcW w:w="1700" w:type="dxa"/>
            <w:shd w:val="clear" w:color="auto" w:fill="F2F2F2"/>
          </w:tcPr>
          <w:p w14:paraId="39F79B56" w14:textId="77777777" w:rsidR="00E316A3" w:rsidRDefault="00000000">
            <w:r>
              <w:t>Employees 2016</w:t>
            </w:r>
          </w:p>
        </w:tc>
        <w:tc>
          <w:tcPr>
            <w:tcW w:w="1700" w:type="dxa"/>
            <w:shd w:val="clear" w:color="auto" w:fill="F2F2F2"/>
          </w:tcPr>
          <w:p w14:paraId="6B0F08C8" w14:textId="77777777" w:rsidR="00E316A3" w:rsidRDefault="00000000">
            <w:r>
              <w:t>Employees 2021</w:t>
            </w:r>
          </w:p>
        </w:tc>
        <w:tc>
          <w:tcPr>
            <w:tcW w:w="1700" w:type="dxa"/>
            <w:shd w:val="clear" w:color="auto" w:fill="F2F2F2"/>
          </w:tcPr>
          <w:p w14:paraId="3AD0D8FE" w14:textId="77777777" w:rsidR="00E316A3" w:rsidRDefault="00000000">
            <w:r>
              <w:t>% of total 2021</w:t>
            </w:r>
          </w:p>
        </w:tc>
        <w:tc>
          <w:tcPr>
            <w:tcW w:w="1700" w:type="dxa"/>
            <w:shd w:val="clear" w:color="auto" w:fill="F2F2F2"/>
          </w:tcPr>
          <w:p w14:paraId="79215752" w14:textId="77777777" w:rsidR="00E316A3" w:rsidRDefault="00000000">
            <w:r>
              <w:t>Change 2016–21</w:t>
            </w:r>
          </w:p>
        </w:tc>
      </w:tr>
      <w:tr w:rsidR="00E316A3" w14:paraId="226F6DAC" w14:textId="77777777">
        <w:trPr>
          <w:cantSplit/>
        </w:trPr>
        <w:tc>
          <w:tcPr>
            <w:tcW w:w="2400" w:type="dxa"/>
          </w:tcPr>
          <w:p w14:paraId="53816E89" w14:textId="77777777" w:rsidR="00E316A3" w:rsidRDefault="00000000">
            <w:r>
              <w:t>France</w:t>
            </w:r>
          </w:p>
        </w:tc>
        <w:tc>
          <w:tcPr>
            <w:tcW w:w="1700" w:type="dxa"/>
          </w:tcPr>
          <w:p w14:paraId="277A70B6" w14:textId="77777777" w:rsidR="00E316A3" w:rsidRDefault="00000000">
            <w:r>
              <w:t>58,338</w:t>
            </w:r>
          </w:p>
        </w:tc>
        <w:tc>
          <w:tcPr>
            <w:tcW w:w="1700" w:type="dxa"/>
          </w:tcPr>
          <w:p w14:paraId="1F42C206" w14:textId="77777777" w:rsidR="00E316A3" w:rsidRDefault="00000000">
            <w:r>
              <w:t>54,659</w:t>
            </w:r>
          </w:p>
        </w:tc>
        <w:tc>
          <w:tcPr>
            <w:tcW w:w="1700" w:type="dxa"/>
          </w:tcPr>
          <w:p w14:paraId="5F1A13BB" w14:textId="77777777" w:rsidR="00E316A3" w:rsidRDefault="00000000">
            <w:r>
              <w:t>28.8%</w:t>
            </w:r>
          </w:p>
        </w:tc>
        <w:tc>
          <w:tcPr>
            <w:tcW w:w="1700" w:type="dxa"/>
          </w:tcPr>
          <w:p w14:paraId="0673C594" w14:textId="77777777" w:rsidR="00E316A3" w:rsidRDefault="00000000">
            <w:r>
              <w:t>−6.3%</w:t>
            </w:r>
          </w:p>
        </w:tc>
      </w:tr>
      <w:tr w:rsidR="00E316A3" w14:paraId="03CBC6E2" w14:textId="77777777">
        <w:trPr>
          <w:cantSplit/>
        </w:trPr>
        <w:tc>
          <w:tcPr>
            <w:tcW w:w="2400" w:type="dxa"/>
          </w:tcPr>
          <w:p w14:paraId="27CF2E16" w14:textId="77777777" w:rsidR="00E316A3" w:rsidRDefault="00000000">
            <w:r>
              <w:t>Italy</w:t>
            </w:r>
          </w:p>
        </w:tc>
        <w:tc>
          <w:tcPr>
            <w:tcW w:w="1700" w:type="dxa"/>
          </w:tcPr>
          <w:p w14:paraId="5227CA39" w14:textId="77777777" w:rsidR="00E316A3" w:rsidRDefault="00000000">
            <w:r>
              <w:t>18,017</w:t>
            </w:r>
          </w:p>
        </w:tc>
        <w:tc>
          <w:tcPr>
            <w:tcW w:w="1700" w:type="dxa"/>
          </w:tcPr>
          <w:p w14:paraId="5B85CA71" w14:textId="77777777" w:rsidR="00E316A3" w:rsidRDefault="00000000">
            <w:r>
              <w:t>17,038</w:t>
            </w:r>
          </w:p>
        </w:tc>
        <w:tc>
          <w:tcPr>
            <w:tcW w:w="1700" w:type="dxa"/>
          </w:tcPr>
          <w:p w14:paraId="36B433CF" w14:textId="77777777" w:rsidR="00E316A3" w:rsidRDefault="00000000">
            <w:r>
              <w:t>9.0%</w:t>
            </w:r>
          </w:p>
        </w:tc>
        <w:tc>
          <w:tcPr>
            <w:tcW w:w="1700" w:type="dxa"/>
          </w:tcPr>
          <w:p w14:paraId="3A344F1C" w14:textId="77777777" w:rsidR="00E316A3" w:rsidRDefault="00000000">
            <w:r>
              <w:t>−5.4%</w:t>
            </w:r>
          </w:p>
        </w:tc>
      </w:tr>
      <w:tr w:rsidR="00E316A3" w14:paraId="31FCEFC2" w14:textId="77777777">
        <w:trPr>
          <w:cantSplit/>
        </w:trPr>
        <w:tc>
          <w:tcPr>
            <w:tcW w:w="2400" w:type="dxa"/>
          </w:tcPr>
          <w:p w14:paraId="3B997A2F" w14:textId="77777777" w:rsidR="00E316A3" w:rsidRDefault="00000000">
            <w:r>
              <w:t>Belgium</w:t>
            </w:r>
          </w:p>
        </w:tc>
        <w:tc>
          <w:tcPr>
            <w:tcW w:w="1700" w:type="dxa"/>
          </w:tcPr>
          <w:p w14:paraId="09F12BC1" w14:textId="77777777" w:rsidR="00E316A3" w:rsidRDefault="00000000">
            <w:r>
              <w:t>15,721</w:t>
            </w:r>
          </w:p>
        </w:tc>
        <w:tc>
          <w:tcPr>
            <w:tcW w:w="1700" w:type="dxa"/>
          </w:tcPr>
          <w:p w14:paraId="042833F4" w14:textId="77777777" w:rsidR="00E316A3" w:rsidRDefault="00000000">
            <w:r>
              <w:t>12,577</w:t>
            </w:r>
          </w:p>
        </w:tc>
        <w:tc>
          <w:tcPr>
            <w:tcW w:w="1700" w:type="dxa"/>
          </w:tcPr>
          <w:p w14:paraId="155DCAE5" w14:textId="77777777" w:rsidR="00E316A3" w:rsidRDefault="00000000">
            <w:r>
              <w:t>6.6%</w:t>
            </w:r>
          </w:p>
        </w:tc>
        <w:tc>
          <w:tcPr>
            <w:tcW w:w="1700" w:type="dxa"/>
          </w:tcPr>
          <w:p w14:paraId="4A3D6FF5" w14:textId="77777777" w:rsidR="00E316A3" w:rsidRDefault="00000000">
            <w:r>
              <w:t>−20.0%</w:t>
            </w:r>
          </w:p>
        </w:tc>
      </w:tr>
      <w:tr w:rsidR="00E316A3" w14:paraId="66068AF0" w14:textId="77777777">
        <w:trPr>
          <w:cantSplit/>
        </w:trPr>
        <w:tc>
          <w:tcPr>
            <w:tcW w:w="2400" w:type="dxa"/>
          </w:tcPr>
          <w:p w14:paraId="4F86B294" w14:textId="77777777" w:rsidR="00E316A3" w:rsidRDefault="00000000">
            <w:r>
              <w:t>Luxembourg</w:t>
            </w:r>
          </w:p>
        </w:tc>
        <w:tc>
          <w:tcPr>
            <w:tcW w:w="1700" w:type="dxa"/>
          </w:tcPr>
          <w:p w14:paraId="7D7DAE14" w14:textId="77777777" w:rsidR="00E316A3" w:rsidRDefault="00000000">
            <w:r>
              <w:t>3,551</w:t>
            </w:r>
          </w:p>
        </w:tc>
        <w:tc>
          <w:tcPr>
            <w:tcW w:w="1700" w:type="dxa"/>
          </w:tcPr>
          <w:p w14:paraId="598C3F0F" w14:textId="77777777" w:rsidR="00E316A3" w:rsidRDefault="00000000">
            <w:r>
              <w:t>3,507</w:t>
            </w:r>
          </w:p>
        </w:tc>
        <w:tc>
          <w:tcPr>
            <w:tcW w:w="1700" w:type="dxa"/>
          </w:tcPr>
          <w:p w14:paraId="745BFDC9" w14:textId="77777777" w:rsidR="00E316A3" w:rsidRDefault="00000000">
            <w:r>
              <w:t>1.8%</w:t>
            </w:r>
          </w:p>
        </w:tc>
        <w:tc>
          <w:tcPr>
            <w:tcW w:w="1700" w:type="dxa"/>
          </w:tcPr>
          <w:p w14:paraId="0823F1F9" w14:textId="77777777" w:rsidR="00E316A3" w:rsidRDefault="00000000">
            <w:r>
              <w:t>−1.2%</w:t>
            </w:r>
          </w:p>
        </w:tc>
      </w:tr>
      <w:tr w:rsidR="00E316A3" w14:paraId="41E85361" w14:textId="77777777">
        <w:trPr>
          <w:cantSplit/>
        </w:trPr>
        <w:tc>
          <w:tcPr>
            <w:tcW w:w="2400" w:type="dxa"/>
          </w:tcPr>
          <w:p w14:paraId="240CFCD8" w14:textId="77777777" w:rsidR="00E316A3" w:rsidRDefault="00000000">
            <w:r>
              <w:t>Other EU countries</w:t>
            </w:r>
          </w:p>
        </w:tc>
        <w:tc>
          <w:tcPr>
            <w:tcW w:w="1700" w:type="dxa"/>
          </w:tcPr>
          <w:p w14:paraId="214CB446" w14:textId="77777777" w:rsidR="00E316A3" w:rsidRDefault="00000000">
            <w:r>
              <w:t>50,805</w:t>
            </w:r>
          </w:p>
        </w:tc>
        <w:tc>
          <w:tcPr>
            <w:tcW w:w="1700" w:type="dxa"/>
          </w:tcPr>
          <w:p w14:paraId="16ACB80D" w14:textId="77777777" w:rsidR="00E316A3" w:rsidRDefault="00000000">
            <w:r>
              <w:t>57,480</w:t>
            </w:r>
          </w:p>
        </w:tc>
        <w:tc>
          <w:tcPr>
            <w:tcW w:w="1700" w:type="dxa"/>
          </w:tcPr>
          <w:p w14:paraId="7B1D7D4C" w14:textId="77777777" w:rsidR="00E316A3" w:rsidRDefault="00000000">
            <w:r>
              <w:t>30.3%</w:t>
            </w:r>
          </w:p>
        </w:tc>
        <w:tc>
          <w:tcPr>
            <w:tcW w:w="1700" w:type="dxa"/>
          </w:tcPr>
          <w:p w14:paraId="355CBDC1" w14:textId="77777777" w:rsidR="00E316A3" w:rsidRDefault="00000000">
            <w:r>
              <w:t>+13.1%</w:t>
            </w:r>
          </w:p>
        </w:tc>
      </w:tr>
      <w:tr w:rsidR="00E316A3" w14:paraId="1C9BE53C" w14:textId="77777777">
        <w:trPr>
          <w:cantSplit/>
        </w:trPr>
        <w:tc>
          <w:tcPr>
            <w:tcW w:w="2400" w:type="dxa"/>
          </w:tcPr>
          <w:p w14:paraId="08D387E8" w14:textId="77777777" w:rsidR="00E316A3" w:rsidRDefault="00000000">
            <w:r>
              <w:t>North America</w:t>
            </w:r>
          </w:p>
        </w:tc>
        <w:tc>
          <w:tcPr>
            <w:tcW w:w="1700" w:type="dxa"/>
          </w:tcPr>
          <w:p w14:paraId="361196B0" w14:textId="77777777" w:rsidR="00E316A3" w:rsidRDefault="00000000">
            <w:r>
              <w:t>16,135</w:t>
            </w:r>
          </w:p>
        </w:tc>
        <w:tc>
          <w:tcPr>
            <w:tcW w:w="1700" w:type="dxa"/>
          </w:tcPr>
          <w:p w14:paraId="5BCEBBBF" w14:textId="77777777" w:rsidR="00E316A3" w:rsidRDefault="00000000">
            <w:r>
              <w:t>13,468</w:t>
            </w:r>
          </w:p>
        </w:tc>
        <w:tc>
          <w:tcPr>
            <w:tcW w:w="1700" w:type="dxa"/>
          </w:tcPr>
          <w:p w14:paraId="2505781D" w14:textId="77777777" w:rsidR="00E316A3" w:rsidRDefault="00000000">
            <w:r>
              <w:t>7.1%</w:t>
            </w:r>
          </w:p>
        </w:tc>
        <w:tc>
          <w:tcPr>
            <w:tcW w:w="1700" w:type="dxa"/>
          </w:tcPr>
          <w:p w14:paraId="5DDDAF53" w14:textId="77777777" w:rsidR="00E316A3" w:rsidRDefault="00000000">
            <w:r>
              <w:t>−16.5%</w:t>
            </w:r>
          </w:p>
        </w:tc>
      </w:tr>
      <w:tr w:rsidR="00E316A3" w14:paraId="357A8E0B" w14:textId="77777777">
        <w:trPr>
          <w:cantSplit/>
        </w:trPr>
        <w:tc>
          <w:tcPr>
            <w:tcW w:w="2400" w:type="dxa"/>
          </w:tcPr>
          <w:p w14:paraId="23B5FFB9" w14:textId="77777777" w:rsidR="00E316A3" w:rsidRDefault="00000000">
            <w:r>
              <w:t>South America</w:t>
            </w:r>
          </w:p>
        </w:tc>
        <w:tc>
          <w:tcPr>
            <w:tcW w:w="1700" w:type="dxa"/>
          </w:tcPr>
          <w:p w14:paraId="18201647" w14:textId="77777777" w:rsidR="00E316A3" w:rsidRDefault="00000000">
            <w:r>
              <w:t>4,086</w:t>
            </w:r>
          </w:p>
        </w:tc>
        <w:tc>
          <w:tcPr>
            <w:tcW w:w="1700" w:type="dxa"/>
          </w:tcPr>
          <w:p w14:paraId="220372DE" w14:textId="77777777" w:rsidR="00E316A3" w:rsidRDefault="00000000">
            <w:r>
              <w:t>4,406</w:t>
            </w:r>
          </w:p>
        </w:tc>
        <w:tc>
          <w:tcPr>
            <w:tcW w:w="1700" w:type="dxa"/>
          </w:tcPr>
          <w:p w14:paraId="795A76A7" w14:textId="77777777" w:rsidR="00E316A3" w:rsidRDefault="00000000">
            <w:r>
              <w:t>2.3%</w:t>
            </w:r>
          </w:p>
        </w:tc>
        <w:tc>
          <w:tcPr>
            <w:tcW w:w="1700" w:type="dxa"/>
          </w:tcPr>
          <w:p w14:paraId="1E86D3DD" w14:textId="77777777" w:rsidR="00E316A3" w:rsidRDefault="00000000">
            <w:r>
              <w:t>+7.8%</w:t>
            </w:r>
          </w:p>
        </w:tc>
      </w:tr>
      <w:tr w:rsidR="00E316A3" w14:paraId="133B6F28" w14:textId="77777777">
        <w:trPr>
          <w:cantSplit/>
        </w:trPr>
        <w:tc>
          <w:tcPr>
            <w:tcW w:w="2400" w:type="dxa"/>
          </w:tcPr>
          <w:p w14:paraId="39A7FDC9" w14:textId="77777777" w:rsidR="00E316A3" w:rsidRDefault="00000000">
            <w:r>
              <w:t>Asia-Pacific</w:t>
            </w:r>
          </w:p>
        </w:tc>
        <w:tc>
          <w:tcPr>
            <w:tcW w:w="1700" w:type="dxa"/>
          </w:tcPr>
          <w:p w14:paraId="7CBFCDED" w14:textId="77777777" w:rsidR="00E316A3" w:rsidRDefault="00000000">
            <w:r>
              <w:t>15,273</w:t>
            </w:r>
          </w:p>
        </w:tc>
        <w:tc>
          <w:tcPr>
            <w:tcW w:w="1700" w:type="dxa"/>
          </w:tcPr>
          <w:p w14:paraId="654BE8FE" w14:textId="77777777" w:rsidR="00E316A3" w:rsidRDefault="00000000">
            <w:r>
              <w:t>19,049</w:t>
            </w:r>
          </w:p>
        </w:tc>
        <w:tc>
          <w:tcPr>
            <w:tcW w:w="1700" w:type="dxa"/>
          </w:tcPr>
          <w:p w14:paraId="2C3647B1" w14:textId="77777777" w:rsidR="00E316A3" w:rsidRDefault="00000000">
            <w:r>
              <w:t>10.0%</w:t>
            </w:r>
          </w:p>
        </w:tc>
        <w:tc>
          <w:tcPr>
            <w:tcW w:w="1700" w:type="dxa"/>
          </w:tcPr>
          <w:p w14:paraId="39692EF6" w14:textId="77777777" w:rsidR="00E316A3" w:rsidRDefault="00000000">
            <w:r>
              <w:t>+24.7%</w:t>
            </w:r>
          </w:p>
        </w:tc>
      </w:tr>
      <w:tr w:rsidR="00E316A3" w14:paraId="4E03264F" w14:textId="77777777">
        <w:trPr>
          <w:cantSplit/>
        </w:trPr>
        <w:tc>
          <w:tcPr>
            <w:tcW w:w="2400" w:type="dxa"/>
          </w:tcPr>
          <w:p w14:paraId="6A241890" w14:textId="77777777" w:rsidR="00E316A3" w:rsidRDefault="00000000">
            <w:r>
              <w:t>Africa</w:t>
            </w:r>
          </w:p>
        </w:tc>
        <w:tc>
          <w:tcPr>
            <w:tcW w:w="1700" w:type="dxa"/>
          </w:tcPr>
          <w:p w14:paraId="05CF2DA6" w14:textId="77777777" w:rsidR="00E316A3" w:rsidRDefault="00000000">
            <w:r>
              <w:t>9,976</w:t>
            </w:r>
          </w:p>
        </w:tc>
        <w:tc>
          <w:tcPr>
            <w:tcW w:w="1700" w:type="dxa"/>
          </w:tcPr>
          <w:p w14:paraId="7816EAE7" w14:textId="77777777" w:rsidR="00E316A3" w:rsidRDefault="00000000">
            <w:r>
              <w:t>7,066</w:t>
            </w:r>
          </w:p>
        </w:tc>
        <w:tc>
          <w:tcPr>
            <w:tcW w:w="1700" w:type="dxa"/>
          </w:tcPr>
          <w:p w14:paraId="223EA990" w14:textId="77777777" w:rsidR="00E316A3" w:rsidRDefault="00000000">
            <w:r>
              <w:t>3.7%</w:t>
            </w:r>
          </w:p>
        </w:tc>
        <w:tc>
          <w:tcPr>
            <w:tcW w:w="1700" w:type="dxa"/>
          </w:tcPr>
          <w:p w14:paraId="58FBC6B6" w14:textId="77777777" w:rsidR="00E316A3" w:rsidRDefault="00000000">
            <w:r>
              <w:t>−29.2%</w:t>
            </w:r>
          </w:p>
        </w:tc>
      </w:tr>
      <w:tr w:rsidR="00E316A3" w14:paraId="03176760" w14:textId="77777777">
        <w:trPr>
          <w:cantSplit/>
        </w:trPr>
        <w:tc>
          <w:tcPr>
            <w:tcW w:w="2400" w:type="dxa"/>
          </w:tcPr>
          <w:p w14:paraId="69E177A5" w14:textId="77777777" w:rsidR="00E316A3" w:rsidRDefault="00000000">
            <w:r>
              <w:t>Middle East</w:t>
            </w:r>
          </w:p>
        </w:tc>
        <w:tc>
          <w:tcPr>
            <w:tcW w:w="1700" w:type="dxa"/>
          </w:tcPr>
          <w:p w14:paraId="09B7D1B5" w14:textId="77777777" w:rsidR="00E316A3" w:rsidRDefault="00000000">
            <w:r>
              <w:t>517</w:t>
            </w:r>
          </w:p>
        </w:tc>
        <w:tc>
          <w:tcPr>
            <w:tcW w:w="1700" w:type="dxa"/>
          </w:tcPr>
          <w:p w14:paraId="6BF4BB48" w14:textId="77777777" w:rsidR="00E316A3" w:rsidRDefault="00000000">
            <w:r>
              <w:t>515</w:t>
            </w:r>
          </w:p>
        </w:tc>
        <w:tc>
          <w:tcPr>
            <w:tcW w:w="1700" w:type="dxa"/>
          </w:tcPr>
          <w:p w14:paraId="26C1B1A5" w14:textId="77777777" w:rsidR="00E316A3" w:rsidRDefault="00000000">
            <w:r>
              <w:t>0.3%</w:t>
            </w:r>
          </w:p>
        </w:tc>
        <w:tc>
          <w:tcPr>
            <w:tcW w:w="1700" w:type="dxa"/>
          </w:tcPr>
          <w:p w14:paraId="6FC8BD69" w14:textId="77777777" w:rsidR="00E316A3" w:rsidRDefault="00000000">
            <w:r>
              <w:t>−0.4%</w:t>
            </w:r>
          </w:p>
        </w:tc>
      </w:tr>
      <w:tr w:rsidR="00E316A3" w14:paraId="0F323653" w14:textId="77777777">
        <w:trPr>
          <w:cantSplit/>
        </w:trPr>
        <w:tc>
          <w:tcPr>
            <w:tcW w:w="2400" w:type="dxa"/>
          </w:tcPr>
          <w:p w14:paraId="33E575AA" w14:textId="77777777" w:rsidR="00E316A3" w:rsidRDefault="00000000">
            <w:r>
              <w:rPr>
                <w:b/>
              </w:rPr>
              <w:t>Total</w:t>
            </w:r>
          </w:p>
        </w:tc>
        <w:tc>
          <w:tcPr>
            <w:tcW w:w="1700" w:type="dxa"/>
          </w:tcPr>
          <w:p w14:paraId="04DFBF8C" w14:textId="77777777" w:rsidR="00E316A3" w:rsidRDefault="00000000">
            <w:r>
              <w:rPr>
                <w:b/>
              </w:rPr>
              <w:t>192,419</w:t>
            </w:r>
          </w:p>
        </w:tc>
        <w:tc>
          <w:tcPr>
            <w:tcW w:w="1700" w:type="dxa"/>
          </w:tcPr>
          <w:p w14:paraId="16C41E9A" w14:textId="77777777" w:rsidR="00E316A3" w:rsidRDefault="00000000">
            <w:r>
              <w:rPr>
                <w:b/>
              </w:rPr>
              <w:t>189,765</w:t>
            </w:r>
          </w:p>
        </w:tc>
        <w:tc>
          <w:tcPr>
            <w:tcW w:w="1700" w:type="dxa"/>
          </w:tcPr>
          <w:p w14:paraId="7CD6AB05" w14:textId="77777777" w:rsidR="00E316A3" w:rsidRDefault="00000000">
            <w:r>
              <w:rPr>
                <w:b/>
              </w:rPr>
              <w:t>100%</w:t>
            </w:r>
          </w:p>
        </w:tc>
        <w:tc>
          <w:tcPr>
            <w:tcW w:w="1700" w:type="dxa"/>
          </w:tcPr>
          <w:p w14:paraId="526BDE0B" w14:textId="77777777" w:rsidR="00E316A3" w:rsidRDefault="00000000">
            <w:r>
              <w:rPr>
                <w:b/>
              </w:rPr>
              <w:t>−1.4%</w:t>
            </w:r>
          </w:p>
        </w:tc>
      </w:tr>
    </w:tbl>
    <w:p w14:paraId="145AB7F7" w14:textId="77777777" w:rsidR="00E316A3" w:rsidRDefault="00000000">
      <w:r>
        <w:rPr>
          <w:i/>
        </w:rPr>
        <w:t xml:space="preserve">Source: Company Fundamentals (CF) export, BNP Paribas SA (BNPP.PA), 7 Oct 2026, sheet "Geographic Line </w:t>
      </w:r>
      <w:proofErr w:type="gramStart"/>
      <w:r>
        <w:rPr>
          <w:i/>
        </w:rPr>
        <w:t>By</w:t>
      </w:r>
      <w:proofErr w:type="gramEnd"/>
      <w:r>
        <w:rPr>
          <w:i/>
        </w:rPr>
        <w:t xml:space="preserve"> Segment" (employees, full-time equivalents). Asia-Pacific 2016 is reported under "Oceania" in the export. Percentages and changes are our calculations.</w:t>
      </w:r>
    </w:p>
    <w:p w14:paraId="77503FD7" w14:textId="77777777" w:rsidR="00E316A3" w:rsidRDefault="00000000">
      <w:pPr>
        <w:pStyle w:val="ListParagraph"/>
        <w:numPr>
          <w:ilvl w:val="0"/>
          <w:numId w:val="10"/>
        </w:numPr>
      </w:pPr>
      <w:r>
        <w:rPr>
          <w:b/>
        </w:rPr>
        <w:t>More than half of the staff (54%) works outside the four domestic markets</w:t>
      </w:r>
      <w:r>
        <w:t xml:space="preserve"> (France, Italy, Belgium, Luxembourg), and 23.5% outside Europe. By headcount, BNP Paribas is more international than its revenue split suggests.</w:t>
      </w:r>
    </w:p>
    <w:p w14:paraId="5CAE1563" w14:textId="77777777" w:rsidR="00E316A3" w:rsidRDefault="00000000">
      <w:pPr>
        <w:pStyle w:val="ListParagraph"/>
        <w:numPr>
          <w:ilvl w:val="0"/>
          <w:numId w:val="10"/>
        </w:numPr>
      </w:pPr>
      <w:r>
        <w:rPr>
          <w:b/>
        </w:rPr>
        <w:t xml:space="preserve">Employment is shifting from </w:t>
      </w:r>
      <w:proofErr w:type="gramStart"/>
      <w:r>
        <w:rPr>
          <w:b/>
        </w:rPr>
        <w:t>the historic</w:t>
      </w:r>
      <w:proofErr w:type="gramEnd"/>
      <w:r>
        <w:rPr>
          <w:b/>
        </w:rPr>
        <w:t xml:space="preserve"> networks to the rest of Europe and Asia.</w:t>
      </w:r>
      <w:r>
        <w:t xml:space="preserve"> France and Belgium lost 6,800 jobs between 2016 and 2021, while "Other EU countries" (Poland, Germany, Spain, Portugal and others, where the </w:t>
      </w:r>
      <w:proofErr w:type="spellStart"/>
      <w:r>
        <w:t>specialised</w:t>
      </w:r>
      <w:proofErr w:type="spellEnd"/>
      <w:r>
        <w:t xml:space="preserve"> businesses and shared-service </w:t>
      </w:r>
      <w:proofErr w:type="spellStart"/>
      <w:r>
        <w:t>centres</w:t>
      </w:r>
      <w:proofErr w:type="spellEnd"/>
      <w:r>
        <w:t xml:space="preserve"> sit) gained 6,700, and Asia-Pacific +3,800.</w:t>
      </w:r>
    </w:p>
    <w:p w14:paraId="1D776197" w14:textId="77777777" w:rsidR="00E316A3" w:rsidRDefault="00000000">
      <w:pPr>
        <w:pStyle w:val="ListParagraph"/>
        <w:numPr>
          <w:ilvl w:val="0"/>
          <w:numId w:val="10"/>
        </w:numPr>
      </w:pPr>
      <w:r>
        <w:rPr>
          <w:b/>
        </w:rPr>
        <w:t>Productivity differs strongly by region.</w:t>
      </w:r>
      <w:r>
        <w:t xml:space="preserve"> In 2021 North America generated about €405k of revenues per employee, Europe €239k and Asia-Pacific €188k. The low Asian figure is likely to reflect support and IT functions located in the region that serve the whole group, rather than lower client profitability.</w:t>
      </w:r>
    </w:p>
    <w:p w14:paraId="07E7A38B" w14:textId="77777777" w:rsidR="00E316A3" w:rsidRDefault="00000000">
      <w:pPr>
        <w:pStyle w:val="ListParagraph"/>
        <w:numPr>
          <w:ilvl w:val="0"/>
          <w:numId w:val="10"/>
        </w:numPr>
      </w:pPr>
      <w:r>
        <w:rPr>
          <w:b/>
        </w:rPr>
        <w:t>Africa has been reduced</w:t>
      </w:r>
      <w:r>
        <w:t xml:space="preserve"> (−29.7% of staff between 2019 and 2021), consistent with the group's withdrawal from several African retail networks. Total group headcount was 177,990 at end-2025, 6% below 2021, partly reflecting the </w:t>
      </w:r>
      <w:proofErr w:type="gramStart"/>
      <w:r>
        <w:t>sale</w:t>
      </w:r>
      <w:proofErr w:type="gramEnd"/>
      <w:r>
        <w:t xml:space="preserve"> of Bank of the West.</w:t>
      </w:r>
    </w:p>
    <w:p w14:paraId="5C79BC20" w14:textId="77777777" w:rsidR="00E316A3" w:rsidRDefault="00000000">
      <w:pPr>
        <w:pStyle w:val="Heading3"/>
      </w:pPr>
      <w:r>
        <w:lastRenderedPageBreak/>
        <w:t>3.4 How each division works internationally</w:t>
      </w:r>
    </w:p>
    <w:tbl>
      <w:tblPr>
        <w:tblStyle w:val="TableGrid"/>
        <w:tblW w:w="0" w:type="auto"/>
        <w:tblLayout w:type="fixed"/>
        <w:tblLook w:val="0420" w:firstRow="1" w:lastRow="0" w:firstColumn="0" w:lastColumn="0" w:noHBand="0" w:noVBand="1"/>
      </w:tblPr>
      <w:tblGrid>
        <w:gridCol w:w="2760"/>
        <w:gridCol w:w="1200"/>
        <w:gridCol w:w="1100"/>
        <w:gridCol w:w="1300"/>
        <w:gridCol w:w="1500"/>
        <w:gridCol w:w="1500"/>
      </w:tblGrid>
      <w:tr w:rsidR="00E316A3" w14:paraId="3B0803C1" w14:textId="77777777">
        <w:trPr>
          <w:tblHeader/>
        </w:trPr>
        <w:tc>
          <w:tcPr>
            <w:tcW w:w="2760" w:type="dxa"/>
            <w:shd w:val="clear" w:color="auto" w:fill="F2F2F2"/>
          </w:tcPr>
          <w:p w14:paraId="4532ED0B" w14:textId="77777777" w:rsidR="00E316A3" w:rsidRDefault="00000000">
            <w:r>
              <w:t>Business</w:t>
            </w:r>
          </w:p>
        </w:tc>
        <w:tc>
          <w:tcPr>
            <w:tcW w:w="1200" w:type="dxa"/>
            <w:shd w:val="clear" w:color="auto" w:fill="F2F2F2"/>
          </w:tcPr>
          <w:p w14:paraId="4DBC9B88" w14:textId="77777777" w:rsidR="00E316A3" w:rsidRDefault="00000000">
            <w:r>
              <w:t>Revenues 2025 (€m)</w:t>
            </w:r>
          </w:p>
        </w:tc>
        <w:tc>
          <w:tcPr>
            <w:tcW w:w="1100" w:type="dxa"/>
            <w:shd w:val="clear" w:color="auto" w:fill="F2F2F2"/>
          </w:tcPr>
          <w:p w14:paraId="57A796C2" w14:textId="77777777" w:rsidR="00E316A3" w:rsidRDefault="00000000">
            <w:r>
              <w:t>Change vs 2024</w:t>
            </w:r>
          </w:p>
        </w:tc>
        <w:tc>
          <w:tcPr>
            <w:tcW w:w="1300" w:type="dxa"/>
            <w:shd w:val="clear" w:color="auto" w:fill="F2F2F2"/>
          </w:tcPr>
          <w:p w14:paraId="534F6EF6" w14:textId="77777777" w:rsidR="00E316A3" w:rsidRDefault="00000000">
            <w:r>
              <w:t>Pre-tax income 2025 (€m)</w:t>
            </w:r>
          </w:p>
        </w:tc>
        <w:tc>
          <w:tcPr>
            <w:tcW w:w="1500" w:type="dxa"/>
            <w:shd w:val="clear" w:color="auto" w:fill="F2F2F2"/>
          </w:tcPr>
          <w:p w14:paraId="2960AF15" w14:textId="77777777" w:rsidR="00E316A3" w:rsidRDefault="00000000">
            <w:r>
              <w:t>Pre-tax income / assets</w:t>
            </w:r>
          </w:p>
        </w:tc>
        <w:tc>
          <w:tcPr>
            <w:tcW w:w="1500" w:type="dxa"/>
            <w:shd w:val="clear" w:color="auto" w:fill="F2F2F2"/>
          </w:tcPr>
          <w:p w14:paraId="7D2978B0" w14:textId="77777777" w:rsidR="00E316A3" w:rsidRDefault="00000000">
            <w:r>
              <w:t>Cost of risk 2025 (€m)</w:t>
            </w:r>
          </w:p>
        </w:tc>
      </w:tr>
      <w:tr w:rsidR="00E316A3" w14:paraId="65D1D7BF" w14:textId="77777777">
        <w:trPr>
          <w:cantSplit/>
        </w:trPr>
        <w:tc>
          <w:tcPr>
            <w:tcW w:w="2760" w:type="dxa"/>
          </w:tcPr>
          <w:p w14:paraId="3D84DADB" w14:textId="77777777" w:rsidR="00E316A3" w:rsidRDefault="00000000">
            <w:r>
              <w:t>Eurozone domestic networks (France, Italy, Belgium, Luxembourg)</w:t>
            </w:r>
          </w:p>
        </w:tc>
        <w:tc>
          <w:tcPr>
            <w:tcW w:w="1200" w:type="dxa"/>
          </w:tcPr>
          <w:p w14:paraId="2CCCD1EF" w14:textId="77777777" w:rsidR="00E316A3" w:rsidRDefault="00000000">
            <w:r>
              <w:t>13,556</w:t>
            </w:r>
          </w:p>
        </w:tc>
        <w:tc>
          <w:tcPr>
            <w:tcW w:w="1100" w:type="dxa"/>
          </w:tcPr>
          <w:p w14:paraId="489E9783" w14:textId="77777777" w:rsidR="00E316A3" w:rsidRDefault="00000000">
            <w:r>
              <w:t>+3.0%</w:t>
            </w:r>
          </w:p>
        </w:tc>
        <w:tc>
          <w:tcPr>
            <w:tcW w:w="1300" w:type="dxa"/>
          </w:tcPr>
          <w:p w14:paraId="072766B1" w14:textId="77777777" w:rsidR="00E316A3" w:rsidRDefault="00000000">
            <w:r>
              <w:t>3,907</w:t>
            </w:r>
          </w:p>
        </w:tc>
        <w:tc>
          <w:tcPr>
            <w:tcW w:w="1500" w:type="dxa"/>
          </w:tcPr>
          <w:p w14:paraId="0D9B4F93" w14:textId="77777777" w:rsidR="00E316A3" w:rsidRDefault="00000000">
            <w:r>
              <w:t>0.70%</w:t>
            </w:r>
          </w:p>
        </w:tc>
        <w:tc>
          <w:tcPr>
            <w:tcW w:w="1500" w:type="dxa"/>
          </w:tcPr>
          <w:p w14:paraId="1A486184" w14:textId="77777777" w:rsidR="00E316A3" w:rsidRDefault="00000000">
            <w:r>
              <w:t>750</w:t>
            </w:r>
          </w:p>
        </w:tc>
      </w:tr>
      <w:tr w:rsidR="00E316A3" w14:paraId="573F3AB1" w14:textId="77777777">
        <w:trPr>
          <w:cantSplit/>
        </w:trPr>
        <w:tc>
          <w:tcPr>
            <w:tcW w:w="2760" w:type="dxa"/>
          </w:tcPr>
          <w:p w14:paraId="3E4EAF93" w14:textId="77777777" w:rsidR="00E316A3" w:rsidRDefault="00000000">
            <w:r>
              <w:t>Europe-Mediterranean (Poland, Türkiye and others)</w:t>
            </w:r>
          </w:p>
        </w:tc>
        <w:tc>
          <w:tcPr>
            <w:tcW w:w="1200" w:type="dxa"/>
          </w:tcPr>
          <w:p w14:paraId="6BB27789" w14:textId="77777777" w:rsidR="00E316A3" w:rsidRDefault="00000000">
            <w:r>
              <w:t>3,693</w:t>
            </w:r>
          </w:p>
        </w:tc>
        <w:tc>
          <w:tcPr>
            <w:tcW w:w="1100" w:type="dxa"/>
          </w:tcPr>
          <w:p w14:paraId="38A0BA81" w14:textId="77777777" w:rsidR="00E316A3" w:rsidRDefault="00000000">
            <w:r>
              <w:t>+19.0%</w:t>
            </w:r>
          </w:p>
        </w:tc>
        <w:tc>
          <w:tcPr>
            <w:tcW w:w="1300" w:type="dxa"/>
          </w:tcPr>
          <w:p w14:paraId="091FCAE5" w14:textId="77777777" w:rsidR="00E316A3" w:rsidRDefault="00000000">
            <w:r>
              <w:t>1,325</w:t>
            </w:r>
          </w:p>
        </w:tc>
        <w:tc>
          <w:tcPr>
            <w:tcW w:w="1500" w:type="dxa"/>
          </w:tcPr>
          <w:p w14:paraId="23B7797A" w14:textId="77777777" w:rsidR="00E316A3" w:rsidRDefault="00000000">
            <w:r>
              <w:t>1.83%</w:t>
            </w:r>
          </w:p>
        </w:tc>
        <w:tc>
          <w:tcPr>
            <w:tcW w:w="1500" w:type="dxa"/>
          </w:tcPr>
          <w:p w14:paraId="50BBFF55" w14:textId="77777777" w:rsidR="00E316A3" w:rsidRDefault="00000000">
            <w:r>
              <w:t>376</w:t>
            </w:r>
          </w:p>
        </w:tc>
      </w:tr>
      <w:tr w:rsidR="00E316A3" w14:paraId="28BE595F" w14:textId="77777777">
        <w:trPr>
          <w:cantSplit/>
        </w:trPr>
        <w:tc>
          <w:tcPr>
            <w:tcW w:w="2760" w:type="dxa"/>
          </w:tcPr>
          <w:p w14:paraId="2FBB77D6" w14:textId="77777777" w:rsidR="00E316A3" w:rsidRDefault="00000000">
            <w:r>
              <w:t>Global Markets (worldwide)</w:t>
            </w:r>
          </w:p>
        </w:tc>
        <w:tc>
          <w:tcPr>
            <w:tcW w:w="1200" w:type="dxa"/>
          </w:tcPr>
          <w:p w14:paraId="45F116EC" w14:textId="77777777" w:rsidR="00E316A3" w:rsidRDefault="00000000">
            <w:r>
              <w:t>9,568</w:t>
            </w:r>
          </w:p>
        </w:tc>
        <w:tc>
          <w:tcPr>
            <w:tcW w:w="1100" w:type="dxa"/>
          </w:tcPr>
          <w:p w14:paraId="4D092ED4" w14:textId="77777777" w:rsidR="00E316A3" w:rsidRDefault="00000000">
            <w:r>
              <w:t>+9.7%</w:t>
            </w:r>
          </w:p>
        </w:tc>
        <w:tc>
          <w:tcPr>
            <w:tcW w:w="1300" w:type="dxa"/>
          </w:tcPr>
          <w:p w14:paraId="745665B6" w14:textId="77777777" w:rsidR="00E316A3" w:rsidRDefault="00000000">
            <w:r>
              <w:t>3,399</w:t>
            </w:r>
          </w:p>
        </w:tc>
        <w:tc>
          <w:tcPr>
            <w:tcW w:w="1500" w:type="dxa"/>
          </w:tcPr>
          <w:p w14:paraId="3188EA22" w14:textId="77777777" w:rsidR="00E316A3" w:rsidRDefault="00000000">
            <w:r>
              <w:t>0.33%</w:t>
            </w:r>
          </w:p>
        </w:tc>
        <w:tc>
          <w:tcPr>
            <w:tcW w:w="1500" w:type="dxa"/>
          </w:tcPr>
          <w:p w14:paraId="6C8AED4B" w14:textId="77777777" w:rsidR="00E316A3" w:rsidRDefault="00000000">
            <w:r>
              <w:t>223</w:t>
            </w:r>
          </w:p>
        </w:tc>
      </w:tr>
      <w:tr w:rsidR="00E316A3" w14:paraId="78479A25" w14:textId="77777777">
        <w:trPr>
          <w:cantSplit/>
        </w:trPr>
        <w:tc>
          <w:tcPr>
            <w:tcW w:w="2760" w:type="dxa"/>
          </w:tcPr>
          <w:p w14:paraId="2977668F" w14:textId="77777777" w:rsidR="00E316A3" w:rsidRDefault="00000000">
            <w:r>
              <w:t>Global Banking (worldwide)</w:t>
            </w:r>
          </w:p>
        </w:tc>
        <w:tc>
          <w:tcPr>
            <w:tcW w:w="1200" w:type="dxa"/>
          </w:tcPr>
          <w:p w14:paraId="64A635A4" w14:textId="77777777" w:rsidR="00E316A3" w:rsidRDefault="00000000">
            <w:r>
              <w:t>6,244</w:t>
            </w:r>
          </w:p>
        </w:tc>
        <w:tc>
          <w:tcPr>
            <w:tcW w:w="1100" w:type="dxa"/>
          </w:tcPr>
          <w:p w14:paraId="5764CF89" w14:textId="77777777" w:rsidR="00E316A3" w:rsidRDefault="00000000">
            <w:r>
              <w:t>+0.1%</w:t>
            </w:r>
          </w:p>
        </w:tc>
        <w:tc>
          <w:tcPr>
            <w:tcW w:w="1300" w:type="dxa"/>
          </w:tcPr>
          <w:p w14:paraId="517A9761" w14:textId="77777777" w:rsidR="00E316A3" w:rsidRDefault="00000000">
            <w:r>
              <w:t>3,102</w:t>
            </w:r>
          </w:p>
        </w:tc>
        <w:tc>
          <w:tcPr>
            <w:tcW w:w="1500" w:type="dxa"/>
          </w:tcPr>
          <w:p w14:paraId="670E518E" w14:textId="77777777" w:rsidR="00E316A3" w:rsidRDefault="00000000">
            <w:r>
              <w:t>1.63%</w:t>
            </w:r>
          </w:p>
        </w:tc>
        <w:tc>
          <w:tcPr>
            <w:tcW w:w="1500" w:type="dxa"/>
          </w:tcPr>
          <w:p w14:paraId="2B5BB550" w14:textId="77777777" w:rsidR="00E316A3" w:rsidRDefault="00000000">
            <w:r>
              <w:t>229</w:t>
            </w:r>
          </w:p>
        </w:tc>
      </w:tr>
      <w:tr w:rsidR="00E316A3" w14:paraId="14A715CE" w14:textId="77777777">
        <w:trPr>
          <w:cantSplit/>
        </w:trPr>
        <w:tc>
          <w:tcPr>
            <w:tcW w:w="2760" w:type="dxa"/>
          </w:tcPr>
          <w:p w14:paraId="6DF186B5" w14:textId="77777777" w:rsidR="00E316A3" w:rsidRDefault="00000000">
            <w:r>
              <w:t>Securities Services (worldwide)</w:t>
            </w:r>
          </w:p>
        </w:tc>
        <w:tc>
          <w:tcPr>
            <w:tcW w:w="1200" w:type="dxa"/>
          </w:tcPr>
          <w:p w14:paraId="65C9C4F6" w14:textId="77777777" w:rsidR="00E316A3" w:rsidRDefault="00000000">
            <w:r>
              <w:t>3,185</w:t>
            </w:r>
          </w:p>
        </w:tc>
        <w:tc>
          <w:tcPr>
            <w:tcW w:w="1100" w:type="dxa"/>
          </w:tcPr>
          <w:p w14:paraId="08961146" w14:textId="77777777" w:rsidR="00E316A3" w:rsidRDefault="00000000">
            <w:r>
              <w:t>+8.2%</w:t>
            </w:r>
          </w:p>
        </w:tc>
        <w:tc>
          <w:tcPr>
            <w:tcW w:w="1300" w:type="dxa"/>
          </w:tcPr>
          <w:p w14:paraId="0021603C" w14:textId="77777777" w:rsidR="00E316A3" w:rsidRDefault="00000000">
            <w:r>
              <w:t>1,005</w:t>
            </w:r>
          </w:p>
        </w:tc>
        <w:tc>
          <w:tcPr>
            <w:tcW w:w="1500" w:type="dxa"/>
          </w:tcPr>
          <w:p w14:paraId="1B757AF2" w14:textId="77777777" w:rsidR="00E316A3" w:rsidRDefault="00000000">
            <w:r>
              <w:t>1.85%</w:t>
            </w:r>
          </w:p>
        </w:tc>
        <w:tc>
          <w:tcPr>
            <w:tcW w:w="1500" w:type="dxa"/>
          </w:tcPr>
          <w:p w14:paraId="04FA62A5" w14:textId="77777777" w:rsidR="00E316A3" w:rsidRDefault="00000000">
            <w:r>
              <w:t>—</w:t>
            </w:r>
          </w:p>
        </w:tc>
      </w:tr>
    </w:tbl>
    <w:p w14:paraId="68FC4CB6" w14:textId="77777777" w:rsidR="00E316A3" w:rsidRDefault="00000000">
      <w:r>
        <w:rPr>
          <w:i/>
        </w:rPr>
        <w:t xml:space="preserve">Source: Company Fundamentals (CF) export, BNP Paribas SA (BNPP.PA), 7 Oct 2026, sheets "Business Line </w:t>
      </w:r>
      <w:proofErr w:type="gramStart"/>
      <w:r>
        <w:rPr>
          <w:i/>
        </w:rPr>
        <w:t>By</w:t>
      </w:r>
      <w:proofErr w:type="gramEnd"/>
      <w:r>
        <w:rPr>
          <w:i/>
        </w:rPr>
        <w:t xml:space="preserve"> Segment" and "By Statement Item". Ratios are our calculations. The 2024 comparatives in the </w:t>
      </w:r>
      <w:proofErr w:type="gramStart"/>
      <w:r>
        <w:rPr>
          <w:i/>
        </w:rPr>
        <w:t>export</w:t>
      </w:r>
      <w:proofErr w:type="gramEnd"/>
      <w:r>
        <w:rPr>
          <w:i/>
        </w:rPr>
        <w:t xml:space="preserve"> are as originally published, so some growth rates differ slightly from the restated ones used in Part 2 (e.g. Europe-Mediterranean +16.1% restated).</w:t>
      </w:r>
    </w:p>
    <w:p w14:paraId="3217C9E5" w14:textId="77777777" w:rsidR="00E316A3" w:rsidRDefault="00000000">
      <w:pPr>
        <w:pStyle w:val="ListParagraph"/>
        <w:numPr>
          <w:ilvl w:val="0"/>
          <w:numId w:val="10"/>
        </w:numPr>
      </w:pPr>
      <w:r>
        <w:rPr>
          <w:b/>
        </w:rPr>
        <w:t>Retail banking: four domestic markets plus Europe-Mediterranean.</w:t>
      </w:r>
      <w:r>
        <w:t xml:space="preserve"> The eurozone networks earn €13.6bn, or 26.5% of group revenues, but only 0.70% of pre-tax income per euro of assets. Outside the eurozone, </w:t>
      </w:r>
      <w:r>
        <w:rPr>
          <w:b/>
        </w:rPr>
        <w:t>Europe-Mediterranean earns 2.6 times more per euro of assets (1.83%)</w:t>
      </w:r>
      <w:r>
        <w:t xml:space="preserve">: 7.2% of group revenues and 7.8% of pre-tax income with only 2.6% of assets. Pre-tax income rose by 71% on the </w:t>
      </w:r>
      <w:proofErr w:type="gramStart"/>
      <w:r>
        <w:t>export's</w:t>
      </w:r>
      <w:proofErr w:type="gramEnd"/>
      <w:r>
        <w:t xml:space="preserve"> comparatives (+55% restated). Part of this is not "operating" income: €375m (28%) comes from equity-method stakes rather than controlled subsidiaries. Higher returns come with higher risk: inflation in Türkiye and Swiss-franc mortgage litigation in Poland (Part 3.6).</w:t>
      </w:r>
    </w:p>
    <w:p w14:paraId="55A91F9F" w14:textId="6F15A8DD" w:rsidR="00E316A3" w:rsidRDefault="00000000">
      <w:pPr>
        <w:pStyle w:val="ListParagraph"/>
        <w:numPr>
          <w:ilvl w:val="0"/>
          <w:numId w:val="10"/>
        </w:numPr>
      </w:pPr>
      <w:proofErr w:type="spellStart"/>
      <w:r>
        <w:rPr>
          <w:b/>
        </w:rPr>
        <w:t>Specialised</w:t>
      </w:r>
      <w:proofErr w:type="spellEnd"/>
      <w:r>
        <w:rPr>
          <w:b/>
        </w:rPr>
        <w:t xml:space="preserve"> businesses across Europe.</w:t>
      </w:r>
      <w:r>
        <w:t xml:space="preserve"> Personal Finance (€5.2bn of revenues), Arval and Leasing Solutions (€3.3bn) operate in many European countries. Personal Finance has narrowed its footprint: businesses in 10 countries have been sold or put in run-off, and that non-core part is now reported in Other Activities. Its </w:t>
      </w:r>
      <w:r w:rsidR="00450D65">
        <w:t>risk cost (</w:t>
      </w:r>
      <w:r>
        <w:t>1,642m) is the highest in the group.</w:t>
      </w:r>
    </w:p>
    <w:p w14:paraId="542EF0E6" w14:textId="77777777" w:rsidR="00E316A3" w:rsidRDefault="00000000">
      <w:pPr>
        <w:pStyle w:val="ListParagraph"/>
        <w:numPr>
          <w:ilvl w:val="0"/>
          <w:numId w:val="10"/>
        </w:numPr>
      </w:pPr>
      <w:r>
        <w:rPr>
          <w:b/>
        </w:rPr>
        <w:t>CIB is the global platform.</w:t>
      </w:r>
      <w:r>
        <w:t xml:space="preserve"> Global Markets, Global Banking and Securities Services together earn €19.0bn (37% of the group) and are the main source of activity in the Americas and Asia. Global Markets is the growth driver (+9.7%) but uses a huge balance sheet (€1,035bn) for a pre-tax return of only 0.33% of assets; Global Banking is five times more efficient per euro of assets.</w:t>
      </w:r>
    </w:p>
    <w:p w14:paraId="27DC951A" w14:textId="77777777" w:rsidR="00E316A3" w:rsidRDefault="00000000">
      <w:pPr>
        <w:pStyle w:val="ListParagraph"/>
        <w:numPr>
          <w:ilvl w:val="0"/>
          <w:numId w:val="10"/>
        </w:numPr>
      </w:pPr>
      <w:r>
        <w:rPr>
          <w:b/>
        </w:rPr>
        <w:t>IPS follows clients abroad.</w:t>
      </w:r>
      <w:r>
        <w:t xml:space="preserve"> </w:t>
      </w:r>
      <w:proofErr w:type="spellStart"/>
      <w:r>
        <w:t>Cardif</w:t>
      </w:r>
      <w:proofErr w:type="spellEnd"/>
      <w:r>
        <w:t xml:space="preserve"> sells insurance through branches across Europe, and Asset Management works internationally. The 2025 acquisition of AXA IM (€782m of revenues, €242m of pre-tax income in its first year) added a large European asset-management platform.</w:t>
      </w:r>
    </w:p>
    <w:p w14:paraId="5450CF5A" w14:textId="77777777" w:rsidR="00E316A3" w:rsidRDefault="00000000">
      <w:pPr>
        <w:pStyle w:val="Heading3"/>
      </w:pPr>
      <w:r>
        <w:lastRenderedPageBreak/>
        <w:t>3.5 Countries of presence</w:t>
      </w:r>
    </w:p>
    <w:p w14:paraId="3B2F7F6B" w14:textId="77777777" w:rsidR="00E316A3" w:rsidRDefault="00000000">
      <w:r>
        <w:rPr>
          <w:noProof/>
        </w:rPr>
        <w:drawing>
          <wp:inline distT="0" distB="0" distL="0" distR="0" wp14:anchorId="2FE04DB4" wp14:editId="4B11B394">
            <wp:extent cx="5486400" cy="2939142"/>
            <wp:effectExtent l="0" t="0" r="0" b="0"/>
            <wp:docPr id="2" name="image2" descr="Our count of fully consolidated and equity-method entities and branches listed in Note 8.f Scope of consolidation, pp. 140 onwards"/>
            <wp:cNvGraphicFramePr/>
            <a:graphic xmlns:a="http://schemas.openxmlformats.org/drawingml/2006/main">
              <a:graphicData uri="http://schemas.openxmlformats.org/drawingml/2006/picture">
                <pic:pic xmlns:pic="http://schemas.openxmlformats.org/drawingml/2006/picture">
                  <pic:nvPicPr>
                    <pic:cNvPr id="2" name="image2" descr="Our count of fully consolidated and equity-method entities and branches listed in Note 8.f Scope of consolidation, pp. 140 onwards"/>
                    <pic:cNvPicPr/>
                  </pic:nvPicPr>
                  <pic:blipFill>
                    <a:blip r:embed="rId8"/>
                    <a:stretch>
                      <a:fillRect/>
                    </a:stretch>
                  </pic:blipFill>
                  <pic:spPr>
                    <a:xfrm>
                      <a:off x="0" y="0"/>
                      <a:ext cx="5486400" cy="2939142"/>
                    </a:xfrm>
                    <a:prstGeom prst="rect">
                      <a:avLst/>
                    </a:prstGeom>
                  </pic:spPr>
                </pic:pic>
              </a:graphicData>
            </a:graphic>
          </wp:inline>
        </w:drawing>
      </w:r>
    </w:p>
    <w:p w14:paraId="28380FE7" w14:textId="77777777" w:rsidR="00E316A3" w:rsidRDefault="00000000">
      <w:r>
        <w:t>Our count of fully consolidated and equity-method entities and branches listed in Note 8.f Scope of consolidation, pp. 140 onwards</w:t>
      </w:r>
    </w:p>
    <w:p w14:paraId="09C6D734" w14:textId="77777777" w:rsidR="00E316A3" w:rsidRDefault="00000000">
      <w:r>
        <w:t xml:space="preserve">France hosts the largest number of entities, followed by the other domestic markets (Italy, Belgium, Luxembourg), the main European financial </w:t>
      </w:r>
      <w:proofErr w:type="spellStart"/>
      <w:r>
        <w:t>centres</w:t>
      </w:r>
      <w:proofErr w:type="spellEnd"/>
      <w:r>
        <w:t xml:space="preserve"> (United Kingdom, Germany, Netherlands) and the large international markets (United States, China). The long tail of 52 other countries, often with one to three entities each, includes many branches of BNP Paribas SA that serve corporate and institutional clients locally.</w:t>
      </w:r>
    </w:p>
    <w:p w14:paraId="2C3AA7E7" w14:textId="77777777" w:rsidR="00E316A3" w:rsidRDefault="00000000">
      <w:pPr>
        <w:pStyle w:val="Heading3"/>
      </w:pPr>
      <w:r>
        <w:t>3.6 Risks linked to international activities</w:t>
      </w:r>
    </w:p>
    <w:p w14:paraId="614823BB" w14:textId="77777777" w:rsidR="00E316A3" w:rsidRDefault="00000000">
      <w:r>
        <w:t>Operating in more than 60 countries exposes the bank to local economic, legal and currency risks. The report quantifies several of them:</w:t>
      </w:r>
    </w:p>
    <w:tbl>
      <w:tblPr>
        <w:tblStyle w:val="TableGrid"/>
        <w:tblW w:w="0" w:type="auto"/>
        <w:tblLayout w:type="fixed"/>
        <w:tblLook w:val="0420" w:firstRow="1" w:lastRow="0" w:firstColumn="0" w:lastColumn="0" w:noHBand="0" w:noVBand="1"/>
      </w:tblPr>
      <w:tblGrid>
        <w:gridCol w:w="3120"/>
        <w:gridCol w:w="3120"/>
        <w:gridCol w:w="3120"/>
      </w:tblGrid>
      <w:tr w:rsidR="00E316A3" w14:paraId="519FACE0" w14:textId="77777777">
        <w:trPr>
          <w:tblHeader/>
        </w:trPr>
        <w:tc>
          <w:tcPr>
            <w:tcW w:w="3120" w:type="dxa"/>
            <w:shd w:val="clear" w:color="auto" w:fill="F2F2F2"/>
          </w:tcPr>
          <w:p w14:paraId="278F9C78" w14:textId="77777777" w:rsidR="00E316A3" w:rsidRDefault="00000000">
            <w:r>
              <w:t>Country</w:t>
            </w:r>
          </w:p>
        </w:tc>
        <w:tc>
          <w:tcPr>
            <w:tcW w:w="3120" w:type="dxa"/>
            <w:shd w:val="clear" w:color="auto" w:fill="F2F2F2"/>
          </w:tcPr>
          <w:p w14:paraId="4B7271C6" w14:textId="77777777" w:rsidR="00E316A3" w:rsidRDefault="00000000">
            <w:r>
              <w:t>Issue</w:t>
            </w:r>
          </w:p>
        </w:tc>
        <w:tc>
          <w:tcPr>
            <w:tcW w:w="3120" w:type="dxa"/>
            <w:shd w:val="clear" w:color="auto" w:fill="F2F2F2"/>
          </w:tcPr>
          <w:p w14:paraId="00838C08" w14:textId="77777777" w:rsidR="00E316A3" w:rsidRDefault="00000000">
            <w:r>
              <w:t>Impact reported for 2025</w:t>
            </w:r>
          </w:p>
        </w:tc>
      </w:tr>
      <w:tr w:rsidR="00E316A3" w14:paraId="31FE24F2" w14:textId="77777777">
        <w:tc>
          <w:tcPr>
            <w:tcW w:w="3120" w:type="dxa"/>
          </w:tcPr>
          <w:p w14:paraId="75B80063" w14:textId="77777777" w:rsidR="00E316A3" w:rsidRDefault="00000000">
            <w:r>
              <w:t>Türkiye</w:t>
            </w:r>
          </w:p>
        </w:tc>
        <w:tc>
          <w:tcPr>
            <w:tcW w:w="3120" w:type="dxa"/>
          </w:tcPr>
          <w:p w14:paraId="2EF3DAAA" w14:textId="77777777" w:rsidR="00E316A3" w:rsidRDefault="00000000">
            <w:r>
              <w:t>Hyperinflation: IAS 29 applied to Turkish subsidiaries since 2022</w:t>
            </w:r>
          </w:p>
        </w:tc>
        <w:tc>
          <w:tcPr>
            <w:tcW w:w="3120" w:type="dxa"/>
          </w:tcPr>
          <w:p w14:paraId="5C18799B" w14:textId="77777777" w:rsidR="00E316A3" w:rsidRDefault="00000000">
            <w:r>
              <w:t>−€329m on the net monetary position (−€487m revaluation, +€158m on inflation-indexed bonds); −€118m extra tax</w:t>
            </w:r>
          </w:p>
        </w:tc>
      </w:tr>
      <w:tr w:rsidR="00E316A3" w14:paraId="09402E9F" w14:textId="77777777">
        <w:tc>
          <w:tcPr>
            <w:tcW w:w="3120" w:type="dxa"/>
          </w:tcPr>
          <w:p w14:paraId="7DDC387E" w14:textId="77777777" w:rsidR="00E316A3" w:rsidRDefault="00000000">
            <w:r>
              <w:t>Poland</w:t>
            </w:r>
          </w:p>
        </w:tc>
        <w:tc>
          <w:tcPr>
            <w:tcW w:w="3120" w:type="dxa"/>
          </w:tcPr>
          <w:p w14:paraId="04703F26" w14:textId="77777777" w:rsidR="00E316A3" w:rsidRDefault="00000000">
            <w:r>
              <w:t>Swiss franc mortgage loans of BNP Paribas Bank Polska</w:t>
            </w:r>
          </w:p>
        </w:tc>
        <w:tc>
          <w:tcPr>
            <w:tcW w:w="3120" w:type="dxa"/>
          </w:tcPr>
          <w:p w14:paraId="61335491" w14:textId="77777777" w:rsidR="00E316A3" w:rsidRDefault="00000000">
            <w:r>
              <w:t>€118m expense (2024: €186m); 5,865 pending court cases; €399m of provisions</w:t>
            </w:r>
          </w:p>
        </w:tc>
      </w:tr>
      <w:tr w:rsidR="00E316A3" w14:paraId="4D5D9C51" w14:textId="77777777">
        <w:tc>
          <w:tcPr>
            <w:tcW w:w="3120" w:type="dxa"/>
          </w:tcPr>
          <w:p w14:paraId="7E494B78" w14:textId="77777777" w:rsidR="00E316A3" w:rsidRDefault="00000000">
            <w:r>
              <w:t>Spain</w:t>
            </w:r>
          </w:p>
        </w:tc>
        <w:tc>
          <w:tcPr>
            <w:tcW w:w="3120" w:type="dxa"/>
          </w:tcPr>
          <w:p w14:paraId="5CE14642" w14:textId="77777777" w:rsidR="00E316A3" w:rsidRDefault="00000000">
            <w:r>
              <w:t>Supreme Court rulings on revolving consumer credit</w:t>
            </w:r>
          </w:p>
        </w:tc>
        <w:tc>
          <w:tcPr>
            <w:tcW w:w="3120" w:type="dxa"/>
          </w:tcPr>
          <w:p w14:paraId="495141FE" w14:textId="77777777" w:rsidR="00E316A3" w:rsidRDefault="00000000">
            <w:r>
              <w:t>€100m expense</w:t>
            </w:r>
          </w:p>
        </w:tc>
      </w:tr>
      <w:tr w:rsidR="00E316A3" w14:paraId="68FA5DCC" w14:textId="77777777">
        <w:tc>
          <w:tcPr>
            <w:tcW w:w="3120" w:type="dxa"/>
          </w:tcPr>
          <w:p w14:paraId="1B42B09C" w14:textId="77777777" w:rsidR="00E316A3" w:rsidRDefault="00000000">
            <w:r>
              <w:lastRenderedPageBreak/>
              <w:t>United States</w:t>
            </w:r>
          </w:p>
        </w:tc>
        <w:tc>
          <w:tcPr>
            <w:tcW w:w="3120" w:type="dxa"/>
          </w:tcPr>
          <w:p w14:paraId="687E1AB3" w14:textId="77777777" w:rsidR="00E316A3" w:rsidRDefault="00000000">
            <w:r>
              <w:t>Class action linked to past transactions with Sudan under US sanctions</w:t>
            </w:r>
          </w:p>
        </w:tc>
        <w:tc>
          <w:tcPr>
            <w:tcW w:w="3120" w:type="dxa"/>
          </w:tcPr>
          <w:p w14:paraId="48D3308D" w14:textId="77777777" w:rsidR="00E316A3" w:rsidRDefault="00000000">
            <w:r>
              <w:t>Jury verdict of USD 20.75m against BNP Paribas SA (October 2025), under appeal</w:t>
            </w:r>
          </w:p>
        </w:tc>
      </w:tr>
      <w:tr w:rsidR="00E316A3" w14:paraId="6AA43E72" w14:textId="77777777">
        <w:tc>
          <w:tcPr>
            <w:tcW w:w="3120" w:type="dxa"/>
          </w:tcPr>
          <w:p w14:paraId="67ED4D5F" w14:textId="77777777" w:rsidR="00E316A3" w:rsidRDefault="00000000">
            <w:r>
              <w:t>United Kingdom</w:t>
            </w:r>
          </w:p>
        </w:tc>
        <w:tc>
          <w:tcPr>
            <w:tcW w:w="3120" w:type="dxa"/>
          </w:tcPr>
          <w:p w14:paraId="15BE35CB" w14:textId="77777777" w:rsidR="00E316A3" w:rsidRDefault="00000000">
            <w:r>
              <w:t>Proposed FCA redress scheme for motor finance customers</w:t>
            </w:r>
          </w:p>
        </w:tc>
        <w:tc>
          <w:tcPr>
            <w:tcW w:w="3120" w:type="dxa"/>
          </w:tcPr>
          <w:p w14:paraId="3D225F06" w14:textId="77777777" w:rsidR="00E316A3" w:rsidRDefault="00000000">
            <w:r>
              <w:t>Not quantified; final rules expected in February–March 2026</w:t>
            </w:r>
          </w:p>
        </w:tc>
      </w:tr>
      <w:tr w:rsidR="00E316A3" w14:paraId="0E32B746" w14:textId="77777777">
        <w:tc>
          <w:tcPr>
            <w:tcW w:w="3120" w:type="dxa"/>
          </w:tcPr>
          <w:p w14:paraId="39FC9061" w14:textId="77777777" w:rsidR="00E316A3" w:rsidRDefault="00000000">
            <w:r>
              <w:t>Russia</w:t>
            </w:r>
          </w:p>
        </w:tc>
        <w:tc>
          <w:tcPr>
            <w:tcW w:w="3120" w:type="dxa"/>
          </w:tcPr>
          <w:p w14:paraId="293BA179" w14:textId="77777777" w:rsidR="00E316A3" w:rsidRDefault="00000000">
            <w:r>
              <w:t>Ratings downgraded since 2022</w:t>
            </w:r>
          </w:p>
        </w:tc>
        <w:tc>
          <w:tcPr>
            <w:tcW w:w="3120" w:type="dxa"/>
          </w:tcPr>
          <w:p w14:paraId="6FAE5654" w14:textId="77777777" w:rsidR="00E316A3" w:rsidRDefault="00000000">
            <w:r>
              <w:t>Exposure described as limited; no significant effect on cost of risk</w:t>
            </w:r>
          </w:p>
        </w:tc>
      </w:tr>
    </w:tbl>
    <w:p w14:paraId="4AADBB7D" w14:textId="77777777" w:rsidR="00E316A3" w:rsidRDefault="00000000">
      <w:r>
        <w:rPr>
          <w:i/>
        </w:rPr>
        <w:t>Source: Notes 1.d, 2.g, 2.i, 2.j, 4.n and 8.c.</w:t>
      </w:r>
    </w:p>
    <w:p w14:paraId="05FE9A0F" w14:textId="77777777" w:rsidR="00E316A3" w:rsidRDefault="00000000">
      <w:r>
        <w:rPr>
          <w:b/>
        </w:rPr>
        <w:t>Currency risk</w:t>
      </w:r>
      <w:r>
        <w:t xml:space="preserve"> is visible over ten years in the export. Subsidiaries outside the eurozone are converted into euros at closing rates, and the difference is booked in equity (other comprehensive income), not in profit:</w:t>
      </w:r>
    </w:p>
    <w:tbl>
      <w:tblPr>
        <w:tblStyle w:val="TableGrid"/>
        <w:tblW w:w="0" w:type="auto"/>
        <w:tblLayout w:type="fixed"/>
        <w:tblLook w:val="0420" w:firstRow="1" w:lastRow="0" w:firstColumn="0" w:lastColumn="0" w:noHBand="0" w:noVBand="1"/>
      </w:tblPr>
      <w:tblGrid>
        <w:gridCol w:w="1800"/>
        <w:gridCol w:w="840"/>
        <w:gridCol w:w="840"/>
        <w:gridCol w:w="840"/>
        <w:gridCol w:w="840"/>
        <w:gridCol w:w="840"/>
        <w:gridCol w:w="840"/>
        <w:gridCol w:w="840"/>
        <w:gridCol w:w="840"/>
        <w:gridCol w:w="840"/>
      </w:tblGrid>
      <w:tr w:rsidR="00E316A3" w14:paraId="5D2CDFED" w14:textId="77777777">
        <w:trPr>
          <w:tblHeader/>
        </w:trPr>
        <w:tc>
          <w:tcPr>
            <w:tcW w:w="1800" w:type="dxa"/>
            <w:shd w:val="clear" w:color="auto" w:fill="F2F2F2"/>
          </w:tcPr>
          <w:p w14:paraId="1368D74B" w14:textId="77777777" w:rsidR="00E316A3" w:rsidRDefault="00000000">
            <w:r>
              <w:t>€m</w:t>
            </w:r>
          </w:p>
        </w:tc>
        <w:tc>
          <w:tcPr>
            <w:tcW w:w="840" w:type="dxa"/>
            <w:shd w:val="clear" w:color="auto" w:fill="F2F2F2"/>
          </w:tcPr>
          <w:p w14:paraId="3818014F" w14:textId="77777777" w:rsidR="00E316A3" w:rsidRDefault="00000000">
            <w:r>
              <w:t>2017</w:t>
            </w:r>
          </w:p>
        </w:tc>
        <w:tc>
          <w:tcPr>
            <w:tcW w:w="840" w:type="dxa"/>
            <w:shd w:val="clear" w:color="auto" w:fill="F2F2F2"/>
          </w:tcPr>
          <w:p w14:paraId="0BF6FBDC" w14:textId="77777777" w:rsidR="00E316A3" w:rsidRDefault="00000000">
            <w:r>
              <w:t>2018</w:t>
            </w:r>
          </w:p>
        </w:tc>
        <w:tc>
          <w:tcPr>
            <w:tcW w:w="840" w:type="dxa"/>
            <w:shd w:val="clear" w:color="auto" w:fill="F2F2F2"/>
          </w:tcPr>
          <w:p w14:paraId="1D28D754" w14:textId="77777777" w:rsidR="00E316A3" w:rsidRDefault="00000000">
            <w:r>
              <w:t>2019</w:t>
            </w:r>
          </w:p>
        </w:tc>
        <w:tc>
          <w:tcPr>
            <w:tcW w:w="840" w:type="dxa"/>
            <w:shd w:val="clear" w:color="auto" w:fill="F2F2F2"/>
          </w:tcPr>
          <w:p w14:paraId="42D97207" w14:textId="77777777" w:rsidR="00E316A3" w:rsidRDefault="00000000">
            <w:r>
              <w:t>2020</w:t>
            </w:r>
          </w:p>
        </w:tc>
        <w:tc>
          <w:tcPr>
            <w:tcW w:w="840" w:type="dxa"/>
            <w:shd w:val="clear" w:color="auto" w:fill="F2F2F2"/>
          </w:tcPr>
          <w:p w14:paraId="2AF85F72" w14:textId="77777777" w:rsidR="00E316A3" w:rsidRDefault="00000000">
            <w:r>
              <w:t>2021</w:t>
            </w:r>
          </w:p>
        </w:tc>
        <w:tc>
          <w:tcPr>
            <w:tcW w:w="840" w:type="dxa"/>
            <w:shd w:val="clear" w:color="auto" w:fill="F2F2F2"/>
          </w:tcPr>
          <w:p w14:paraId="15725748" w14:textId="77777777" w:rsidR="00E316A3" w:rsidRDefault="00000000">
            <w:r>
              <w:t>2022</w:t>
            </w:r>
          </w:p>
        </w:tc>
        <w:tc>
          <w:tcPr>
            <w:tcW w:w="840" w:type="dxa"/>
            <w:shd w:val="clear" w:color="auto" w:fill="F2F2F2"/>
          </w:tcPr>
          <w:p w14:paraId="5E8B27D7" w14:textId="77777777" w:rsidR="00E316A3" w:rsidRDefault="00000000">
            <w:r>
              <w:t>2023</w:t>
            </w:r>
          </w:p>
        </w:tc>
        <w:tc>
          <w:tcPr>
            <w:tcW w:w="840" w:type="dxa"/>
            <w:shd w:val="clear" w:color="auto" w:fill="F2F2F2"/>
          </w:tcPr>
          <w:p w14:paraId="1B845646" w14:textId="77777777" w:rsidR="00E316A3" w:rsidRDefault="00000000">
            <w:r>
              <w:t>2024</w:t>
            </w:r>
          </w:p>
        </w:tc>
        <w:tc>
          <w:tcPr>
            <w:tcW w:w="840" w:type="dxa"/>
            <w:shd w:val="clear" w:color="auto" w:fill="F2F2F2"/>
          </w:tcPr>
          <w:p w14:paraId="3EEE75E0" w14:textId="77777777" w:rsidR="00E316A3" w:rsidRDefault="00000000">
            <w:r>
              <w:t>2025</w:t>
            </w:r>
          </w:p>
        </w:tc>
      </w:tr>
      <w:tr w:rsidR="00E316A3" w14:paraId="280A8458" w14:textId="77777777">
        <w:trPr>
          <w:cantSplit/>
        </w:trPr>
        <w:tc>
          <w:tcPr>
            <w:tcW w:w="1800" w:type="dxa"/>
          </w:tcPr>
          <w:p w14:paraId="1D9760DD" w14:textId="77777777" w:rsidR="00E316A3" w:rsidRDefault="00000000">
            <w:r>
              <w:t>Foreign-currency translation (OCI)</w:t>
            </w:r>
          </w:p>
        </w:tc>
        <w:tc>
          <w:tcPr>
            <w:tcW w:w="840" w:type="dxa"/>
          </w:tcPr>
          <w:p w14:paraId="536BC8FD" w14:textId="77777777" w:rsidR="00E316A3" w:rsidRDefault="00000000">
            <w:r>
              <w:t>−2,589</w:t>
            </w:r>
          </w:p>
        </w:tc>
        <w:tc>
          <w:tcPr>
            <w:tcW w:w="840" w:type="dxa"/>
          </w:tcPr>
          <w:p w14:paraId="690A6F6B" w14:textId="77777777" w:rsidR="00E316A3" w:rsidRDefault="00000000">
            <w:r>
              <w:t>−159</w:t>
            </w:r>
          </w:p>
        </w:tc>
        <w:tc>
          <w:tcPr>
            <w:tcW w:w="840" w:type="dxa"/>
          </w:tcPr>
          <w:p w14:paraId="50615016" w14:textId="77777777" w:rsidR="00E316A3" w:rsidRDefault="00000000">
            <w:r>
              <w:t>+530</w:t>
            </w:r>
          </w:p>
        </w:tc>
        <w:tc>
          <w:tcPr>
            <w:tcW w:w="840" w:type="dxa"/>
          </w:tcPr>
          <w:p w14:paraId="404A2B44" w14:textId="77777777" w:rsidR="00E316A3" w:rsidRDefault="00000000">
            <w:r>
              <w:t>−2,358</w:t>
            </w:r>
          </w:p>
        </w:tc>
        <w:tc>
          <w:tcPr>
            <w:tcW w:w="840" w:type="dxa"/>
          </w:tcPr>
          <w:p w14:paraId="786AB048" w14:textId="77777777" w:rsidR="00E316A3" w:rsidRDefault="00000000">
            <w:r>
              <w:t>+481</w:t>
            </w:r>
          </w:p>
        </w:tc>
        <w:tc>
          <w:tcPr>
            <w:tcW w:w="840" w:type="dxa"/>
          </w:tcPr>
          <w:p w14:paraId="2FF9BF88" w14:textId="77777777" w:rsidR="00E316A3" w:rsidRDefault="00000000">
            <w:r>
              <w:t>+1,041</w:t>
            </w:r>
          </w:p>
        </w:tc>
        <w:tc>
          <w:tcPr>
            <w:tcW w:w="840" w:type="dxa"/>
          </w:tcPr>
          <w:p w14:paraId="1B35842C" w14:textId="77777777" w:rsidR="00E316A3" w:rsidRDefault="00000000">
            <w:r>
              <w:t>−109</w:t>
            </w:r>
          </w:p>
        </w:tc>
        <w:tc>
          <w:tcPr>
            <w:tcW w:w="840" w:type="dxa"/>
          </w:tcPr>
          <w:p w14:paraId="6F1C5590" w14:textId="77777777" w:rsidR="00E316A3" w:rsidRDefault="00000000">
            <w:r>
              <w:t>+1,177</w:t>
            </w:r>
          </w:p>
        </w:tc>
        <w:tc>
          <w:tcPr>
            <w:tcW w:w="840" w:type="dxa"/>
          </w:tcPr>
          <w:p w14:paraId="2D0B5D64" w14:textId="77777777" w:rsidR="00E316A3" w:rsidRDefault="00000000">
            <w:r>
              <w:t>−2,212</w:t>
            </w:r>
          </w:p>
        </w:tc>
      </w:tr>
    </w:tbl>
    <w:p w14:paraId="3683F498" w14:textId="77777777" w:rsidR="00E316A3" w:rsidRDefault="00000000">
      <w:r>
        <w:rPr>
          <w:i/>
        </w:rPr>
        <w:t>Source: Company Fundamentals (CF) export, BNP Paribas SA (BNPP.PA), 7 Oct 2026, sheet "Income Statement" (Other Comprehensive Income – Foreign Currency); "Balance Sheet" (Foreign Currency Translation Adjustment – Accumulated).</w:t>
      </w:r>
    </w:p>
    <w:p w14:paraId="7F4B2FC6" w14:textId="77777777" w:rsidR="00E316A3" w:rsidRDefault="00000000">
      <w:pPr>
        <w:pStyle w:val="ListParagraph"/>
        <w:numPr>
          <w:ilvl w:val="0"/>
          <w:numId w:val="10"/>
        </w:numPr>
      </w:pPr>
      <w:r>
        <w:rPr>
          <w:b/>
        </w:rPr>
        <w:t>2025 was one of the worst years of the decade: −€2.2bn</w:t>
      </w:r>
      <w:r>
        <w:t>, equal to 17% of net income, as the US dollar and other currencies weakened against the euro. It explains most of the small fall in equity noted in Part 1.</w:t>
      </w:r>
    </w:p>
    <w:p w14:paraId="0274C6DB" w14:textId="77777777" w:rsidR="00E316A3" w:rsidRDefault="00000000">
      <w:pPr>
        <w:pStyle w:val="ListParagraph"/>
        <w:numPr>
          <w:ilvl w:val="0"/>
          <w:numId w:val="10"/>
        </w:numPr>
      </w:pPr>
      <w:r>
        <w:rPr>
          <w:b/>
        </w:rPr>
        <w:t>Losses accumulate over time.</w:t>
      </w:r>
      <w:r>
        <w:t xml:space="preserve"> Cumulated translation differences reached </w:t>
      </w:r>
      <w:r>
        <w:rPr>
          <w:b/>
        </w:rPr>
        <w:t>−€4.9bn at end-2025</w:t>
      </w:r>
      <w:r>
        <w:t xml:space="preserve"> (−€2.2bn a year earlier), about 3.9% of common equity. Over 2017–2025 the net effect is −€4.2bn.</w:t>
      </w:r>
    </w:p>
    <w:p w14:paraId="54FD5FDA" w14:textId="77777777" w:rsidR="00E316A3" w:rsidRDefault="00000000">
      <w:pPr>
        <w:pStyle w:val="ListParagraph"/>
        <w:numPr>
          <w:ilvl w:val="0"/>
          <w:numId w:val="10"/>
        </w:numPr>
      </w:pPr>
      <w:r>
        <w:rPr>
          <w:b/>
        </w:rPr>
        <w:t>FX also hits liquidity:</w:t>
      </w:r>
      <w:r>
        <w:t xml:space="preserve"> exchange-rate movements reduced the euro value of the group's cash by €7.1bn in 2025 (cash-flow statement).</w:t>
      </w:r>
    </w:p>
    <w:p w14:paraId="1753130E" w14:textId="77777777" w:rsidR="00E316A3" w:rsidRDefault="00000000">
      <w:pPr>
        <w:pStyle w:val="Heading3"/>
      </w:pPr>
      <w:r>
        <w:t>3.7 Assessment</w:t>
      </w:r>
    </w:p>
    <w:p w14:paraId="690EB6EE" w14:textId="77777777" w:rsidR="00E316A3" w:rsidRDefault="00000000">
      <w:r>
        <w:t xml:space="preserve">International diversification cuts both ways. It spreads the bank across economies that do not move together: revenues in the Americas grew by 12.6% in 2025 (export comparatives) while the group's customer loans were flat, and Asia-Pacific raised its profitability while shrinking its balance sheet. But the international business is </w:t>
      </w:r>
      <w:r>
        <w:rPr>
          <w:b/>
        </w:rPr>
        <w:t>concentrated in CIB and therefore in market-sensitive revenues</w:t>
      </w:r>
      <w:r>
        <w:t xml:space="preserve">, it </w:t>
      </w:r>
      <w:r>
        <w:rPr>
          <w:b/>
        </w:rPr>
        <w:t>uses balance sheet less efficiently</w:t>
      </w:r>
      <w:r>
        <w:t xml:space="preserve"> in the Americas, and it brings costs that a purely domestic bank would not bear, from Turkish inflation and Polish or American litigation to currency losses booked directly in equity. In short, BNP Paribas is international by its people and its corporate clients, but its earnings remain anchored in Europe.</w:t>
      </w:r>
    </w:p>
    <w:p w14:paraId="748CC729" w14:textId="77777777" w:rsidR="00E316A3" w:rsidRDefault="00000000">
      <w:pPr>
        <w:pStyle w:val="Heading2"/>
      </w:pPr>
      <w:r>
        <w:lastRenderedPageBreak/>
        <w:t>Conclusion</w:t>
      </w:r>
    </w:p>
    <w:p w14:paraId="57C17604" w14:textId="77777777" w:rsidR="00E316A3" w:rsidRDefault="00000000">
      <w:r>
        <w:t xml:space="preserve">With </w:t>
      </w:r>
      <w:r>
        <w:rPr>
          <w:b/>
        </w:rPr>
        <w:t>€2.79 trillion of total assets</w:t>
      </w:r>
      <w:r>
        <w:t xml:space="preserve"> (+3.3% in 2025), BNP Paribas is a balance sheet comparable in size to the French economy, financed mainly by €1.08 trillion of customer deposits and supported by €132bn of equity (leverage of 21x). Only a third of these assets are customer loans; nearly another third is the trading book, and a tenth backs insurance contracts.</w:t>
      </w:r>
    </w:p>
    <w:p w14:paraId="33D956B0" w14:textId="77777777" w:rsidR="00E316A3" w:rsidRDefault="00000000">
      <w:r>
        <w:t xml:space="preserve">The segment data </w:t>
      </w:r>
      <w:proofErr w:type="gramStart"/>
      <w:r>
        <w:t>confirm</w:t>
      </w:r>
      <w:proofErr w:type="gramEnd"/>
      <w:r>
        <w:t xml:space="preserve"> that BNP Paribas is a </w:t>
      </w:r>
      <w:r>
        <w:rPr>
          <w:b/>
        </w:rPr>
        <w:t>diversified universal bank</w:t>
      </w:r>
      <w:r>
        <w:t>, with three divisions of very different weight depending on the measure:</w:t>
      </w:r>
    </w:p>
    <w:p w14:paraId="33DF729C" w14:textId="77777777" w:rsidR="00E316A3" w:rsidRDefault="00000000">
      <w:pPr>
        <w:pStyle w:val="ListParagraph"/>
        <w:numPr>
          <w:ilvl w:val="0"/>
          <w:numId w:val="12"/>
        </w:numPr>
      </w:pPr>
      <w:r>
        <w:rPr>
          <w:b/>
        </w:rPr>
        <w:t>CPBS</w:t>
      </w:r>
      <w:r>
        <w:t xml:space="preserve"> (retail and commercial banking, consumer credit, leasing) is the core earner: 52% of revenues and 46% of pre-tax income, with only 29% of assets, but it carries most of the credit risk.</w:t>
      </w:r>
    </w:p>
    <w:p w14:paraId="1E3C87E4" w14:textId="77777777" w:rsidR="00E316A3" w:rsidRDefault="00000000">
      <w:pPr>
        <w:pStyle w:val="ListParagraph"/>
        <w:numPr>
          <w:ilvl w:val="0"/>
          <w:numId w:val="12"/>
        </w:numPr>
      </w:pPr>
      <w:r>
        <w:rPr>
          <w:b/>
        </w:rPr>
        <w:t>CIB</w:t>
      </w:r>
      <w:r>
        <w:t xml:space="preserve"> (Global Banking, Global Markets, Securities Services) is the heaviest user of the balance sheet with 46% of assets</w:t>
      </w:r>
      <w:proofErr w:type="gramStart"/>
      <w:r>
        <w:t>, for</w:t>
      </w:r>
      <w:proofErr w:type="gramEnd"/>
      <w:r>
        <w:t xml:space="preserve"> 37% of revenues and 44% of pre-tax income. Global Markets alone accounts for 37% of group assets.</w:t>
      </w:r>
    </w:p>
    <w:p w14:paraId="1335F8AB" w14:textId="77777777" w:rsidR="00E316A3" w:rsidRDefault="00000000">
      <w:pPr>
        <w:pStyle w:val="ListParagraph"/>
        <w:numPr>
          <w:ilvl w:val="0"/>
          <w:numId w:val="12"/>
        </w:numPr>
      </w:pPr>
      <w:r>
        <w:rPr>
          <w:b/>
        </w:rPr>
        <w:t>IPS</w:t>
      </w:r>
      <w:r>
        <w:t xml:space="preserve"> (insurance, wealth and asset management) is small (13.5% of revenues) but the fastest growing (+19.6%, helped by AXA IM) and very profitable, especially Insurance.</w:t>
      </w:r>
    </w:p>
    <w:p w14:paraId="18916C80" w14:textId="77777777" w:rsidR="00E316A3" w:rsidRDefault="00000000">
      <w:r>
        <w:t xml:space="preserve">Internationally, about </w:t>
      </w:r>
      <w:r>
        <w:rPr>
          <w:b/>
        </w:rPr>
        <w:t xml:space="preserve">one-fifth of revenues and assets </w:t>
      </w:r>
      <w:proofErr w:type="gramStart"/>
      <w:r>
        <w:rPr>
          <w:b/>
        </w:rPr>
        <w:t>is</w:t>
      </w:r>
      <w:proofErr w:type="gramEnd"/>
      <w:r>
        <w:rPr>
          <w:b/>
        </w:rPr>
        <w:t xml:space="preserve"> booked outside Europe</w:t>
      </w:r>
      <w:r>
        <w:t>, a share that has barely moved in ten years. Since the sale of Bank of the West, the Americas have been rebuilt as a CIB platform and are the fastest-growing region (+13% a year since 2022), while Asia-Pacific is the most asset-efficient. Half of the staff works outside the four domestic markets, and currency movements cost €2.2bn of equity in 2025.</w:t>
      </w:r>
    </w:p>
    <w:p w14:paraId="1DFC1CB4" w14:textId="77777777" w:rsidR="00E316A3" w:rsidRDefault="00000000">
      <w:r>
        <w:t>This balance is the main strength of the model: when one activity weakens (Arval and Global Banking in 2025), others compensate (Global Markets, French retail banking, IPS), and group pre-tax income still rose by 5.4% to €17.1bn. The flip side is size and complexity: a market-heavy balance sheet of this scale is why BNP Paribas is treated as systemically important and held to stricter capital rules.</w:t>
      </w:r>
    </w:p>
    <w:p w14:paraId="46CA109A" w14:textId="58E8437D" w:rsidR="00E316A3" w:rsidRDefault="00E316A3" w:rsidP="00450D65"/>
    <w:sectPr w:rsidR="00E316A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E7C2B"/>
    <w:multiLevelType w:val="hybridMultilevel"/>
    <w:tmpl w:val="96A4A8A2"/>
    <w:lvl w:ilvl="0" w:tplc="C27C9B96">
      <w:start w:val="1"/>
      <w:numFmt w:val="decimal"/>
      <w:lvlText w:val="%1."/>
      <w:lvlJc w:val="left"/>
      <w:pPr>
        <w:ind w:left="720" w:hanging="360"/>
      </w:pPr>
    </w:lvl>
    <w:lvl w:ilvl="1" w:tplc="4120E9A2">
      <w:start w:val="1"/>
      <w:numFmt w:val="lowerLetter"/>
      <w:lvlText w:val="%2."/>
      <w:lvlJc w:val="left"/>
      <w:pPr>
        <w:ind w:left="1440" w:hanging="360"/>
      </w:pPr>
    </w:lvl>
    <w:lvl w:ilvl="2" w:tplc="7A7C58D8">
      <w:start w:val="1"/>
      <w:numFmt w:val="lowerRoman"/>
      <w:lvlText w:val="%3."/>
      <w:lvlJc w:val="left"/>
      <w:pPr>
        <w:ind w:left="2160" w:hanging="360"/>
      </w:pPr>
    </w:lvl>
    <w:lvl w:ilvl="3" w:tplc="D2E2BA52">
      <w:start w:val="1"/>
      <w:numFmt w:val="decimal"/>
      <w:lvlText w:val="%4."/>
      <w:lvlJc w:val="left"/>
      <w:pPr>
        <w:ind w:left="2880" w:hanging="360"/>
      </w:pPr>
    </w:lvl>
    <w:lvl w:ilvl="4" w:tplc="94E6A7BC">
      <w:start w:val="1"/>
      <w:numFmt w:val="lowerLetter"/>
      <w:lvlText w:val="%5."/>
      <w:lvlJc w:val="left"/>
      <w:pPr>
        <w:ind w:left="3600" w:hanging="360"/>
      </w:pPr>
    </w:lvl>
    <w:lvl w:ilvl="5" w:tplc="5E66C7C2">
      <w:start w:val="1"/>
      <w:numFmt w:val="lowerRoman"/>
      <w:lvlText w:val="%6."/>
      <w:lvlJc w:val="left"/>
      <w:pPr>
        <w:ind w:left="4320" w:hanging="360"/>
      </w:pPr>
    </w:lvl>
    <w:lvl w:ilvl="6" w:tplc="FA5E9A50">
      <w:start w:val="1"/>
      <w:numFmt w:val="decimal"/>
      <w:lvlText w:val="%7."/>
      <w:lvlJc w:val="left"/>
      <w:pPr>
        <w:ind w:left="5040" w:hanging="360"/>
      </w:pPr>
    </w:lvl>
    <w:lvl w:ilvl="7" w:tplc="87182E8E">
      <w:start w:val="1"/>
      <w:numFmt w:val="lowerLetter"/>
      <w:lvlText w:val="%8."/>
      <w:lvlJc w:val="left"/>
      <w:pPr>
        <w:ind w:left="5760" w:hanging="360"/>
      </w:pPr>
    </w:lvl>
    <w:lvl w:ilvl="8" w:tplc="4EF44182">
      <w:start w:val="1"/>
      <w:numFmt w:val="lowerRoman"/>
      <w:lvlText w:val="%9."/>
      <w:lvlJc w:val="left"/>
      <w:pPr>
        <w:ind w:left="6480" w:hanging="360"/>
      </w:pPr>
    </w:lvl>
  </w:abstractNum>
  <w:abstractNum w:abstractNumId="1" w15:restartNumberingAfterBreak="0">
    <w:nsid w:val="4E931301"/>
    <w:multiLevelType w:val="hybridMultilevel"/>
    <w:tmpl w:val="0868E574"/>
    <w:lvl w:ilvl="0" w:tplc="3300D39C">
      <w:start w:val="1"/>
      <w:numFmt w:val="bullet"/>
      <w:lvlText w:val="•"/>
      <w:lvlJc w:val="left"/>
      <w:pPr>
        <w:ind w:left="720" w:hanging="360"/>
      </w:pPr>
    </w:lvl>
    <w:lvl w:ilvl="1" w:tplc="ABBCF80C">
      <w:start w:val="1"/>
      <w:numFmt w:val="bullet"/>
      <w:lvlText w:val="o"/>
      <w:lvlJc w:val="left"/>
      <w:pPr>
        <w:ind w:left="1440" w:hanging="360"/>
      </w:pPr>
    </w:lvl>
    <w:lvl w:ilvl="2" w:tplc="75581736">
      <w:start w:val="1"/>
      <w:numFmt w:val="bullet"/>
      <w:lvlText w:val="▪"/>
      <w:lvlJc w:val="left"/>
      <w:pPr>
        <w:ind w:left="2160" w:hanging="360"/>
      </w:pPr>
    </w:lvl>
    <w:lvl w:ilvl="3" w:tplc="C7823C8A">
      <w:start w:val="1"/>
      <w:numFmt w:val="bullet"/>
      <w:lvlText w:val="•"/>
      <w:lvlJc w:val="left"/>
      <w:pPr>
        <w:ind w:left="2880" w:hanging="360"/>
      </w:pPr>
    </w:lvl>
    <w:lvl w:ilvl="4" w:tplc="08227DCC">
      <w:start w:val="1"/>
      <w:numFmt w:val="bullet"/>
      <w:lvlText w:val="o"/>
      <w:lvlJc w:val="left"/>
      <w:pPr>
        <w:ind w:left="3600" w:hanging="360"/>
      </w:pPr>
    </w:lvl>
    <w:lvl w:ilvl="5" w:tplc="67A6AF5A">
      <w:start w:val="1"/>
      <w:numFmt w:val="bullet"/>
      <w:lvlText w:val="▪"/>
      <w:lvlJc w:val="left"/>
      <w:pPr>
        <w:ind w:left="4320" w:hanging="360"/>
      </w:pPr>
    </w:lvl>
    <w:lvl w:ilvl="6" w:tplc="B67AFC46">
      <w:start w:val="1"/>
      <w:numFmt w:val="bullet"/>
      <w:lvlText w:val="•"/>
      <w:lvlJc w:val="left"/>
      <w:pPr>
        <w:ind w:left="5040" w:hanging="360"/>
      </w:pPr>
    </w:lvl>
    <w:lvl w:ilvl="7" w:tplc="C9B26F6A">
      <w:start w:val="1"/>
      <w:numFmt w:val="bullet"/>
      <w:lvlText w:val="o"/>
      <w:lvlJc w:val="left"/>
      <w:pPr>
        <w:ind w:left="5760" w:hanging="360"/>
      </w:pPr>
    </w:lvl>
    <w:lvl w:ilvl="8" w:tplc="8EE0C604">
      <w:start w:val="1"/>
      <w:numFmt w:val="bullet"/>
      <w:lvlText w:val="▪"/>
      <w:lvlJc w:val="left"/>
      <w:pPr>
        <w:ind w:left="6480" w:hanging="360"/>
      </w:pPr>
    </w:lvl>
  </w:abstractNum>
  <w:num w:numId="1" w16cid:durableId="1847937808">
    <w:abstractNumId w:val="1"/>
  </w:num>
  <w:num w:numId="2" w16cid:durableId="219875524">
    <w:abstractNumId w:val="0"/>
    <w:lvlOverride w:ilvl="0">
      <w:startOverride w:val="1"/>
    </w:lvlOverride>
  </w:num>
  <w:num w:numId="3" w16cid:durableId="1181969516">
    <w:abstractNumId w:val="1"/>
  </w:num>
  <w:num w:numId="4" w16cid:durableId="1747342521">
    <w:abstractNumId w:val="1"/>
  </w:num>
  <w:num w:numId="5" w16cid:durableId="1063484378">
    <w:abstractNumId w:val="0"/>
    <w:lvlOverride w:ilvl="0">
      <w:startOverride w:val="1"/>
    </w:lvlOverride>
  </w:num>
  <w:num w:numId="6" w16cid:durableId="544635239">
    <w:abstractNumId w:val="1"/>
  </w:num>
  <w:num w:numId="7" w16cid:durableId="1563905354">
    <w:abstractNumId w:val="1"/>
  </w:num>
  <w:num w:numId="8" w16cid:durableId="2031906041">
    <w:abstractNumId w:val="1"/>
  </w:num>
  <w:num w:numId="9" w16cid:durableId="1762213003">
    <w:abstractNumId w:val="1"/>
  </w:num>
  <w:num w:numId="10" w16cid:durableId="1208566351">
    <w:abstractNumId w:val="1"/>
  </w:num>
  <w:num w:numId="11" w16cid:durableId="1485506524">
    <w:abstractNumId w:val="1"/>
  </w:num>
  <w:num w:numId="12" w16cid:durableId="1280989210">
    <w:abstractNumId w:val="1"/>
  </w:num>
  <w:num w:numId="13" w16cid:durableId="395856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6A3"/>
    <w:rsid w:val="00040002"/>
    <w:rsid w:val="000942E5"/>
    <w:rsid w:val="00450D65"/>
    <w:rsid w:val="00E316A3"/>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56015"/>
  <w15:docId w15:val="{6F6B672F-C919-46E6-904C-FE3AFAD3D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fr-M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4330</Words>
  <Characters>23818</Characters>
  <Application>Microsoft Office Word</Application>
  <DocSecurity>0</DocSecurity>
  <Lines>198</Lines>
  <Paragraphs>56</Paragraphs>
  <ScaleCrop>false</ScaleCrop>
  <Company/>
  <LinksUpToDate>false</LinksUpToDate>
  <CharactersWithSpaces>28092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BNP Paribas Balance Sheet Size and Business Lines (FY2025)</dc:title>
  <dc:creator>Manal</dc:creator>
  <dc:description>Claude Docs node/fab70ca8-aef9@9 docx-w6</dc:description>
  <cp:lastModifiedBy>manal ouahmed</cp:lastModifiedBy>
  <cp:revision>2</cp:revision>
  <dcterms:created xsi:type="dcterms:W3CDTF">2026-10-09T17:40:00Z</dcterms:created>
  <dcterms:modified xsi:type="dcterms:W3CDTF">2026-10-09T17:40:00Z</dcterms:modified>
</cp:coreProperties>
</file>