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3F80C" w14:textId="77777777" w:rsidR="008B100B" w:rsidRDefault="008B100B" w:rsidP="008B100B">
      <w:pPr>
        <w:pStyle w:val="Titre1"/>
        <w:spacing w:before="150" w:beforeAutospacing="0" w:after="0" w:afterAutospacing="0"/>
        <w:rPr>
          <w:rFonts w:ascii="Noto Serif" w:hAnsi="Noto Serif" w:cs="Noto Serif"/>
          <w:b w:val="0"/>
          <w:bCs w:val="0"/>
          <w:sz w:val="54"/>
          <w:szCs w:val="54"/>
        </w:rPr>
      </w:pPr>
      <w:r>
        <w:rPr>
          <w:rFonts w:ascii="Noto Serif" w:hAnsi="Noto Serif" w:cs="Noto Serif"/>
          <w:b w:val="0"/>
          <w:bCs w:val="0"/>
          <w:sz w:val="54"/>
          <w:szCs w:val="54"/>
        </w:rPr>
        <w:t>Questions d’entretien sur les Produits structurés</w:t>
      </w:r>
    </w:p>
    <w:p w14:paraId="308F9F67" w14:textId="77777777" w:rsidR="008B100B" w:rsidRDefault="008B100B" w:rsidP="008B100B">
      <w:pPr>
        <w:rPr>
          <w:rFonts w:ascii="Times New Roman" w:hAnsi="Times New Roman" w:cs="Times New Roman"/>
        </w:rPr>
      </w:pPr>
      <w:hyperlink r:id="rId5" w:history="1">
        <w:r>
          <w:rPr>
            <w:rStyle w:val="Lienhypertexte"/>
            <w:rFonts w:ascii="Source Sans Pro" w:hAnsi="Source Sans Pro"/>
            <w:color w:val="EEAA44"/>
            <w:spacing w:val="30"/>
            <w:sz w:val="20"/>
            <w:szCs w:val="20"/>
          </w:rPr>
          <w:t>Produits Structurés</w:t>
        </w:r>
      </w:hyperlink>
      <w:r>
        <w:rPr>
          <w:rStyle w:val="apple-converted-space"/>
        </w:rPr>
        <w:t> </w:t>
      </w:r>
    </w:p>
    <w:p w14:paraId="10E3115B" w14:textId="77777777" w:rsidR="008B100B" w:rsidRDefault="008B100B" w:rsidP="008B100B">
      <w:pPr>
        <w:rPr>
          <w:rFonts w:ascii="Source Sans Pro" w:hAnsi="Source Sans Pro"/>
          <w:spacing w:val="30"/>
          <w:sz w:val="20"/>
          <w:szCs w:val="20"/>
        </w:rPr>
      </w:pPr>
      <w:hyperlink r:id="rId6" w:history="1">
        <w:proofErr w:type="spellStart"/>
        <w:r>
          <w:rPr>
            <w:rStyle w:val="Lienhypertexte"/>
            <w:rFonts w:ascii="Source Sans Pro" w:hAnsi="Source Sans Pro"/>
            <w:color w:val="EEAA44"/>
            <w:spacing w:val="30"/>
            <w:sz w:val="20"/>
            <w:szCs w:val="20"/>
          </w:rPr>
          <w:t>ChristopheElharake</w:t>
        </w:r>
        <w:proofErr w:type="spellEnd"/>
      </w:hyperlink>
      <w:r>
        <w:rPr>
          <w:rStyle w:val="apple-converted-space"/>
          <w:rFonts w:ascii="Source Sans Pro" w:hAnsi="Source Sans Pro"/>
          <w:spacing w:val="30"/>
          <w:sz w:val="20"/>
          <w:szCs w:val="20"/>
        </w:rPr>
        <w:t> </w:t>
      </w:r>
      <w:r>
        <w:rPr>
          <w:rStyle w:val="posted-on"/>
          <w:rFonts w:ascii="Source Sans Pro" w:hAnsi="Source Sans Pro"/>
          <w:spacing w:val="30"/>
          <w:sz w:val="20"/>
          <w:szCs w:val="20"/>
        </w:rPr>
        <w:t>mai 2, 2018</w:t>
      </w:r>
    </w:p>
    <w:p w14:paraId="2FE35629" w14:textId="77777777" w:rsidR="008B100B" w:rsidRDefault="008B100B" w:rsidP="008B100B">
      <w:pPr>
        <w:pStyle w:val="NormalWeb"/>
        <w:spacing w:before="0" w:beforeAutospacing="0" w:after="360" w:afterAutospacing="0"/>
        <w:rPr>
          <w:rStyle w:val="lev"/>
          <w:rFonts w:ascii="Source Sans Pro" w:hAnsi="Source Sans Pro"/>
          <w:color w:val="FF0000"/>
          <w:sz w:val="21"/>
          <w:szCs w:val="21"/>
        </w:rPr>
      </w:pPr>
    </w:p>
    <w:p w14:paraId="721D88DA" w14:textId="4FF61DD5"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FF0000"/>
          <w:sz w:val="21"/>
          <w:szCs w:val="21"/>
        </w:rPr>
        <w:t>Quelles sont les grandes familles de produits structurés ?</w:t>
      </w:r>
    </w:p>
    <w:p w14:paraId="72180742"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 Protection du capital</w:t>
      </w:r>
      <w:r>
        <w:rPr>
          <w:rFonts w:ascii="Source Sans Pro" w:hAnsi="Source Sans Pro"/>
          <w:color w:val="404040"/>
          <w:sz w:val="21"/>
          <w:szCs w:val="21"/>
        </w:rPr>
        <w:br/>
        <w:t>– Optimisation</w:t>
      </w:r>
      <w:r>
        <w:rPr>
          <w:rFonts w:ascii="Source Sans Pro" w:hAnsi="Source Sans Pro"/>
          <w:color w:val="404040"/>
          <w:sz w:val="21"/>
          <w:szCs w:val="21"/>
        </w:rPr>
        <w:br/>
        <w:t>– Participation</w:t>
      </w:r>
      <w:r>
        <w:rPr>
          <w:rFonts w:ascii="Source Sans Pro" w:hAnsi="Source Sans Pro"/>
          <w:color w:val="404040"/>
          <w:sz w:val="21"/>
          <w:szCs w:val="21"/>
        </w:rPr>
        <w:br/>
        <w:t>-Levier</w:t>
      </w:r>
    </w:p>
    <w:p w14:paraId="1EDB56C1"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Protection du capital</w:t>
      </w:r>
    </w:p>
    <w:p w14:paraId="5F9BF39E"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Les produits à capital garanti sont des structures où le remboursement du capital à maturité est garanti (hormis le risque émetteur) tout en donnant une certaine exposition à la performance du sous-jacent.</w:t>
      </w:r>
    </w:p>
    <w:p w14:paraId="7CDDD581"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Optimisation de performance</w:t>
      </w:r>
    </w:p>
    <w:p w14:paraId="65549F49" w14:textId="65F03C15"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Les produits à optimisation de performance sont des produits où le remboursement du capital à</w:t>
      </w:r>
      <w:r w:rsidR="00A34242">
        <w:rPr>
          <w:rFonts w:ascii="Source Sans Pro" w:hAnsi="Source Sans Pro"/>
          <w:color w:val="404040"/>
          <w:sz w:val="21"/>
          <w:szCs w:val="21"/>
        </w:rPr>
        <w:t xml:space="preserve"> </w:t>
      </w:r>
      <w:r>
        <w:rPr>
          <w:rFonts w:ascii="Source Sans Pro" w:hAnsi="Source Sans Pro"/>
          <w:color w:val="404040"/>
          <w:sz w:val="21"/>
          <w:szCs w:val="21"/>
        </w:rPr>
        <w:t>maturité n’est pas garanti, où la participation à la performance positive est limitée, mais où la</w:t>
      </w:r>
      <w:r w:rsidR="00A34242">
        <w:rPr>
          <w:rFonts w:ascii="Source Sans Pro" w:hAnsi="Source Sans Pro"/>
          <w:color w:val="404040"/>
          <w:sz w:val="21"/>
          <w:szCs w:val="21"/>
        </w:rPr>
        <w:t xml:space="preserve"> </w:t>
      </w:r>
      <w:r>
        <w:rPr>
          <w:rFonts w:ascii="Source Sans Pro" w:hAnsi="Source Sans Pro"/>
          <w:color w:val="404040"/>
          <w:sz w:val="21"/>
          <w:szCs w:val="21"/>
        </w:rPr>
        <w:t>participation à la performance négative peut être entière.</w:t>
      </w:r>
    </w:p>
    <w:p w14:paraId="7A6FA33C"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L’objectif est alors d’obtenir un rendement plus élevé.</w:t>
      </w:r>
    </w:p>
    <w:p w14:paraId="27D62E55"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Participation</w:t>
      </w:r>
    </w:p>
    <w:p w14:paraId="5EBC3E55"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Les produits à participation sont des produits où le remboursement du capital à maturité est peu garanti, où la participation à la performance positive est généralement incluse</w:t>
      </w:r>
    </w:p>
    <w:p w14:paraId="76B01958"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Levier</w:t>
      </w:r>
    </w:p>
    <w:p w14:paraId="5CC93655" w14:textId="470E2699"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Les produits à levier sont des produits où le remboursement du capital à maturité n’est pas</w:t>
      </w:r>
      <w:r w:rsidR="008E7B45">
        <w:rPr>
          <w:rFonts w:ascii="Source Sans Pro" w:hAnsi="Source Sans Pro"/>
          <w:color w:val="404040"/>
          <w:sz w:val="21"/>
          <w:szCs w:val="21"/>
        </w:rPr>
        <w:t xml:space="preserve"> </w:t>
      </w:r>
      <w:r>
        <w:rPr>
          <w:rFonts w:ascii="Source Sans Pro" w:hAnsi="Source Sans Pro"/>
          <w:color w:val="404040"/>
          <w:sz w:val="21"/>
          <w:szCs w:val="21"/>
        </w:rPr>
        <w:t>garanti, et où la participation à la performance du sous-jacent peut être supérieure à 1.</w:t>
      </w:r>
    </w:p>
    <w:p w14:paraId="2E365457" w14:textId="77777777" w:rsidR="008B100B" w:rsidRDefault="008B100B" w:rsidP="008B100B">
      <w:pPr>
        <w:numPr>
          <w:ilvl w:val="0"/>
          <w:numId w:val="1"/>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 xml:space="preserve">Pouvez-vous expliquer le fonctionnement d’un </w:t>
      </w:r>
      <w:proofErr w:type="spellStart"/>
      <w:r>
        <w:rPr>
          <w:rStyle w:val="lev"/>
          <w:rFonts w:ascii="Source Sans Pro" w:hAnsi="Source Sans Pro"/>
          <w:color w:val="404040"/>
          <w:sz w:val="21"/>
          <w:szCs w:val="21"/>
        </w:rPr>
        <w:t>Barrier</w:t>
      </w:r>
      <w:proofErr w:type="spellEnd"/>
      <w:r>
        <w:rPr>
          <w:rStyle w:val="lev"/>
          <w:rFonts w:ascii="Source Sans Pro" w:hAnsi="Source Sans Pro"/>
          <w:color w:val="404040"/>
          <w:sz w:val="21"/>
          <w:szCs w:val="21"/>
        </w:rPr>
        <w:t xml:space="preserve"> Reverse Convertible ?</w:t>
      </w:r>
      <w:r>
        <w:rPr>
          <w:rStyle w:val="apple-converted-space"/>
          <w:rFonts w:ascii="Source Sans Pro" w:hAnsi="Source Sans Pro"/>
          <w:b/>
          <w:bCs/>
          <w:color w:val="404040"/>
          <w:sz w:val="21"/>
          <w:szCs w:val="21"/>
        </w:rPr>
        <w:t> </w:t>
      </w:r>
    </w:p>
    <w:p w14:paraId="754E51F0"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 xml:space="preserve">Le </w:t>
      </w:r>
      <w:proofErr w:type="spellStart"/>
      <w:r>
        <w:rPr>
          <w:rFonts w:ascii="Source Sans Pro" w:hAnsi="Source Sans Pro"/>
          <w:color w:val="404040"/>
          <w:sz w:val="21"/>
          <w:szCs w:val="21"/>
        </w:rPr>
        <w:t>payoff</w:t>
      </w:r>
      <w:proofErr w:type="spellEnd"/>
      <w:r>
        <w:rPr>
          <w:rFonts w:ascii="Source Sans Pro" w:hAnsi="Source Sans Pro"/>
          <w:color w:val="404040"/>
          <w:sz w:val="21"/>
          <w:szCs w:val="21"/>
        </w:rPr>
        <w:t xml:space="preserve"> d’un </w:t>
      </w:r>
      <w:proofErr w:type="spellStart"/>
      <w:r>
        <w:rPr>
          <w:rFonts w:ascii="Source Sans Pro" w:hAnsi="Source Sans Pro"/>
          <w:color w:val="404040"/>
          <w:sz w:val="21"/>
          <w:szCs w:val="21"/>
        </w:rPr>
        <w:t>Barrier</w:t>
      </w:r>
      <w:proofErr w:type="spellEnd"/>
      <w:r>
        <w:rPr>
          <w:rFonts w:ascii="Source Sans Pro" w:hAnsi="Source Sans Pro"/>
          <w:color w:val="404040"/>
          <w:sz w:val="21"/>
          <w:szCs w:val="21"/>
        </w:rPr>
        <w:t xml:space="preserve"> Reverse Convertible s’écrit :</w:t>
      </w:r>
    </w:p>
    <w:p w14:paraId="58AA5734" w14:textId="77777777" w:rsidR="008B100B" w:rsidRPr="008B100B" w:rsidRDefault="008B100B" w:rsidP="008B100B">
      <w:pPr>
        <w:pStyle w:val="NormalWeb"/>
        <w:spacing w:before="0" w:beforeAutospacing="0" w:after="360" w:afterAutospacing="0"/>
        <w:jc w:val="center"/>
        <w:rPr>
          <w:rFonts w:ascii="Source Sans Pro" w:hAnsi="Source Sans Pro"/>
          <w:color w:val="404040"/>
          <w:sz w:val="21"/>
          <w:szCs w:val="21"/>
          <w:lang w:val="en-US"/>
        </w:rPr>
      </w:pPr>
      <w:r w:rsidRPr="008B100B">
        <w:rPr>
          <w:rStyle w:val="lev"/>
          <w:rFonts w:ascii="Source Sans Pro" w:hAnsi="Source Sans Pro"/>
          <w:color w:val="404040"/>
          <w:sz w:val="21"/>
          <w:szCs w:val="21"/>
          <w:lang w:val="en-US"/>
        </w:rPr>
        <w:t>Sous jacent + Short Put Down and In</w:t>
      </w:r>
    </w:p>
    <w:p w14:paraId="19E038D7"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Il existe 3 cas à maturité :</w:t>
      </w:r>
    </w:p>
    <w:p w14:paraId="49F14681"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lastRenderedPageBreak/>
        <w:t>–  Barrière non franchie : Capital intacte + coupons</w:t>
      </w:r>
    </w:p>
    <w:p w14:paraId="482A97C2" w14:textId="77777777" w:rsidR="008B100B" w:rsidRDefault="008B100B" w:rsidP="008B100B">
      <w:pPr>
        <w:pStyle w:val="NormalWeb"/>
        <w:spacing w:before="0" w:beforeAutospacing="0" w:after="360" w:afterAutospacing="0"/>
        <w:rPr>
          <w:rFonts w:ascii="Source Sans Pro" w:hAnsi="Source Sans Pro"/>
          <w:color w:val="404040"/>
          <w:sz w:val="21"/>
          <w:szCs w:val="21"/>
        </w:rPr>
      </w:pPr>
      <w:proofErr w:type="gramStart"/>
      <w:r>
        <w:rPr>
          <w:rFonts w:ascii="Segoe UI Symbol" w:hAnsi="Segoe UI Symbol" w:cs="Segoe UI Symbol"/>
          <w:color w:val="404040"/>
          <w:sz w:val="21"/>
          <w:szCs w:val="21"/>
        </w:rPr>
        <w:t>⁃</w:t>
      </w:r>
      <w:r>
        <w:rPr>
          <w:rFonts w:ascii="Source Sans Pro" w:hAnsi="Source Sans Pro"/>
          <w:color w:val="404040"/>
          <w:sz w:val="21"/>
          <w:szCs w:val="21"/>
        </w:rPr>
        <w:t xml:space="preserve">  Barrière</w:t>
      </w:r>
      <w:proofErr w:type="gramEnd"/>
      <w:r>
        <w:rPr>
          <w:rFonts w:ascii="Source Sans Pro" w:hAnsi="Source Sans Pro"/>
          <w:color w:val="404040"/>
          <w:sz w:val="21"/>
          <w:szCs w:val="21"/>
        </w:rPr>
        <w:t xml:space="preserve"> franchie : Put Down and In activé</w:t>
      </w:r>
      <w:r>
        <w:rPr>
          <w:rFonts w:ascii="Source Sans Pro" w:hAnsi="Source Sans Pro"/>
          <w:color w:val="404040"/>
          <w:sz w:val="21"/>
          <w:szCs w:val="21"/>
        </w:rPr>
        <w:br/>
        <w:t>Si le cours de l’actif sous-jacent remonte au-dessus de la barrière à maturité : Capital intacte + coupons</w:t>
      </w:r>
    </w:p>
    <w:p w14:paraId="250CBF9A"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 Si le cours de l’actif sous-jacent ne remonte pas au-dessus de la barrière à maturité : Capital tronqué du pourcentage de chute du sous-jacent + coupons</w:t>
      </w:r>
    </w:p>
    <w:p w14:paraId="751F2D6A" w14:textId="77777777" w:rsidR="008B100B" w:rsidRDefault="008B100B" w:rsidP="008B100B">
      <w:pPr>
        <w:numPr>
          <w:ilvl w:val="0"/>
          <w:numId w:val="2"/>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Savez-vous ce qu’est une barrière européenne ?</w:t>
      </w:r>
    </w:p>
    <w:p w14:paraId="481E3DBC"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Barrière européenne = « observation in fine » ou « observation à maturité ».</w:t>
      </w:r>
    </w:p>
    <w:p w14:paraId="4B332372"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On observe le niveau du sous-jacent pour déclarer si un évènement de barrière a eu lieu uniquement le dernier jour.</w:t>
      </w:r>
    </w:p>
    <w:p w14:paraId="03E3B791" w14:textId="77777777" w:rsidR="008B100B" w:rsidRDefault="008B100B" w:rsidP="008B100B">
      <w:pPr>
        <w:numPr>
          <w:ilvl w:val="0"/>
          <w:numId w:val="3"/>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Une barrière américaine ?</w:t>
      </w:r>
    </w:p>
    <w:p w14:paraId="5205DF69"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Barrière américaine = « observation en continu ».</w:t>
      </w:r>
    </w:p>
    <w:p w14:paraId="46589FA7"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On observe tous les jours le niveau du sous- jacent pour déclarer si un évènement de barrière a eu lieu.</w:t>
      </w:r>
    </w:p>
    <w:p w14:paraId="50F1A1B5"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En plus :</w:t>
      </w:r>
    </w:p>
    <w:p w14:paraId="60D58700"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Observation au close = « observation discrète ». On observe tous les jours à la clôture le niveau du sous-jacent pour déclarer si un évènement de barrière a eu lieu.</w:t>
      </w:r>
    </w:p>
    <w:p w14:paraId="7AA8FA91" w14:textId="77777777" w:rsidR="008B100B" w:rsidRDefault="008B100B" w:rsidP="008B100B">
      <w:pPr>
        <w:numPr>
          <w:ilvl w:val="0"/>
          <w:numId w:val="4"/>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Laquelle des deux est la plus risquée pour un investisseur ?</w:t>
      </w:r>
      <w:r>
        <w:rPr>
          <w:rStyle w:val="apple-converted-space"/>
          <w:rFonts w:ascii="Source Sans Pro" w:hAnsi="Source Sans Pro"/>
          <w:b/>
          <w:bCs/>
          <w:color w:val="404040"/>
          <w:sz w:val="21"/>
          <w:szCs w:val="21"/>
        </w:rPr>
        <w:t> </w:t>
      </w:r>
    </w:p>
    <w:p w14:paraId="3FA17846"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Barrière américaine</w:t>
      </w:r>
    </w:p>
    <w:p w14:paraId="308FE8FA"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 xml:space="preserve">• Qu’est-ce qu’un </w:t>
      </w:r>
      <w:proofErr w:type="spellStart"/>
      <w:r>
        <w:rPr>
          <w:rStyle w:val="lev"/>
          <w:rFonts w:ascii="Source Sans Pro" w:hAnsi="Source Sans Pro"/>
          <w:color w:val="404040"/>
          <w:sz w:val="21"/>
          <w:szCs w:val="21"/>
        </w:rPr>
        <w:t>termsheet</w:t>
      </w:r>
      <w:proofErr w:type="spellEnd"/>
      <w:r>
        <w:rPr>
          <w:rStyle w:val="lev"/>
          <w:rFonts w:ascii="Source Sans Pro" w:hAnsi="Source Sans Pro"/>
          <w:color w:val="404040"/>
          <w:sz w:val="21"/>
          <w:szCs w:val="21"/>
        </w:rPr>
        <w:t xml:space="preserve"> ?</w:t>
      </w:r>
    </w:p>
    <w:p w14:paraId="68DD9C3B" w14:textId="0EF1B116"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 xml:space="preserve">De manière générale, un </w:t>
      </w:r>
      <w:proofErr w:type="spellStart"/>
      <w:r>
        <w:rPr>
          <w:rFonts w:ascii="Source Sans Pro" w:hAnsi="Source Sans Pro"/>
          <w:color w:val="404040"/>
          <w:sz w:val="21"/>
          <w:szCs w:val="21"/>
        </w:rPr>
        <w:t>term</w:t>
      </w:r>
      <w:proofErr w:type="spellEnd"/>
      <w:r>
        <w:rPr>
          <w:rFonts w:ascii="Source Sans Pro" w:hAnsi="Source Sans Pro"/>
          <w:color w:val="404040"/>
          <w:sz w:val="21"/>
          <w:szCs w:val="21"/>
        </w:rPr>
        <w:t xml:space="preserve"> </w:t>
      </w:r>
      <w:proofErr w:type="spellStart"/>
      <w:r>
        <w:rPr>
          <w:rFonts w:ascii="Source Sans Pro" w:hAnsi="Source Sans Pro"/>
          <w:color w:val="404040"/>
          <w:sz w:val="21"/>
          <w:szCs w:val="21"/>
        </w:rPr>
        <w:t>sheet</w:t>
      </w:r>
      <w:proofErr w:type="spellEnd"/>
      <w:r>
        <w:rPr>
          <w:rFonts w:ascii="Source Sans Pro" w:hAnsi="Source Sans Pro"/>
          <w:color w:val="404040"/>
          <w:sz w:val="21"/>
          <w:szCs w:val="21"/>
        </w:rPr>
        <w:t xml:space="preserve"> est un document court synthétisant les principaux termes</w:t>
      </w:r>
      <w:r w:rsidR="00197024">
        <w:rPr>
          <w:rFonts w:ascii="Source Sans Pro" w:hAnsi="Source Sans Pro"/>
          <w:color w:val="404040"/>
          <w:sz w:val="21"/>
          <w:szCs w:val="21"/>
        </w:rPr>
        <w:t xml:space="preserve"> </w:t>
      </w:r>
      <w:r>
        <w:rPr>
          <w:rFonts w:ascii="Source Sans Pro" w:hAnsi="Source Sans Pro"/>
          <w:color w:val="404040"/>
          <w:sz w:val="21"/>
          <w:szCs w:val="21"/>
        </w:rPr>
        <w:t>d’un contrat : sous-jacent, nominale, maturité, taux appliqués …</w:t>
      </w:r>
    </w:p>
    <w:p w14:paraId="18BF7EEB" w14:textId="77777777" w:rsidR="008B100B" w:rsidRDefault="008B100B" w:rsidP="008B100B">
      <w:pPr>
        <w:numPr>
          <w:ilvl w:val="0"/>
          <w:numId w:val="5"/>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Un code ISIN ?</w:t>
      </w:r>
    </w:p>
    <w:p w14:paraId="6AAB2FBE" w14:textId="392AB9FD"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Le code ISIN est le code d’identification d’une valeur boursière car une société peut avoir plusieurs valeurs placées sur différents marchés</w:t>
      </w:r>
      <w:r w:rsidR="00807BF0">
        <w:rPr>
          <w:rFonts w:ascii="Source Sans Pro" w:hAnsi="Source Sans Pro"/>
          <w:color w:val="404040"/>
          <w:sz w:val="21"/>
          <w:szCs w:val="21"/>
        </w:rPr>
        <w:t xml:space="preserve">. </w:t>
      </w:r>
      <w:r>
        <w:rPr>
          <w:rFonts w:ascii="Source Sans Pro" w:hAnsi="Source Sans Pro"/>
          <w:color w:val="404040"/>
          <w:sz w:val="21"/>
          <w:szCs w:val="21"/>
        </w:rPr>
        <w:t>Ce code ISIN comporte 12 caractères dont les 2 premières lettres correspondent à la nationalité de l’entreprise.</w:t>
      </w:r>
    </w:p>
    <w:p w14:paraId="44536902" w14:textId="77777777" w:rsidR="008B100B" w:rsidRDefault="008B100B" w:rsidP="008B100B">
      <w:pPr>
        <w:numPr>
          <w:ilvl w:val="0"/>
          <w:numId w:val="6"/>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Savez-vous ce qu’est une option quanto ?</w:t>
      </w:r>
    </w:p>
    <w:p w14:paraId="75F40FCC" w14:textId="293D2A1F"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Option quanto</w:t>
      </w:r>
      <w:r>
        <w:rPr>
          <w:rStyle w:val="apple-converted-space"/>
          <w:rFonts w:ascii="Source Sans Pro" w:hAnsi="Source Sans Pro"/>
          <w:color w:val="404040"/>
          <w:sz w:val="21"/>
          <w:szCs w:val="21"/>
        </w:rPr>
        <w:t> </w:t>
      </w:r>
      <w:r>
        <w:rPr>
          <w:rFonts w:ascii="Source Sans Pro" w:hAnsi="Source Sans Pro"/>
          <w:color w:val="404040"/>
          <w:sz w:val="21"/>
          <w:szCs w:val="21"/>
        </w:rPr>
        <w:t xml:space="preserve">est un produit dérivé dont le </w:t>
      </w:r>
      <w:proofErr w:type="spellStart"/>
      <w:r>
        <w:rPr>
          <w:rFonts w:ascii="Source Sans Pro" w:hAnsi="Source Sans Pro"/>
          <w:color w:val="404040"/>
          <w:sz w:val="21"/>
          <w:szCs w:val="21"/>
        </w:rPr>
        <w:t>payoff</w:t>
      </w:r>
      <w:proofErr w:type="spellEnd"/>
      <w:r>
        <w:rPr>
          <w:rFonts w:ascii="Source Sans Pro" w:hAnsi="Source Sans Pro"/>
          <w:color w:val="404040"/>
          <w:sz w:val="21"/>
          <w:szCs w:val="21"/>
        </w:rPr>
        <w:t xml:space="preserve"> est payé dans une devise particulière mais dont les sous-jacents sont issus d’un marché étranger, donc libellés dans une autre devise, avec un taux de change à maturité fixé à l’avance, permettant aux investisseurs de limiter leur exposition au risque de change.</w:t>
      </w:r>
      <w:r w:rsidR="00262E5C">
        <w:rPr>
          <w:rFonts w:ascii="Source Sans Pro" w:hAnsi="Source Sans Pro"/>
          <w:color w:val="404040"/>
          <w:sz w:val="21"/>
          <w:szCs w:val="21"/>
        </w:rPr>
        <w:t xml:space="preserve"> </w:t>
      </w:r>
      <w:r>
        <w:rPr>
          <w:rFonts w:ascii="Source Sans Pro" w:hAnsi="Source Sans Pro"/>
          <w:color w:val="404040"/>
          <w:sz w:val="21"/>
          <w:szCs w:val="21"/>
        </w:rPr>
        <w:t xml:space="preserve">La plupart du temps, ce taux de change est fixé à </w:t>
      </w:r>
      <w:proofErr w:type="gramStart"/>
      <w:r>
        <w:rPr>
          <w:rFonts w:ascii="Source Sans Pro" w:hAnsi="Source Sans Pro"/>
          <w:color w:val="404040"/>
          <w:sz w:val="21"/>
          <w:szCs w:val="21"/>
        </w:rPr>
        <w:t>1:</w:t>
      </w:r>
      <w:proofErr w:type="gramEnd"/>
      <w:r>
        <w:rPr>
          <w:rFonts w:ascii="Source Sans Pro" w:hAnsi="Source Sans Pro"/>
          <w:color w:val="404040"/>
          <w:sz w:val="21"/>
          <w:szCs w:val="21"/>
        </w:rPr>
        <w:t>1.</w:t>
      </w:r>
    </w:p>
    <w:p w14:paraId="6EE9B8C5" w14:textId="36E5EF6E"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lastRenderedPageBreak/>
        <w:t>Exemple : un call à la monnaie sur Apple, en quanto euros. Si Apple termine en hausse de $10,</w:t>
      </w:r>
      <w:r w:rsidR="00F558F1">
        <w:rPr>
          <w:rFonts w:ascii="Source Sans Pro" w:hAnsi="Source Sans Pro"/>
          <w:color w:val="404040"/>
          <w:sz w:val="21"/>
          <w:szCs w:val="21"/>
        </w:rPr>
        <w:t xml:space="preserve"> </w:t>
      </w:r>
      <w:r>
        <w:rPr>
          <w:rFonts w:ascii="Source Sans Pro" w:hAnsi="Source Sans Pro"/>
          <w:color w:val="404040"/>
          <w:sz w:val="21"/>
          <w:szCs w:val="21"/>
        </w:rPr>
        <w:t>l’investisseur recevra 10€.</w:t>
      </w:r>
      <w:r w:rsidR="00F558F1">
        <w:rPr>
          <w:rFonts w:ascii="Source Sans Pro" w:hAnsi="Source Sans Pro"/>
          <w:color w:val="404040"/>
          <w:sz w:val="21"/>
          <w:szCs w:val="21"/>
        </w:rPr>
        <w:t xml:space="preserve"> </w:t>
      </w:r>
      <w:r>
        <w:rPr>
          <w:rFonts w:ascii="Source Sans Pro" w:hAnsi="Source Sans Pro"/>
          <w:color w:val="404040"/>
          <w:sz w:val="21"/>
          <w:szCs w:val="21"/>
        </w:rPr>
        <w:t xml:space="preserve">Inverse d’une Option Composite qui, elle, laisse l’investisseur exposé à l’évolution du taux </w:t>
      </w:r>
      <w:proofErr w:type="spellStart"/>
      <w:r>
        <w:rPr>
          <w:rFonts w:ascii="Source Sans Pro" w:hAnsi="Source Sans Pro"/>
          <w:color w:val="404040"/>
          <w:sz w:val="21"/>
          <w:szCs w:val="21"/>
        </w:rPr>
        <w:t>dechange</w:t>
      </w:r>
      <w:proofErr w:type="spellEnd"/>
      <w:r>
        <w:rPr>
          <w:rFonts w:ascii="Source Sans Pro" w:hAnsi="Source Sans Pro"/>
          <w:color w:val="404040"/>
          <w:sz w:val="21"/>
          <w:szCs w:val="21"/>
        </w:rPr>
        <w:t xml:space="preserve"> à maturité.</w:t>
      </w:r>
    </w:p>
    <w:p w14:paraId="1762486B" w14:textId="77777777" w:rsidR="008B100B" w:rsidRDefault="008B100B" w:rsidP="008B100B">
      <w:pPr>
        <w:numPr>
          <w:ilvl w:val="0"/>
          <w:numId w:val="7"/>
        </w:numPr>
        <w:spacing w:before="100" w:beforeAutospacing="1" w:after="100" w:afterAutospacing="1"/>
        <w:rPr>
          <w:rFonts w:ascii="Source Sans Pro" w:hAnsi="Source Sans Pro"/>
          <w:color w:val="404040"/>
          <w:sz w:val="21"/>
          <w:szCs w:val="21"/>
        </w:rPr>
      </w:pPr>
      <w:r>
        <w:rPr>
          <w:rStyle w:val="lev"/>
          <w:rFonts w:ascii="Source Sans Pro" w:hAnsi="Source Sans Pro"/>
          <w:color w:val="404040"/>
          <w:sz w:val="21"/>
          <w:szCs w:val="21"/>
        </w:rPr>
        <w:t xml:space="preserve">Quelle différence entre une cotation clean et </w:t>
      </w:r>
      <w:proofErr w:type="spellStart"/>
      <w:r>
        <w:rPr>
          <w:rStyle w:val="lev"/>
          <w:rFonts w:ascii="Source Sans Pro" w:hAnsi="Source Sans Pro"/>
          <w:color w:val="404040"/>
          <w:sz w:val="21"/>
          <w:szCs w:val="21"/>
        </w:rPr>
        <w:t>dirty</w:t>
      </w:r>
      <w:proofErr w:type="spellEnd"/>
      <w:r>
        <w:rPr>
          <w:rStyle w:val="lev"/>
          <w:rFonts w:ascii="Source Sans Pro" w:hAnsi="Source Sans Pro"/>
          <w:color w:val="404040"/>
          <w:sz w:val="21"/>
          <w:szCs w:val="21"/>
        </w:rPr>
        <w:t xml:space="preserve"> sur le marché secondaire ?</w:t>
      </w:r>
    </w:p>
    <w:p w14:paraId="5BE77A73" w14:textId="52261B5E"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Pour compliquer le tout, il existe deux méthodes de présentation du prix de cotation en pour-cent. L’une d’entre elles donne le prix d’un produit structuré en y incluant les intérêts accumulés jusque-là. Cette méthode est connue sous le nom de</w:t>
      </w:r>
      <w:proofErr w:type="gramStart"/>
      <w:r>
        <w:rPr>
          <w:rFonts w:ascii="Source Sans Pro" w:hAnsi="Source Sans Pro"/>
          <w:color w:val="404040"/>
          <w:sz w:val="21"/>
          <w:szCs w:val="21"/>
        </w:rPr>
        <w:t xml:space="preserve"> «</w:t>
      </w:r>
      <w:proofErr w:type="spellStart"/>
      <w:r>
        <w:rPr>
          <w:rFonts w:ascii="Source Sans Pro" w:hAnsi="Source Sans Pro"/>
          <w:color w:val="404040"/>
          <w:sz w:val="21"/>
          <w:szCs w:val="21"/>
        </w:rPr>
        <w:t>dirty</w:t>
      </w:r>
      <w:proofErr w:type="spellEnd"/>
      <w:proofErr w:type="gramEnd"/>
      <w:r>
        <w:rPr>
          <w:rFonts w:ascii="Source Sans Pro" w:hAnsi="Source Sans Pro"/>
          <w:color w:val="404040"/>
          <w:sz w:val="21"/>
          <w:szCs w:val="21"/>
        </w:rPr>
        <w:t xml:space="preserve"> </w:t>
      </w:r>
      <w:proofErr w:type="spellStart"/>
      <w:r>
        <w:rPr>
          <w:rFonts w:ascii="Source Sans Pro" w:hAnsi="Source Sans Pro"/>
          <w:color w:val="404040"/>
          <w:sz w:val="21"/>
          <w:szCs w:val="21"/>
        </w:rPr>
        <w:t>pricing</w:t>
      </w:r>
      <w:proofErr w:type="spellEnd"/>
      <w:r>
        <w:rPr>
          <w:rFonts w:ascii="Source Sans Pro" w:hAnsi="Source Sans Pro"/>
          <w:color w:val="404040"/>
          <w:sz w:val="21"/>
          <w:szCs w:val="21"/>
        </w:rPr>
        <w:t>».</w:t>
      </w:r>
      <w:r w:rsidR="0016467A">
        <w:rPr>
          <w:rFonts w:ascii="Source Sans Pro" w:hAnsi="Source Sans Pro"/>
          <w:color w:val="404040"/>
          <w:sz w:val="21"/>
          <w:szCs w:val="21"/>
        </w:rPr>
        <w:t xml:space="preserve"> </w:t>
      </w:r>
      <w:r>
        <w:rPr>
          <w:rFonts w:ascii="Source Sans Pro" w:hAnsi="Source Sans Pro"/>
          <w:color w:val="404040"/>
          <w:sz w:val="21"/>
          <w:szCs w:val="21"/>
        </w:rPr>
        <w:t xml:space="preserve">Dans la seconde le coupon n’est pas intégré dans le prix du produit structuré, mais traité séparément, comme pour les obligations. Cette manière de déterminer le prix est appelée « clean </w:t>
      </w:r>
      <w:proofErr w:type="spellStart"/>
      <w:proofErr w:type="gramStart"/>
      <w:r>
        <w:rPr>
          <w:rFonts w:ascii="Source Sans Pro" w:hAnsi="Source Sans Pro"/>
          <w:color w:val="404040"/>
          <w:sz w:val="21"/>
          <w:szCs w:val="21"/>
        </w:rPr>
        <w:t>pricing</w:t>
      </w:r>
      <w:proofErr w:type="spellEnd"/>
      <w:r>
        <w:rPr>
          <w:rFonts w:ascii="Source Sans Pro" w:hAnsi="Source Sans Pro"/>
          <w:color w:val="404040"/>
          <w:sz w:val="21"/>
          <w:szCs w:val="21"/>
        </w:rPr>
        <w:t>»</w:t>
      </w:r>
      <w:proofErr w:type="gramEnd"/>
      <w:r>
        <w:rPr>
          <w:rFonts w:ascii="Source Sans Pro" w:hAnsi="Source Sans Pro"/>
          <w:color w:val="404040"/>
          <w:sz w:val="21"/>
          <w:szCs w:val="21"/>
        </w:rPr>
        <w:t>.</w:t>
      </w:r>
    </w:p>
    <w:p w14:paraId="5A518270" w14:textId="77777777" w:rsidR="008B100B" w:rsidRPr="008B100B" w:rsidRDefault="008B100B" w:rsidP="008B100B">
      <w:pPr>
        <w:pStyle w:val="NormalWeb"/>
        <w:spacing w:before="0" w:beforeAutospacing="0" w:after="360" w:afterAutospacing="0"/>
        <w:rPr>
          <w:rFonts w:ascii="Source Sans Pro" w:hAnsi="Source Sans Pro"/>
          <w:color w:val="404040"/>
          <w:sz w:val="21"/>
          <w:szCs w:val="21"/>
          <w:lang w:val="en-US"/>
        </w:rPr>
      </w:pPr>
      <w:r>
        <w:rPr>
          <w:rStyle w:val="lev"/>
          <w:rFonts w:ascii="Source Sans Pro" w:hAnsi="Source Sans Pro"/>
          <w:color w:val="404040"/>
          <w:sz w:val="21"/>
          <w:szCs w:val="21"/>
        </w:rPr>
        <w:t> </w:t>
      </w:r>
      <w:r w:rsidRPr="008B100B">
        <w:rPr>
          <w:rStyle w:val="lev"/>
          <w:rFonts w:ascii="Source Sans Pro" w:hAnsi="Source Sans Pro"/>
          <w:color w:val="404040"/>
          <w:sz w:val="21"/>
          <w:szCs w:val="21"/>
          <w:lang w:val="en-US"/>
        </w:rPr>
        <w:t xml:space="preserve">Phoenix </w:t>
      </w:r>
      <w:proofErr w:type="spellStart"/>
      <w:r w:rsidRPr="008B100B">
        <w:rPr>
          <w:rStyle w:val="lev"/>
          <w:rFonts w:ascii="Source Sans Pro" w:hAnsi="Source Sans Pro"/>
          <w:color w:val="404040"/>
          <w:sz w:val="21"/>
          <w:szCs w:val="21"/>
          <w:lang w:val="en-US"/>
        </w:rPr>
        <w:t>Autocall</w:t>
      </w:r>
      <w:proofErr w:type="spellEnd"/>
    </w:p>
    <w:p w14:paraId="0405FBC7" w14:textId="77777777" w:rsidR="008B100B" w:rsidRPr="008B100B" w:rsidRDefault="008B100B" w:rsidP="008B100B">
      <w:pPr>
        <w:pStyle w:val="NormalWeb"/>
        <w:spacing w:before="0" w:beforeAutospacing="0" w:after="360" w:afterAutospacing="0"/>
        <w:rPr>
          <w:rFonts w:ascii="Source Sans Pro" w:hAnsi="Source Sans Pro"/>
          <w:color w:val="404040"/>
          <w:sz w:val="21"/>
          <w:szCs w:val="21"/>
          <w:lang w:val="en-US"/>
        </w:rPr>
      </w:pPr>
      <w:r w:rsidRPr="008B100B">
        <w:rPr>
          <w:rFonts w:ascii="Source Sans Pro" w:hAnsi="Source Sans Pro"/>
          <w:color w:val="404040"/>
          <w:sz w:val="21"/>
          <w:szCs w:val="21"/>
          <w:lang w:val="en-US"/>
        </w:rPr>
        <w:t xml:space="preserve">Obligation zero coupon + option </w:t>
      </w:r>
      <w:proofErr w:type="spellStart"/>
      <w:r w:rsidRPr="008B100B">
        <w:rPr>
          <w:rFonts w:ascii="Source Sans Pro" w:hAnsi="Source Sans Pro"/>
          <w:color w:val="404040"/>
          <w:sz w:val="21"/>
          <w:szCs w:val="21"/>
          <w:lang w:val="en-US"/>
        </w:rPr>
        <w:t>digitale</w:t>
      </w:r>
      <w:proofErr w:type="spellEnd"/>
      <w:r w:rsidRPr="008B100B">
        <w:rPr>
          <w:rFonts w:ascii="Source Sans Pro" w:hAnsi="Source Sans Pro"/>
          <w:color w:val="404040"/>
          <w:sz w:val="21"/>
          <w:szCs w:val="21"/>
          <w:lang w:val="en-US"/>
        </w:rPr>
        <w:t xml:space="preserve"> + short put down and in</w:t>
      </w:r>
    </w:p>
    <w:p w14:paraId="7498A2C8" w14:textId="3F3F4BF1" w:rsidR="008B100B" w:rsidRDefault="008B100B" w:rsidP="008B100B">
      <w:pPr>
        <w:numPr>
          <w:ilvl w:val="0"/>
          <w:numId w:val="8"/>
        </w:numPr>
        <w:spacing w:before="100" w:beforeAutospacing="1" w:after="100" w:afterAutospacing="1"/>
        <w:rPr>
          <w:rFonts w:ascii="Source Sans Pro" w:hAnsi="Source Sans Pro"/>
          <w:color w:val="404040"/>
          <w:sz w:val="21"/>
          <w:szCs w:val="21"/>
        </w:rPr>
      </w:pPr>
      <w:r>
        <w:rPr>
          <w:rFonts w:ascii="Source Sans Pro" w:hAnsi="Source Sans Pro"/>
          <w:color w:val="404040"/>
          <w:sz w:val="21"/>
          <w:szCs w:val="21"/>
        </w:rPr>
        <w:t>Tant que le sous-jacent est au-dessus d’un certain niveau A : l’investisseur perçoit un</w:t>
      </w:r>
      <w:r w:rsidR="00365DDD">
        <w:rPr>
          <w:rFonts w:ascii="Source Sans Pro" w:hAnsi="Source Sans Pro"/>
          <w:color w:val="404040"/>
          <w:sz w:val="21"/>
          <w:szCs w:val="21"/>
        </w:rPr>
        <w:t xml:space="preserve"> </w:t>
      </w:r>
      <w:r>
        <w:rPr>
          <w:rFonts w:ascii="Source Sans Pro" w:hAnsi="Source Sans Pro"/>
          <w:color w:val="404040"/>
          <w:sz w:val="21"/>
          <w:szCs w:val="21"/>
        </w:rPr>
        <w:t>coupon.</w:t>
      </w:r>
    </w:p>
    <w:p w14:paraId="1EA9DA47" w14:textId="7A5127ED" w:rsidR="008B100B" w:rsidRDefault="008B100B" w:rsidP="008B100B">
      <w:pPr>
        <w:numPr>
          <w:ilvl w:val="0"/>
          <w:numId w:val="8"/>
        </w:numPr>
        <w:spacing w:before="100" w:beforeAutospacing="1" w:after="100" w:afterAutospacing="1"/>
        <w:rPr>
          <w:rFonts w:ascii="Source Sans Pro" w:hAnsi="Source Sans Pro"/>
          <w:color w:val="404040"/>
          <w:sz w:val="21"/>
          <w:szCs w:val="21"/>
        </w:rPr>
      </w:pPr>
      <w:r>
        <w:rPr>
          <w:rFonts w:ascii="Source Sans Pro" w:hAnsi="Source Sans Pro"/>
          <w:color w:val="404040"/>
          <w:sz w:val="21"/>
          <w:szCs w:val="21"/>
        </w:rPr>
        <w:t>Si le sous-jacent est au-dessus d’un certain niveau B, alors le produit est</w:t>
      </w:r>
      <w:r w:rsidR="00365DDD">
        <w:rPr>
          <w:rFonts w:ascii="Source Sans Pro" w:hAnsi="Source Sans Pro"/>
          <w:color w:val="404040"/>
          <w:sz w:val="21"/>
          <w:szCs w:val="21"/>
        </w:rPr>
        <w:t xml:space="preserve"> </w:t>
      </w:r>
      <w:r>
        <w:rPr>
          <w:rFonts w:ascii="Source Sans Pro" w:hAnsi="Source Sans Pro"/>
          <w:color w:val="404040"/>
          <w:sz w:val="21"/>
          <w:szCs w:val="21"/>
        </w:rPr>
        <w:t xml:space="preserve">automatiquement </w:t>
      </w:r>
      <w:proofErr w:type="gramStart"/>
      <w:r>
        <w:rPr>
          <w:rFonts w:ascii="Source Sans Pro" w:hAnsi="Source Sans Pro"/>
          <w:color w:val="404040"/>
          <w:sz w:val="21"/>
          <w:szCs w:val="21"/>
        </w:rPr>
        <w:t>rappelé:</w:t>
      </w:r>
      <w:proofErr w:type="gramEnd"/>
      <w:r>
        <w:rPr>
          <w:rFonts w:ascii="Source Sans Pro" w:hAnsi="Source Sans Pro"/>
          <w:color w:val="404040"/>
          <w:sz w:val="21"/>
          <w:szCs w:val="21"/>
        </w:rPr>
        <w:t xml:space="preserve"> l’investisseur perçoit son coupon, mais le produit s’arrête.</w:t>
      </w:r>
    </w:p>
    <w:p w14:paraId="7527A6F0"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Fonts w:ascii="Source Sans Pro" w:hAnsi="Source Sans Pro"/>
          <w:color w:val="404040"/>
          <w:sz w:val="21"/>
          <w:szCs w:val="21"/>
        </w:rPr>
        <w:t>Enfin, si le sous-jacent est en-dessous d’un certain niveau C, l’investisseur risque alors d’être exposé à terme à la performance négative du sous-jacent.</w:t>
      </w:r>
    </w:p>
    <w:p w14:paraId="0D3C3A87"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Barrière Coupon :</w:t>
      </w:r>
      <w:r>
        <w:rPr>
          <w:rFonts w:ascii="Source Sans Pro" w:hAnsi="Source Sans Pro"/>
          <w:color w:val="404040"/>
          <w:sz w:val="21"/>
          <w:szCs w:val="21"/>
        </w:rPr>
        <w:t> Si garantir le coupon, à la fin de période il faut mettre une Barrière Coupon à 0%. Ce qui augmente le coût du produit structuré, et donc diminue le niveau de coupon.</w:t>
      </w:r>
    </w:p>
    <w:p w14:paraId="5A9E11E7" w14:textId="47E291B8" w:rsidR="008B100B" w:rsidRDefault="008B100B" w:rsidP="008B100B">
      <w:pPr>
        <w:pStyle w:val="NormalWeb"/>
        <w:spacing w:before="0" w:beforeAutospacing="0" w:after="360" w:afterAutospacing="0"/>
        <w:rPr>
          <w:rFonts w:ascii="Source Sans Pro" w:hAnsi="Source Sans Pro"/>
          <w:color w:val="404040"/>
          <w:sz w:val="21"/>
          <w:szCs w:val="21"/>
        </w:rPr>
      </w:pPr>
      <w:proofErr w:type="spellStart"/>
      <w:r>
        <w:rPr>
          <w:rStyle w:val="lev"/>
          <w:rFonts w:ascii="Source Sans Pro" w:hAnsi="Source Sans Pro"/>
          <w:color w:val="404040"/>
          <w:sz w:val="21"/>
          <w:szCs w:val="21"/>
        </w:rPr>
        <w:t>Autocall</w:t>
      </w:r>
      <w:proofErr w:type="spellEnd"/>
      <w:r>
        <w:rPr>
          <w:rStyle w:val="lev"/>
          <w:rFonts w:ascii="Source Sans Pro" w:hAnsi="Source Sans Pro"/>
          <w:color w:val="404040"/>
          <w:sz w:val="21"/>
          <w:szCs w:val="21"/>
        </w:rPr>
        <w:t xml:space="preserve"> Trigger :</w:t>
      </w:r>
      <w:r>
        <w:rPr>
          <w:rStyle w:val="apple-converted-space"/>
          <w:rFonts w:ascii="Source Sans Pro" w:hAnsi="Source Sans Pro"/>
          <w:color w:val="404040"/>
          <w:sz w:val="21"/>
          <w:szCs w:val="21"/>
        </w:rPr>
        <w:t> </w:t>
      </w:r>
      <w:r>
        <w:rPr>
          <w:rFonts w:ascii="Source Sans Pro" w:hAnsi="Source Sans Pro"/>
          <w:color w:val="404040"/>
          <w:sz w:val="21"/>
          <w:szCs w:val="21"/>
        </w:rPr>
        <w:t>Si on veut s’assurer que le produit arrive à maturité, il faut placer la barrière</w:t>
      </w:r>
      <w:r w:rsidR="00277707">
        <w:rPr>
          <w:rFonts w:ascii="Source Sans Pro" w:hAnsi="Source Sans Pro"/>
          <w:color w:val="404040"/>
          <w:sz w:val="21"/>
          <w:szCs w:val="21"/>
        </w:rPr>
        <w:t xml:space="preserve"> </w:t>
      </w:r>
      <w:proofErr w:type="spellStart"/>
      <w:r>
        <w:rPr>
          <w:rFonts w:ascii="Source Sans Pro" w:hAnsi="Source Sans Pro"/>
          <w:color w:val="404040"/>
          <w:sz w:val="21"/>
          <w:szCs w:val="21"/>
        </w:rPr>
        <w:t>autocall</w:t>
      </w:r>
      <w:proofErr w:type="spellEnd"/>
      <w:r>
        <w:rPr>
          <w:rFonts w:ascii="Source Sans Pro" w:hAnsi="Source Sans Pro"/>
          <w:color w:val="404040"/>
          <w:sz w:val="21"/>
          <w:szCs w:val="21"/>
        </w:rPr>
        <w:t xml:space="preserve"> à un niveau infiniment positif. L’impact sur le coût du produit est alors incertain. En effet cela augmente les chances de l’investisseur de percevoir des coupons jusqu’à maturité mais cela l’expose plus au franchissement de la barrière de protection, et donc cela augmente son risque</w:t>
      </w:r>
      <w:r w:rsidR="00277707">
        <w:rPr>
          <w:rFonts w:ascii="Source Sans Pro" w:hAnsi="Source Sans Pro"/>
          <w:color w:val="404040"/>
          <w:sz w:val="21"/>
          <w:szCs w:val="21"/>
        </w:rPr>
        <w:t xml:space="preserve"> </w:t>
      </w:r>
      <w:r>
        <w:rPr>
          <w:rFonts w:ascii="Source Sans Pro" w:hAnsi="Source Sans Pro"/>
          <w:color w:val="404040"/>
          <w:sz w:val="21"/>
          <w:szCs w:val="21"/>
        </w:rPr>
        <w:t>d’entamer son capital.</w:t>
      </w:r>
    </w:p>
    <w:p w14:paraId="7D21A1FB" w14:textId="59FD2419"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Effet mémoire :</w:t>
      </w:r>
      <w:r>
        <w:rPr>
          <w:rFonts w:ascii="Source Sans Pro" w:hAnsi="Source Sans Pro"/>
          <w:color w:val="404040"/>
          <w:sz w:val="21"/>
          <w:szCs w:val="21"/>
        </w:rPr>
        <w:t> Le vendeur du produit peut proposer une caractéristique « Effet mémoire » à</w:t>
      </w:r>
      <w:r w:rsidR="00277707">
        <w:rPr>
          <w:rFonts w:ascii="Source Sans Pro" w:hAnsi="Source Sans Pro"/>
          <w:color w:val="404040"/>
          <w:sz w:val="21"/>
          <w:szCs w:val="21"/>
        </w:rPr>
        <w:t xml:space="preserve"> </w:t>
      </w:r>
      <w:r>
        <w:rPr>
          <w:rFonts w:ascii="Source Sans Pro" w:hAnsi="Source Sans Pro"/>
          <w:color w:val="404040"/>
          <w:sz w:val="21"/>
          <w:szCs w:val="21"/>
        </w:rPr>
        <w:t>l’investisseur, cela permettra alors à l’investisseur de percevoir un coupon raté (dû au franchissement à la baisse de la barrière coupon) au prochain trimestre si le sous-jacent franchi la barrière à la hausse.</w:t>
      </w:r>
    </w:p>
    <w:p w14:paraId="0E501CF0" w14:textId="3A9DCF9F"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 xml:space="preserve">Single ou </w:t>
      </w:r>
      <w:proofErr w:type="spellStart"/>
      <w:r>
        <w:rPr>
          <w:rStyle w:val="lev"/>
          <w:rFonts w:ascii="Source Sans Pro" w:hAnsi="Source Sans Pro"/>
          <w:color w:val="404040"/>
          <w:sz w:val="21"/>
          <w:szCs w:val="21"/>
        </w:rPr>
        <w:t>Worst</w:t>
      </w:r>
      <w:proofErr w:type="spellEnd"/>
      <w:r>
        <w:rPr>
          <w:rStyle w:val="lev"/>
          <w:rFonts w:ascii="Source Sans Pro" w:hAnsi="Source Sans Pro"/>
          <w:color w:val="404040"/>
          <w:sz w:val="21"/>
          <w:szCs w:val="21"/>
        </w:rPr>
        <w:t xml:space="preserve"> of :</w:t>
      </w:r>
      <w:r>
        <w:rPr>
          <w:rStyle w:val="apple-converted-space"/>
          <w:rFonts w:ascii="Source Sans Pro" w:hAnsi="Source Sans Pro"/>
          <w:color w:val="404040"/>
          <w:sz w:val="21"/>
          <w:szCs w:val="21"/>
        </w:rPr>
        <w:t> </w:t>
      </w:r>
      <w:r>
        <w:rPr>
          <w:rFonts w:ascii="Source Sans Pro" w:hAnsi="Source Sans Pro"/>
          <w:color w:val="404040"/>
          <w:sz w:val="21"/>
          <w:szCs w:val="21"/>
        </w:rPr>
        <w:t>Augmentation du nombre de sous-jacents présents dans le produit. C’est</w:t>
      </w:r>
      <w:r w:rsidR="00DB7BFF">
        <w:rPr>
          <w:rFonts w:ascii="Source Sans Pro" w:hAnsi="Source Sans Pro"/>
          <w:color w:val="404040"/>
          <w:sz w:val="21"/>
          <w:szCs w:val="21"/>
        </w:rPr>
        <w:t xml:space="preserve"> </w:t>
      </w:r>
      <w:r>
        <w:rPr>
          <w:rFonts w:ascii="Source Sans Pro" w:hAnsi="Source Sans Pro"/>
          <w:color w:val="404040"/>
          <w:sz w:val="21"/>
          <w:szCs w:val="21"/>
        </w:rPr>
        <w:t>alors la plus mauvaise performance des trois sous-jacent que l’on retiendra (</w:t>
      </w:r>
      <w:proofErr w:type="spellStart"/>
      <w:r>
        <w:rPr>
          <w:rFonts w:ascii="Source Sans Pro" w:hAnsi="Source Sans Pro"/>
          <w:color w:val="404040"/>
          <w:sz w:val="21"/>
          <w:szCs w:val="21"/>
        </w:rPr>
        <w:t>worst</w:t>
      </w:r>
      <w:proofErr w:type="spellEnd"/>
      <w:r>
        <w:rPr>
          <w:rFonts w:ascii="Source Sans Pro" w:hAnsi="Source Sans Pro"/>
          <w:color w:val="404040"/>
          <w:sz w:val="21"/>
          <w:szCs w:val="21"/>
        </w:rPr>
        <w:t xml:space="preserve"> of) pour déterminer le franchissement des barrières.</w:t>
      </w:r>
    </w:p>
    <w:p w14:paraId="3272D551"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Autres produits :</w:t>
      </w:r>
      <w:r>
        <w:rPr>
          <w:rStyle w:val="apple-converted-space"/>
          <w:rFonts w:ascii="Source Sans Pro" w:hAnsi="Source Sans Pro"/>
          <w:color w:val="404040"/>
          <w:sz w:val="21"/>
          <w:szCs w:val="21"/>
        </w:rPr>
        <w:t> </w:t>
      </w:r>
      <w:r>
        <w:rPr>
          <w:rFonts w:ascii="Source Sans Pro" w:hAnsi="Source Sans Pro"/>
          <w:color w:val="404040"/>
          <w:sz w:val="21"/>
          <w:szCs w:val="21"/>
        </w:rPr>
        <w:t xml:space="preserve">Athéna, certificat bonus, certificat </w:t>
      </w:r>
      <w:proofErr w:type="spellStart"/>
      <w:r>
        <w:rPr>
          <w:rFonts w:ascii="Source Sans Pro" w:hAnsi="Source Sans Pro"/>
          <w:color w:val="404040"/>
          <w:sz w:val="21"/>
          <w:szCs w:val="21"/>
        </w:rPr>
        <w:t>outperformance</w:t>
      </w:r>
      <w:proofErr w:type="spellEnd"/>
      <w:r>
        <w:rPr>
          <w:rFonts w:ascii="Source Sans Pro" w:hAnsi="Source Sans Pro"/>
          <w:color w:val="404040"/>
          <w:sz w:val="21"/>
          <w:szCs w:val="21"/>
        </w:rPr>
        <w:t>, certificat airbag …</w:t>
      </w:r>
    </w:p>
    <w:p w14:paraId="7A6E4BC1"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 xml:space="preserve">Donnez la définition du </w:t>
      </w:r>
      <w:proofErr w:type="spellStart"/>
      <w:r>
        <w:rPr>
          <w:rStyle w:val="lev"/>
          <w:rFonts w:ascii="Source Sans Pro" w:hAnsi="Source Sans Pro"/>
          <w:color w:val="404040"/>
          <w:sz w:val="21"/>
          <w:szCs w:val="21"/>
        </w:rPr>
        <w:t>Contango</w:t>
      </w:r>
      <w:proofErr w:type="spellEnd"/>
      <w:r>
        <w:rPr>
          <w:rStyle w:val="apple-converted-space"/>
          <w:rFonts w:ascii="Source Sans Pro" w:hAnsi="Source Sans Pro"/>
          <w:b/>
          <w:bCs/>
          <w:color w:val="404040"/>
          <w:sz w:val="21"/>
          <w:szCs w:val="21"/>
        </w:rPr>
        <w:t> </w:t>
      </w:r>
    </w:p>
    <w:p w14:paraId="745D2851" w14:textId="77777777" w:rsidR="008B100B" w:rsidRDefault="008B100B" w:rsidP="008B100B">
      <w:pPr>
        <w:pStyle w:val="NormalWeb"/>
        <w:spacing w:before="0" w:beforeAutospacing="0" w:after="360" w:afterAutospacing="0"/>
        <w:rPr>
          <w:rFonts w:ascii="Source Sans Pro" w:hAnsi="Source Sans Pro"/>
          <w:color w:val="404040"/>
          <w:sz w:val="21"/>
          <w:szCs w:val="21"/>
        </w:rPr>
      </w:pPr>
      <w:proofErr w:type="spellStart"/>
      <w:r>
        <w:rPr>
          <w:rFonts w:ascii="Source Sans Pro" w:hAnsi="Source Sans Pro"/>
          <w:color w:val="404040"/>
          <w:sz w:val="21"/>
          <w:szCs w:val="21"/>
        </w:rPr>
        <w:t>Contango</w:t>
      </w:r>
      <w:proofErr w:type="spellEnd"/>
      <w:r>
        <w:rPr>
          <w:rFonts w:ascii="Source Sans Pro" w:hAnsi="Source Sans Pro"/>
          <w:color w:val="404040"/>
          <w:sz w:val="21"/>
          <w:szCs w:val="21"/>
        </w:rPr>
        <w:t xml:space="preserve"> correspond à une situation où le prix comptant d’une valeur, qu’il s’agisse d’une action ou d’une matière première, est inférieur à son prix futur. Techniquement, cela signifie qu’il y a une prime au propriétaire d’un stock.</w:t>
      </w:r>
    </w:p>
    <w:p w14:paraId="34E09959" w14:textId="77777777" w:rsidR="008B100B" w:rsidRDefault="008B100B" w:rsidP="008B100B">
      <w:pPr>
        <w:pStyle w:val="NormalWeb"/>
        <w:spacing w:before="0" w:beforeAutospacing="0" w:after="360" w:afterAutospacing="0"/>
        <w:rPr>
          <w:rFonts w:ascii="Source Sans Pro" w:hAnsi="Source Sans Pro"/>
          <w:color w:val="404040"/>
          <w:sz w:val="21"/>
          <w:szCs w:val="21"/>
        </w:rPr>
      </w:pPr>
      <w:r>
        <w:rPr>
          <w:rStyle w:val="lev"/>
          <w:rFonts w:ascii="Source Sans Pro" w:hAnsi="Source Sans Pro"/>
          <w:color w:val="404040"/>
          <w:sz w:val="21"/>
          <w:szCs w:val="21"/>
        </w:rPr>
        <w:t>Donnez la définition du </w:t>
      </w:r>
      <w:proofErr w:type="spellStart"/>
      <w:r>
        <w:rPr>
          <w:rStyle w:val="lev"/>
          <w:rFonts w:ascii="Source Sans Pro" w:hAnsi="Source Sans Pro"/>
          <w:color w:val="404040"/>
          <w:sz w:val="21"/>
          <w:szCs w:val="21"/>
        </w:rPr>
        <w:t>Backwardation</w:t>
      </w:r>
      <w:proofErr w:type="spellEnd"/>
    </w:p>
    <w:p w14:paraId="2767B0CB" w14:textId="77777777" w:rsidR="008B100B" w:rsidRDefault="008B100B" w:rsidP="008B100B">
      <w:pPr>
        <w:pStyle w:val="NormalWeb"/>
        <w:spacing w:before="0" w:beforeAutospacing="0" w:after="360" w:afterAutospacing="0"/>
        <w:rPr>
          <w:rFonts w:ascii="Source Sans Pro" w:hAnsi="Source Sans Pro"/>
          <w:color w:val="404040"/>
          <w:sz w:val="21"/>
          <w:szCs w:val="21"/>
        </w:rPr>
      </w:pPr>
      <w:proofErr w:type="spellStart"/>
      <w:r>
        <w:rPr>
          <w:rFonts w:ascii="Source Sans Pro" w:hAnsi="Source Sans Pro"/>
          <w:color w:val="404040"/>
          <w:sz w:val="21"/>
          <w:szCs w:val="21"/>
        </w:rPr>
        <w:lastRenderedPageBreak/>
        <w:t>Backwardation</w:t>
      </w:r>
      <w:proofErr w:type="spellEnd"/>
      <w:r>
        <w:rPr>
          <w:rFonts w:ascii="Source Sans Pro" w:hAnsi="Source Sans Pro"/>
          <w:color w:val="404040"/>
          <w:sz w:val="21"/>
          <w:szCs w:val="21"/>
        </w:rPr>
        <w:t xml:space="preserve"> est, à l’inverse, la situation où le prix comptant est inférieur au prix futur.</w:t>
      </w:r>
    </w:p>
    <w:p w14:paraId="174ACFF4" w14:textId="77777777" w:rsidR="006B4B5F" w:rsidRDefault="006B4B5F"/>
    <w:sectPr w:rsidR="006B4B5F" w:rsidSect="001E279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Source Sans Pro">
    <w:panose1 w:val="020B0503030403020204"/>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75CAF"/>
    <w:multiLevelType w:val="multilevel"/>
    <w:tmpl w:val="CB3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004293"/>
    <w:multiLevelType w:val="multilevel"/>
    <w:tmpl w:val="9AC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3E609B"/>
    <w:multiLevelType w:val="multilevel"/>
    <w:tmpl w:val="D67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AE24AF"/>
    <w:multiLevelType w:val="multilevel"/>
    <w:tmpl w:val="074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C4761A"/>
    <w:multiLevelType w:val="multilevel"/>
    <w:tmpl w:val="3BCE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8E29FB"/>
    <w:multiLevelType w:val="multilevel"/>
    <w:tmpl w:val="94D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6F3FFE"/>
    <w:multiLevelType w:val="multilevel"/>
    <w:tmpl w:val="697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204D92"/>
    <w:multiLevelType w:val="multilevel"/>
    <w:tmpl w:val="47D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4"/>
  </w:num>
  <w:num w:numId="5">
    <w:abstractNumId w:val="2"/>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0B"/>
    <w:rsid w:val="0016467A"/>
    <w:rsid w:val="00197024"/>
    <w:rsid w:val="001E279A"/>
    <w:rsid w:val="00262E5C"/>
    <w:rsid w:val="00277707"/>
    <w:rsid w:val="00365DDD"/>
    <w:rsid w:val="003A7ADB"/>
    <w:rsid w:val="006B4B5F"/>
    <w:rsid w:val="007A0EF8"/>
    <w:rsid w:val="00807BF0"/>
    <w:rsid w:val="008B100B"/>
    <w:rsid w:val="008E7B45"/>
    <w:rsid w:val="00A34242"/>
    <w:rsid w:val="00DB7BFF"/>
    <w:rsid w:val="00F558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5A67D24"/>
  <w15:chartTrackingRefBased/>
  <w15:docId w15:val="{F404346C-D536-8545-A86B-3E56ACED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B100B"/>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100B"/>
    <w:rPr>
      <w:rFonts w:ascii="Times New Roman" w:eastAsia="Times New Roman" w:hAnsi="Times New Roman" w:cs="Times New Roman"/>
      <w:b/>
      <w:bCs/>
      <w:kern w:val="36"/>
      <w:sz w:val="48"/>
      <w:szCs w:val="48"/>
      <w:lang w:eastAsia="fr-FR"/>
    </w:rPr>
  </w:style>
  <w:style w:type="character" w:customStyle="1" w:styleId="cat-links">
    <w:name w:val="cat-links"/>
    <w:basedOn w:val="Policepardfaut"/>
    <w:rsid w:val="008B100B"/>
  </w:style>
  <w:style w:type="character" w:styleId="Lienhypertexte">
    <w:name w:val="Hyperlink"/>
    <w:basedOn w:val="Policepardfaut"/>
    <w:uiPriority w:val="99"/>
    <w:semiHidden/>
    <w:unhideWhenUsed/>
    <w:rsid w:val="008B100B"/>
    <w:rPr>
      <w:color w:val="0000FF"/>
      <w:u w:val="single"/>
    </w:rPr>
  </w:style>
  <w:style w:type="character" w:customStyle="1" w:styleId="apple-converted-space">
    <w:name w:val="apple-converted-space"/>
    <w:basedOn w:val="Policepardfaut"/>
    <w:rsid w:val="008B100B"/>
  </w:style>
  <w:style w:type="character" w:customStyle="1" w:styleId="author">
    <w:name w:val="author"/>
    <w:basedOn w:val="Policepardfaut"/>
    <w:rsid w:val="008B100B"/>
  </w:style>
  <w:style w:type="character" w:customStyle="1" w:styleId="posted-on">
    <w:name w:val="posted-on"/>
    <w:basedOn w:val="Policepardfaut"/>
    <w:rsid w:val="008B100B"/>
  </w:style>
  <w:style w:type="paragraph" w:styleId="NormalWeb">
    <w:name w:val="Normal (Web)"/>
    <w:basedOn w:val="Normal"/>
    <w:uiPriority w:val="99"/>
    <w:semiHidden/>
    <w:unhideWhenUsed/>
    <w:rsid w:val="008B100B"/>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8B10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176025">
      <w:bodyDiv w:val="1"/>
      <w:marLeft w:val="0"/>
      <w:marRight w:val="0"/>
      <w:marTop w:val="0"/>
      <w:marBottom w:val="0"/>
      <w:divBdr>
        <w:top w:val="none" w:sz="0" w:space="0" w:color="auto"/>
        <w:left w:val="none" w:sz="0" w:space="0" w:color="auto"/>
        <w:bottom w:val="none" w:sz="0" w:space="0" w:color="auto"/>
        <w:right w:val="none" w:sz="0" w:space="0" w:color="auto"/>
      </w:divBdr>
      <w:divsChild>
        <w:div w:id="109593416">
          <w:marLeft w:val="0"/>
          <w:marRight w:val="0"/>
          <w:marTop w:val="0"/>
          <w:marBottom w:val="0"/>
          <w:divBdr>
            <w:top w:val="none" w:sz="0" w:space="0" w:color="auto"/>
            <w:left w:val="none" w:sz="0" w:space="0" w:color="auto"/>
            <w:bottom w:val="none" w:sz="0" w:space="0" w:color="auto"/>
            <w:right w:val="none" w:sz="0" w:space="0" w:color="auto"/>
          </w:divBdr>
        </w:div>
        <w:div w:id="1844005107">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questionentretienfinance.fr/author/christopheelharake" TargetMode="External"/><Relationship Id="rId5" Type="http://schemas.openxmlformats.org/officeDocument/2006/relationships/hyperlink" Target="http://questionentretienfinance.fr/category/produits-structure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972</Words>
  <Characters>5350</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BOULANGER</dc:creator>
  <cp:keywords/>
  <dc:description/>
  <cp:lastModifiedBy>Lucas BOULANGER</cp:lastModifiedBy>
  <cp:revision>13</cp:revision>
  <dcterms:created xsi:type="dcterms:W3CDTF">2022-03-11T18:28:00Z</dcterms:created>
  <dcterms:modified xsi:type="dcterms:W3CDTF">2022-03-11T18:33:00Z</dcterms:modified>
</cp:coreProperties>
</file>