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3A5C"/>
          <w:sz w:val="38"/>
        </w:rPr>
        <w:t>CALVIN MINANG</w:t>
      </w:r>
    </w:p>
    <w:p>
      <w:pPr>
        <w:spacing w:before="0" w:after="20"/>
      </w:pPr>
      <w:r>
        <w:rPr>
          <w:b/>
          <w:i w:val="0"/>
          <w:color w:val="2E5C8A"/>
          <w:sz w:val="19"/>
        </w:rPr>
        <w:t>GLOBAL MARKETS SALES  ·  FX, RATES &amp; EQUITIES</w:t>
      </w:r>
    </w:p>
    <w:p>
      <w:pPr>
        <w:spacing w:before="0" w:after="40"/>
      </w:pPr>
      <w:r>
        <w:rPr>
          <w:b w:val="0"/>
          <w:i/>
          <w:color w:val="4A4A4A"/>
          <w:sz w:val="17"/>
        </w:rPr>
        <w:t>Available from mid-December 2026  ·  Paris, France</w:t>
      </w:r>
    </w:p>
    <w:p>
      <w:pPr>
        <w:spacing w:before="0" w:after="0"/>
      </w:pPr>
      <w:r>
        <w:rPr>
          <w:b w:val="0"/>
          <w:i w:val="0"/>
          <w:sz w:val="17"/>
        </w:rPr>
        <w:t>+33 7 52 97 58 09  ·  calvin.minang@skema.edu  ·  linkedin.com/in/calvin-minang</w:t>
      </w:r>
    </w:p>
    <w:p>
      <w:pPr>
        <w:spacing w:before="0" w:after="0"/>
      </w:pPr>
      <w:r>
        <w:rPr>
          <w:b w:val="0"/>
          <w:i w:val="0"/>
          <w:sz w:val="17"/>
        </w:rPr>
        <w:t>github.com/Calvin29990  ·  calvin-minibloomberg.netlify.app</w:t>
      </w:r>
    </w:p>
    <w:p>
      <w:pPr>
        <w:spacing w:before="140" w:after="20"/>
        <w:pBdr>
          <w:bottom w:val="single" w:sz="8" w:space="1" w:color="1B3A5C"/>
        </w:pBdr>
      </w:pPr>
      <w:r>
        <w:rPr>
          <w:b/>
          <w:i w:val="0"/>
          <w:color w:val="1B3A5C"/>
          <w:sz w:val="20"/>
        </w:rPr>
        <w:t>PROFILE</w:t>
      </w:r>
    </w:p>
    <w:p>
      <w:pPr>
        <w:spacing w:before="0" w:after="0"/>
        <w:jc w:val="both"/>
      </w:pPr>
      <w:r>
        <w:rPr>
          <w:b w:val="0"/>
          <w:i w:val="0"/>
          <w:sz w:val="18"/>
        </w:rPr>
        <w:t>Final-year student on SKEMA Business School's Programme Grande Ecole (Master grade) and MSc Corporate Financial Management. Multi-asset reporting and market monitoring; B2B prospecting, partner CRM and business development. Target: Global Markets Sales Desk - FX Sales, Rates Sales, Cross-Asset Sales and equity derivatives.</w:t>
      </w:r>
    </w:p>
    <w:p>
      <w:pPr>
        <w:spacing w:before="140" w:after="20"/>
        <w:pBdr>
          <w:bottom w:val="single" w:sz="8" w:space="1" w:color="1B3A5C"/>
        </w:pBdr>
      </w:pPr>
      <w:r>
        <w:rPr>
          <w:b/>
          <w:i w:val="0"/>
          <w:color w:val="1B3A5C"/>
          <w:sz w:val="20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SKEMA Business School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Jul 2022 - Dec 2026</w:t>
            </w:r>
          </w:p>
        </w:tc>
      </w:tr>
    </w:tbl>
    <w:p>
      <w:pPr>
        <w:spacing w:before="0" w:after="0"/>
      </w:pPr>
      <w:r>
        <w:rPr>
          <w:b w:val="0"/>
          <w:i w:val="0"/>
          <w:sz w:val="17"/>
        </w:rPr>
        <w:t>Programme Grande Ecole (M2) - Dual degree: MSc Corporate Financial Management</w:t>
      </w:r>
    </w:p>
    <w:p>
      <w:pPr>
        <w:spacing w:before="0" w:after="0"/>
      </w:pPr>
      <w:r>
        <w:rPr>
          <w:b w:val="0"/>
          <w:i w:val="0"/>
          <w:sz w:val="17"/>
        </w:rPr>
        <w:t>Campus Belo Horizonte, Brazil</w:t>
      </w:r>
    </w:p>
    <w:p>
      <w:pPr>
        <w:spacing w:before="0" w:after="60"/>
      </w:pPr>
      <w:r>
        <w:rPr>
          <w:b w:val="0"/>
          <w:i w:val="0"/>
          <w:sz w:val="17"/>
        </w:rPr>
        <w:t>Coursework: FX &amp; Arbitrage · Fixed Income · Valuation &amp; Risk Management · Market Risk · Credit Risk · Financial Modelling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Ipesup Paris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2021 - 2022</w:t>
            </w:r>
          </w:p>
        </w:tc>
      </w:tr>
    </w:tbl>
    <w:p>
      <w:pPr>
        <w:spacing w:before="0" w:after="0"/>
      </w:pPr>
      <w:r>
        <w:rPr>
          <w:b w:val="0"/>
          <w:i w:val="0"/>
          <w:sz w:val="17"/>
        </w:rPr>
        <w:t>Preparatory classes for French business schools (CPGE ECE) - intensive mathematics and economics</w:t>
      </w:r>
    </w:p>
    <w:p>
      <w:pPr>
        <w:spacing w:before="140" w:after="20"/>
        <w:pBdr>
          <w:bottom w:val="single" w:sz="8" w:space="1" w:color="1B3A5C"/>
        </w:pBdr>
      </w:pPr>
      <w:r>
        <w:rPr>
          <w:b/>
          <w:i w:val="0"/>
          <w:color w:val="1B3A5C"/>
          <w:sz w:val="20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BPCE Assurances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Jan - May 2024</w:t>
            </w:r>
          </w:p>
        </w:tc>
      </w:tr>
    </w:tbl>
    <w:p>
      <w:pPr>
        <w:spacing w:before="0" w:after="0"/>
      </w:pPr>
      <w:r>
        <w:rPr>
          <w:b w:val="0"/>
          <w:i w:val="0"/>
          <w:sz w:val="17"/>
        </w:rPr>
        <w:t>Multi-Asset Reporting Analyst (internship) · Paris</w:t>
      </w:r>
    </w:p>
    <w:p>
      <w:pPr>
        <w:spacing w:before="0" w:after="0"/>
      </w:pPr>
      <w:r>
        <w:rPr>
          <w:b w:val="0"/>
          <w:i/>
          <w:color w:val="4A4A4A"/>
          <w:sz w:val="16"/>
        </w:rPr>
        <w:t>Scale: €103bn of life-insurance assets under management, direct business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Daily production of multi-asset reporting for investment committees: FX pairs, equity indices, rates and credit spreads.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Dashboards and Bloomberg BQL extractions on FX forwards and swaps; monitoring of the €STR and SOFR rate curves.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Excel/VBA automation and market materials on trends and volatility.</w:t>
      </w:r>
    </w:p>
    <w:p>
      <w:pPr>
        <w:spacing w:before="0"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SKEMA Business School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Oct - Dec 2025</w:t>
            </w:r>
          </w:p>
        </w:tc>
      </w:tr>
    </w:tbl>
    <w:p>
      <w:pPr>
        <w:spacing w:before="0" w:after="0"/>
      </w:pPr>
      <w:r>
        <w:rPr>
          <w:b w:val="0"/>
          <w:i w:val="0"/>
          <w:sz w:val="17"/>
        </w:rPr>
        <w:t>CRM &amp; Partner Data Assistant · Executive Education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Data cleaning, de-duplication and validation of the partner database.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Updated 537 contact records and 102 company records across the Dubai and Belo Horizonte campuses.</w:t>
      </w:r>
    </w:p>
    <w:p>
      <w:pPr>
        <w:spacing w:before="0"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FinStart.io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Jun - Aug 2023</w:t>
            </w:r>
          </w:p>
        </w:tc>
      </w:tr>
    </w:tbl>
    <w:p>
      <w:pPr>
        <w:spacing w:before="0" w:after="0"/>
      </w:pPr>
      <w:r>
        <w:rPr>
          <w:b w:val="0"/>
          <w:i w:val="0"/>
          <w:sz w:val="17"/>
        </w:rPr>
        <w:t>Sales (internship) · Paris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B2B prospecting targeting independent consultants in finance, accounting, risk and compliance: approx. 100 emails per business day, 500 per week, with full response tracking.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Sourcing and screening of profiles via APEC and LinkedIn; platform invitations.</w:t>
      </w:r>
    </w:p>
    <w:p>
      <w:pPr>
        <w:spacing w:before="0"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SKEMA Job Service Paris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Sep 2022 - Aug 2023</w:t>
            </w:r>
          </w:p>
        </w:tc>
      </w:tr>
    </w:tbl>
    <w:p>
      <w:pPr>
        <w:spacing w:before="0" w:after="0"/>
      </w:pPr>
      <w:r>
        <w:rPr>
          <w:b w:val="0"/>
          <w:i w:val="0"/>
          <w:sz w:val="17"/>
        </w:rPr>
        <w:t>Board Member - HR &amp; Partnerships (fixed-term contract)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B2B prospecting and partnership development for the student staffing offering: pitch, needs qualification, interviews and HR events with SKEMA, EY and Stade de France.</w:t>
      </w:r>
    </w:p>
    <w:p>
      <w:pPr>
        <w:pStyle w:val="ListBullet"/>
        <w:spacing w:before="0" w:after="20"/>
      </w:pPr>
      <w:r>
        <w:rPr>
          <w:b w:val="0"/>
          <w:i w:val="0"/>
          <w:sz w:val="17"/>
        </w:rPr>
        <w:t>Team results H1 2023: €19,100 revenue, 125 students placed across 35 assignments, 5 partners including 4 new (EY, Roadbook, Auverprime, CDEFM).</w:t>
      </w:r>
    </w:p>
    <w:p>
      <w:pPr>
        <w:spacing w:before="0" w:after="0"/>
      </w:pPr>
    </w:p>
    <w:p>
      <w:pPr>
        <w:spacing w:before="140" w:after="20"/>
        <w:pBdr>
          <w:bottom w:val="single" w:sz="8" w:space="1" w:color="1B3A5C"/>
        </w:pBdr>
      </w:pPr>
      <w:r>
        <w:rPr>
          <w:b/>
          <w:i w:val="0"/>
          <w:color w:val="1B3A5C"/>
          <w:sz w:val="20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CalvinX - Cross-Asset Market Terminal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JavaScript</w:t>
            </w:r>
          </w:p>
        </w:tc>
      </w:tr>
    </w:tbl>
    <w:p>
      <w:pPr>
        <w:spacing w:before="0" w:after="80"/>
        <w:jc w:val="both"/>
      </w:pPr>
      <w:r>
        <w:rPr>
          <w:b w:val="0"/>
          <w:i w:val="0"/>
          <w:sz w:val="17"/>
        </w:rPr>
        <w:t>Bloomberg-style dashboard covering FX, equity indices, rates, commodities and volatility, with regime detection and Excel export. Live demo: calvin-minibloomberg.netlify.app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ShockLab - Portfolio Stress-Testing Engine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Python · SQL · Machine Learning</w:t>
            </w:r>
          </w:p>
        </w:tc>
      </w:tr>
    </w:tbl>
    <w:p>
      <w:pPr>
        <w:spacing w:before="0" w:after="80"/>
        <w:jc w:val="both"/>
      </w:pPr>
      <w:r>
        <w:rPr>
          <w:b w:val="0"/>
          <w:i w:val="0"/>
          <w:sz w:val="17"/>
        </w:rPr>
        <w:t>Replays real market analogues (Lehman, COVID, Soleimani) to quantify the P&amp;L impact on a multi-asset portfolio over the 20 days following each shock; SQL event database and interpretable ML.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30"/>
        <w:gridCol w:w="3175"/>
      </w:tblGrid>
      <w:tr>
        <w:tc>
          <w:tcPr>
            <w:tcW w:type="dxa" w:w="7030"/>
          </w:tcPr>
          <w:p>
            <w:pPr>
              <w:spacing w:after="0"/>
            </w:pPr>
            <w:r>
              <w:rPr>
                <w:b/>
                <w:sz w:val="18"/>
              </w:rPr>
              <w:t>Black-Scholes Option Pricer - Options &amp; Greeks</w:t>
            </w:r>
          </w:p>
        </w:tc>
        <w:tc>
          <w:tcPr>
            <w:tcW w:type="dxa" w:w="3175"/>
          </w:tcPr>
          <w:p>
            <w:pPr>
              <w:spacing w:after="0"/>
              <w:jc w:val="right"/>
            </w:pPr>
            <w:r>
              <w:rPr>
                <w:b/>
                <w:color w:val="2E5C8A"/>
                <w:sz w:val="17"/>
              </w:rPr>
              <w:t>Excel · VBA</w:t>
            </w:r>
          </w:p>
        </w:tc>
      </w:tr>
    </w:tbl>
    <w:p>
      <w:pPr>
        <w:spacing w:before="0" w:after="80"/>
        <w:jc w:val="both"/>
      </w:pPr>
      <w:r>
        <w:rPr>
          <w:b w:val="0"/>
          <w:i w:val="0"/>
          <w:sz w:val="17"/>
        </w:rPr>
        <w:t>European option valuation with Delta, Gamma and Vega; used to locate the gamma peak of an option book during the Petrobras oil shock and validated against the March 2020 crash.</w:t>
      </w:r>
    </w:p>
    <w:p>
      <w:pPr>
        <w:spacing w:before="140" w:after="20"/>
        <w:pBdr>
          <w:bottom w:val="single" w:sz="8" w:space="1" w:color="1B3A5C"/>
        </w:pBdr>
      </w:pPr>
      <w:r>
        <w:rPr>
          <w:b/>
          <w:i w:val="0"/>
          <w:color w:val="1B3A5C"/>
          <w:sz w:val="20"/>
        </w:rPr>
        <w:t>SKILLS &amp; CERTIFICATIONS</w:t>
      </w:r>
    </w:p>
    <w:p>
      <w:pPr>
        <w:spacing w:after="20"/>
      </w:pPr>
      <w:r>
        <w:rPr>
          <w:b/>
          <w:sz w:val="17"/>
        </w:rPr>
        <w:t xml:space="preserve">Sales Desk  </w:t>
      </w:r>
      <w:r>
        <w:rPr>
          <w:b w:val="0"/>
          <w:sz w:val="17"/>
        </w:rPr>
        <w:t>B2B prospecting · pitch delivery · needs qualification · response tracking · CRM</w:t>
      </w:r>
    </w:p>
    <w:p>
      <w:pPr>
        <w:spacing w:after="20"/>
      </w:pPr>
      <w:r>
        <w:rPr>
          <w:b/>
          <w:sz w:val="17"/>
        </w:rPr>
        <w:t xml:space="preserve">Markets  </w:t>
      </w:r>
      <w:r>
        <w:rPr>
          <w:b w:val="0"/>
          <w:sz w:val="17"/>
        </w:rPr>
        <w:t>FX (forwards, swaps) · Rates · Fixed Income · equity derivatives · volatility · cross-asset monitoring · market risk (VaR)</w:t>
      </w:r>
    </w:p>
    <w:p>
      <w:pPr>
        <w:spacing w:after="20"/>
      </w:pPr>
      <w:r>
        <w:rPr>
          <w:b/>
          <w:sz w:val="17"/>
        </w:rPr>
        <w:t xml:space="preserve">Tools  </w:t>
      </w:r>
      <w:r>
        <w:rPr>
          <w:b w:val="0"/>
          <w:sz w:val="17"/>
        </w:rPr>
        <w:t>Bloomberg Terminal (BQL) · Excel/VBA · Python (pandas, scikit-learn) · SQL (BigQuery) · R · JavaScript</w:t>
      </w:r>
    </w:p>
    <w:p>
      <w:pPr>
        <w:spacing w:after="20"/>
      </w:pPr>
      <w:r>
        <w:rPr>
          <w:b/>
          <w:sz w:val="17"/>
        </w:rPr>
        <w:t xml:space="preserve">Certifications  </w:t>
      </w:r>
      <w:r>
        <w:rPr>
          <w:b w:val="0"/>
          <w:sz w:val="17"/>
        </w:rPr>
        <w:t>FRM candidate (GARP) · AMF certification in progress · Citi Markets Sales &amp; Trading (Forage) · QuantInsti (Python for Trading; Options Trading Strategies in Python)</w:t>
      </w:r>
    </w:p>
    <w:p>
      <w:pPr>
        <w:spacing w:before="140" w:after="20"/>
        <w:pBdr>
          <w:bottom w:val="single" w:sz="8" w:space="1" w:color="1B3A5C"/>
        </w:pBdr>
      </w:pPr>
      <w:r>
        <w:rPr>
          <w:b/>
          <w:i w:val="0"/>
          <w:color w:val="1B3A5C"/>
          <w:sz w:val="20"/>
        </w:rPr>
        <w:t>LANGUAGES</w:t>
      </w:r>
    </w:p>
    <w:p>
      <w:pPr>
        <w:spacing w:before="0" w:after="0"/>
      </w:pPr>
      <w:r>
        <w:rPr>
          <w:b w:val="0"/>
          <w:i w:val="0"/>
          <w:sz w:val="17"/>
        </w:rPr>
        <w:t>French (native)  ·  English (professional)  ·  Spanish (B2)  ·  Portuguese (basic)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