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rFonts w:ascii="Arial" w:hAnsi="Arial"/>
        </w:rPr>
        <w:t xml:space="preserve">CALVIN MINANG</w:t>
      </w:r>
    </w:p>
    <w:p>
      <w:pPr>
        <w:pStyle w:val="Subtitle"/>
      </w:pPr>
      <w:r>
        <w:rPr>
          <w:rFonts w:ascii="Arial" w:hAnsi="Arial"/>
        </w:rPr>
        <w:t xml:space="preserve">GLOBAL MARKETS SALES | CHANGE, TAUX &amp; DÉRIVÉS ACTIONS</w:t>
      </w:r>
    </w:p>
    <w:p>
      <w:pPr/>
      <w:r>
        <w:rPr>
          <w:rFonts w:ascii="Arial" w:hAnsi="Arial"/>
        </w:rPr>
        <w:t xml:space="preserve">+33 7 52 97 58 09  |  Paris, France  |  LinkedIn : linkedin.com/in/calvin-minang  |  GitHub : github.com/Calvin29990</w:t>
      </w:r>
    </w:p>
    <w:p>
      <w:pPr>
        <w:pStyle w:val="Heading1"/>
      </w:pPr>
      <w:r>
        <w:rPr>
          <w:rFonts w:ascii="Arial" w:hAnsi="Arial"/>
        </w:rPr>
        <w:t xml:space="preserve">PROFIL</w:t>
      </w:r>
    </w:p>
    <w:p>
      <w:pPr/>
      <w:r>
        <w:rPr>
          <w:rFonts w:ascii="Arial" w:hAnsi="Arial"/>
        </w:rPr>
        <w:t xml:space="preserve">Étudiant en MSc à SKEMA, avec une expérience du reporting multi-actifs chez BPCE et du développement commercial dans le recrutement financier et les services aux étudiants. Combine suivi des marchés et automatisation Bloomberg BQL / Excel avec prospection, qualification des besoins et suivi. Cible des postes Global Markets Sales en FX, taux et dérivés actions.</w:t>
      </w:r>
    </w:p>
    <w:p>
      <w:pPr>
        <w:pStyle w:val="Heading1"/>
      </w:pPr>
      <w:r>
        <w:rPr>
          <w:rFonts w:ascii="Arial" w:hAnsi="Arial"/>
        </w:rPr>
        <w:t xml:space="preserve">EXPÉRIENCE</w:t>
      </w:r>
    </w:p>
    <w:p>
      <w:pPr>
        <w:pStyle w:val="Heading2"/>
      </w:pPr>
      <w:r>
        <w:rPr>
          <w:rFonts w:ascii="Arial" w:hAnsi="Arial"/>
        </w:rPr>
        <w:t xml:space="preserve">Assistant CRM &amp; données partenaires | SKEMA Business School | Paris | oct.–déc. 2025</w:t>
      </w:r>
    </w:p>
    <w:p>
      <w:pPr/>
      <w:r>
        <w:rPr>
          <w:rFonts w:ascii="Arial" w:hAnsi="Arial"/>
        </w:rPr>
        <w:t xml:space="preserve">- Nettoyage, vérification et enrichissement de la base partenaires de SKEMA ; qualification et mise à jour de 537 fiches contacts et 102 fiches entreprises.</w:t>
      </w:r>
    </w:p>
    <w:p>
      <w:pPr>
        <w:pStyle w:val="Heading2"/>
      </w:pPr>
      <w:r>
        <w:rPr>
          <w:rFonts w:ascii="Arial" w:hAnsi="Arial"/>
        </w:rPr>
        <w:t xml:space="preserve">Analyste Reporting Multi-Actifs (stage) | BPCE Assurances | Paris | janv.–mai 2024</w:t>
      </w:r>
    </w:p>
    <w:p>
      <w:pPr/>
      <w:r>
        <w:rPr>
          <w:rFonts w:ascii="Arial" w:hAnsi="Arial"/>
        </w:rPr>
        <w:t xml:space="preserve">- Production de reportings cross-asset pour les équipes d’investissement : principales paires FX, indices actions, taux et spreads de crédit.</w:t>
      </w:r>
    </w:p>
    <w:p>
      <w:pPr/>
      <w:r>
        <w:rPr>
          <w:rFonts w:ascii="Arial" w:hAnsi="Arial"/>
        </w:rPr>
        <w:t xml:space="preserve">- Extraction de données Bloomberg BQL sur les forwards et swaps FX ; automatisation de tâches récurrentes avec Excel, XLOOKUP et VBA.</w:t>
      </w:r>
    </w:p>
    <w:p>
      <w:pPr>
        <w:pStyle w:val="Heading2"/>
      </w:pPr>
      <w:r>
        <w:rPr>
          <w:rFonts w:ascii="Arial" w:hAnsi="Arial"/>
        </w:rPr>
        <w:t xml:space="preserve">Commercial (stage) | FinStart.io (B Corp) | Paris | juin–août 2023</w:t>
      </w:r>
    </w:p>
    <w:p>
      <w:pPr/>
      <w:r>
        <w:rPr>
          <w:rFonts w:ascii="Arial" w:hAnsi="Arial"/>
        </w:rPr>
        <w:t xml:space="preserve">- Prospection e-mail à fort volume auprès de consultants indépendants en finance, comptabilité, risque et conformité pour développer le réseau de la marketplace.</w:t>
      </w:r>
    </w:p>
    <w:p>
      <w:pPr/>
      <w:r>
        <w:rPr>
          <w:rFonts w:ascii="Arial" w:hAnsi="Arial"/>
        </w:rPr>
        <w:t xml:space="preserve">- Appui à la veille marché, au sourcing et à la gestion des bases de contacts.</w:t>
      </w:r>
    </w:p>
    <w:p>
      <w:pPr>
        <w:pStyle w:val="Heading2"/>
      </w:pPr>
      <w:r>
        <w:rPr>
          <w:rFonts w:ascii="Arial" w:hAnsi="Arial"/>
        </w:rPr>
        <w:t xml:space="preserve">Membre du bureau — RH &amp; partenariats entreprises | SKEMA Job Service Paris | Temps partiel | sept. 2022–déc. 2024</w:t>
      </w:r>
    </w:p>
    <w:p>
      <w:pPr/>
      <w:r>
        <w:rPr>
          <w:rFonts w:ascii="Arial" w:hAnsi="Arial"/>
        </w:rPr>
        <w:t xml:space="preserve">- Prospection d’entreprises et de cabinets de recrutement via LinkedIn pour les services de staffing étudiant ; présentation de l’offre et qualification des besoins (profils, langues, durée).</w:t>
      </w:r>
    </w:p>
    <w:p>
      <w:pPr/>
      <w:r>
        <w:rPr>
          <w:rFonts w:ascii="Arial" w:hAnsi="Arial"/>
        </w:rPr>
        <w:t xml:space="preserve">- Conduite d’entretiens ; contribution aux événements, aux activités RH et au bilan de l’association.</w:t>
      </w:r>
    </w:p>
    <w:p>
      <w:pPr>
        <w:pStyle w:val="Heading1"/>
      </w:pPr>
      <w:r>
        <w:rPr>
          <w:rFonts w:ascii="Arial" w:hAnsi="Arial"/>
        </w:rPr>
        <w:t xml:space="preserve">FORMATION</w:t>
      </w:r>
    </w:p>
    <w:p>
      <w:pPr>
        <w:pStyle w:val="Heading2"/>
      </w:pPr>
      <w:r>
        <w:rPr>
          <w:rFonts w:ascii="Arial" w:hAnsi="Arial"/>
        </w:rPr>
        <w:t xml:space="preserve">SKEMA Business School | Programme Grande École + MSc Corporate Financial Management | 2022–2026</w:t>
      </w:r>
    </w:p>
    <w:p>
      <w:pPr/>
      <w:r>
        <w:rPr>
          <w:rFonts w:ascii="Arial" w:hAnsi="Arial"/>
        </w:rPr>
        <w:t xml:space="preserve">Cours pertinents : Market Risk (VaR) ; dérivés actions (Black–Scholes, options et Greeks).</w:t>
      </w:r>
    </w:p>
    <w:p>
      <w:pPr>
        <w:pStyle w:val="Heading2"/>
      </w:pPr>
      <w:r>
        <w:rPr>
          <w:rFonts w:ascii="Arial" w:hAnsi="Arial"/>
        </w:rPr>
        <w:t xml:space="preserve">IÉPESUP, Paris | Classe préparatoire ECE, mathématiques et économie intensives | 2021–2022</w:t>
      </w:r>
    </w:p>
    <w:p>
      <w:pPr>
        <w:pStyle w:val="Heading2"/>
      </w:pPr>
      <w:r>
        <w:rPr>
          <w:rFonts w:ascii="Arial" w:hAnsi="Arial"/>
        </w:rPr>
        <w:t xml:space="preserve">Baccalauréat général | Filière scientifique, mathématiques approfondies | 2021</w:t>
      </w:r>
    </w:p>
    <w:p>
      <w:pPr>
        <w:pStyle w:val="Heading1"/>
      </w:pPr>
      <w:r>
        <w:rPr>
          <w:rFonts w:ascii="Arial" w:hAnsi="Arial"/>
        </w:rPr>
        <w:t xml:space="preserve">COMPÉTENCES MARCHÉS &amp; COMMERCIALES</w:t>
      </w:r>
    </w:p>
    <w:p>
      <w:pPr/>
      <w:r>
        <w:rPr>
          <w:rFonts w:ascii="Arial" w:hAnsi="Arial"/>
        </w:rPr>
        <w:t xml:space="preserve">Commercial : prospection B2B ; prise de contact ; présentation d’offre ; qualification des besoins ; suivi ; CRM et gestion des données contacts.</w:t>
      </w:r>
    </w:p>
    <w:p>
      <w:pPr/>
      <w:r>
        <w:rPr>
          <w:rFonts w:ascii="Arial" w:hAnsi="Arial"/>
        </w:rPr>
        <w:t xml:space="preserve">Marchés : forwards et swaps FX ; taux ; dérivés actions ; options et Greeks ; volatilité ; suivi cross-asset.</w:t>
      </w:r>
    </w:p>
    <w:p>
      <w:pPr/>
      <w:r>
        <w:rPr>
          <w:rFonts w:ascii="Arial" w:hAnsi="Arial"/>
        </w:rPr>
        <w:t xml:space="preserve">Outils : Bloomberg BQL ; Excel / VBA ; Python (pandas, scikit-learn) ; SQL / BigQuery ; R ; JavaScript.</w:t>
      </w:r>
    </w:p>
    <w:p>
      <w:pPr>
        <w:pStyle w:val="Heading1"/>
      </w:pPr>
      <w:r>
        <w:rPr>
          <w:rFonts w:ascii="Arial" w:hAnsi="Arial"/>
        </w:rPr>
        <w:t xml:space="preserve">PROJETS SÉLECTIONNÉS</w:t>
      </w:r>
    </w:p>
    <w:p>
      <w:pPr/>
      <w:r>
        <w:rPr>
          <w:rFonts w:ascii="Arial" w:hAnsi="Arial"/>
        </w:rPr>
        <w:t xml:space="preserve">- Pricer Black–Scholes options &amp; Greeks (Excel / VBA) : valorisation d’options européennes et analyse Delta, Gamma et Vega.</w:t>
      </w:r>
    </w:p>
    <w:p>
      <w:pPr/>
      <w:hyperlink r:id="rId2">
        <w:r>
          <w:rPr>
            <w:color w:val="17304F"/>
            <w:u w:val="single"/>
          </w:rPr>
          <w:t xml:space="preserve">CalvinX Cross-Asset Market Dashboard (JavaScript) | GitHub : github.com/Calvin29990/calvinx-market-terminal</w:t>
        </w:r>
      </w:hyperlink>
    </w:p>
    <w:p>
      <w:pPr>
        <w:pStyle w:val="Heading1"/>
      </w:pPr>
      <w:r>
        <w:rPr>
          <w:rFonts w:ascii="Arial" w:hAnsi="Arial"/>
        </w:rPr>
        <w:t xml:space="preserve">EXPÉRIENCE COMPLÉMENTAIRE</w:t>
      </w:r>
    </w:p>
    <w:p>
      <w:pPr/>
      <w:r>
        <w:rPr>
          <w:rFonts w:ascii="Arial" w:hAnsi="Arial"/>
        </w:rPr>
        <w:t xml:space="preserve">Major Prépa | Rédacteur contributeur indépendant (autoentrepreneur ; environ un an) : recherche, synthèse et vulgarisation en finance et économie.</w:t>
      </w:r>
    </w:p>
    <w:p>
      <w:pPr>
        <w:pStyle w:val="Heading1"/>
      </w:pPr>
      <w:r>
        <w:rPr>
          <w:rFonts w:ascii="Arial" w:hAnsi="Arial"/>
        </w:rPr>
        <w:t xml:space="preserve">CERTIFICATIONS</w:t>
      </w:r>
    </w:p>
    <w:p>
      <w:pPr/>
      <w:r>
        <w:rPr>
          <w:rFonts w:ascii="Arial" w:hAnsi="Arial"/>
        </w:rPr>
        <w:t xml:space="preserve">Candidat au programme FRM (GARP) ; certification AMF en cours ; Citi Markets Sales &amp; Trading (Forage) ; QuantInsti Python for Trading.</w:t>
      </w:r>
    </w:p>
    <w:p>
      <w:pPr>
        <w:pStyle w:val="Heading1"/>
      </w:pPr>
      <w:r>
        <w:rPr>
          <w:rFonts w:ascii="Arial" w:hAnsi="Arial"/>
        </w:rPr>
        <w:t xml:space="preserve">LANGUES</w:t>
      </w:r>
    </w:p>
    <w:p>
      <w:pPr/>
      <w:r>
        <w:rPr>
          <w:rFonts w:ascii="Arial" w:hAnsi="Arial"/>
        </w:rPr>
        <w:t xml:space="preserve">Français : langue maternelle | Anglais : usage professionnel (autoévaluation B2–C1) | Espagnol : B2 | Portugais : notions.</w:t>
      </w:r>
    </w:p>
    <w:sectPr>
      <w:pgSz w:w="11906" w:h="16838"/>
      <w:pgMar w:top="540" w:right="720" w:bottom="540" w:left="720" w:header="300" w:footer="3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2" w:line="220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color w:val="17304F"/>
      <w:sz w:val="36"/>
    </w:rPr>
    <w:pPr>
      <w:spacing w:after="35"/>
    </w:pPr>
  </w:style>
  <w:style w:type="paragraph" w:styleId="Subtitle">
    <w:name w:val="Subtitle"/>
    <w:rPr>
      <w:b/>
      <w:sz w:val="21"/>
    </w:rPr>
    <w:pPr>
      <w:spacing w:after="30"/>
    </w:pPr>
  </w:style>
  <w:style w:type="paragraph" w:styleId="Heading1">
    <w:name w:val="heading 1"/>
    <w:basedOn w:val="Normal"/>
    <w:next w:val="Normal"/>
    <w:qFormat/>
    <w:pPr>
      <w:keepNext/>
      <w:spacing w:before="115" w:after="35"/>
    </w:pPr>
    <w:rPr>
      <w:b/>
      <w:color w:val="17304F"/>
      <w:sz w:val="20"/>
    </w:rPr>
  </w:style>
  <w:style w:type="paragraph" w:styleId="Heading2">
    <w:name w:val="heading 2"/>
    <w:basedOn w:val="Normal"/>
    <w:next w:val="Normal"/>
    <w:qFormat/>
    <w:pPr>
      <w:keepNext/>
      <w:spacing w:before="30" w:after="0"/>
    </w:pPr>
    <w:rPr>
      <w:b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lvin29990/calvinx-market-terminal" TargetMode="External"/></Relationships>
</file>