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3D8" w:rsidRPr="00790031" w:rsidRDefault="009245F7" w:rsidP="009245F7">
      <w:pPr>
        <w:jc w:val="center"/>
        <w:rPr>
          <w:b/>
        </w:rPr>
      </w:pPr>
      <w:r w:rsidRPr="00790031">
        <w:rPr>
          <w:b/>
        </w:rPr>
        <w:t>Summary of Studies: Embryo versus Sham Control Mice &amp; Sham Control versus TAC Mice</w:t>
      </w:r>
    </w:p>
    <w:p w:rsidR="009245F7" w:rsidRPr="00790031" w:rsidRDefault="009245F7" w:rsidP="009245F7">
      <w:pPr>
        <w:rPr>
          <w:b/>
        </w:rPr>
      </w:pPr>
      <w:r w:rsidRPr="00790031">
        <w:rPr>
          <w:b/>
        </w:rPr>
        <w:t>Introduction</w:t>
      </w:r>
    </w:p>
    <w:p w:rsidR="009245F7" w:rsidRDefault="00CD78DF" w:rsidP="009245F7">
      <w:r>
        <w:tab/>
        <w:t xml:space="preserve">In this part of the study samples were taken from study GSE58455. Treatments of embryonic mice hearts and Sham control mice were compared </w:t>
      </w:r>
      <w:r w:rsidR="00E41DA2">
        <w:t xml:space="preserve">to one another, as well as Sham control mice and Transverse Aortic </w:t>
      </w:r>
      <w:r w:rsidR="00E95A46">
        <w:t>Constriction</w:t>
      </w:r>
      <w:r w:rsidR="00E41DA2">
        <w:t xml:space="preserve"> (TAC) mice. The objective was to observe any differentially expressed genes from a list of genes of </w:t>
      </w:r>
      <w:r w:rsidR="00F035E7">
        <w:t>interest (</w:t>
      </w:r>
      <w:r w:rsidR="004D0811">
        <w:t>F</w:t>
      </w:r>
      <w:r w:rsidR="00E411C6">
        <w:t>igure</w:t>
      </w:r>
      <w:r w:rsidR="004D0811">
        <w:t>s 3&amp;4</w:t>
      </w:r>
      <w:r w:rsidR="00E411C6">
        <w:t>)</w:t>
      </w:r>
      <w:r w:rsidR="00E41DA2">
        <w:t xml:space="preserve">. Samples were put into a comparison program for analysis that </w:t>
      </w:r>
      <w:r w:rsidR="004D0811">
        <w:t>yielded results shown in (Figures 1&amp;2) below are</w:t>
      </w:r>
      <w:r w:rsidR="00E411C6">
        <w:t xml:space="preserve"> an example of expression results gathered</w:t>
      </w:r>
      <w:r w:rsidR="00F035E7">
        <w:t>.</w:t>
      </w:r>
    </w:p>
    <w:p w:rsidR="00F035E7" w:rsidRDefault="00F84D5C" w:rsidP="00F035E7">
      <w:r>
        <w:rPr>
          <w:noProof/>
        </w:rPr>
        <w:drawing>
          <wp:anchor distT="0" distB="0" distL="114300" distR="114300" simplePos="0" relativeHeight="251658240" behindDoc="1" locked="0" layoutInCell="1" allowOverlap="1" wp14:anchorId="069BE7CD" wp14:editId="26186410">
            <wp:simplePos x="0" y="0"/>
            <wp:positionH relativeFrom="column">
              <wp:posOffset>-228600</wp:posOffset>
            </wp:positionH>
            <wp:positionV relativeFrom="paragraph">
              <wp:posOffset>1155700</wp:posOffset>
            </wp:positionV>
            <wp:extent cx="6457950" cy="2743200"/>
            <wp:effectExtent l="0" t="0" r="19050" b="19050"/>
            <wp:wrapTight wrapText="bothSides">
              <wp:wrapPolygon edited="0">
                <wp:start x="0" y="0"/>
                <wp:lineTo x="0" y="21600"/>
                <wp:lineTo x="21600" y="21600"/>
                <wp:lineTo x="2160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F035E7" w:rsidRPr="00043EC9">
        <w:t>Below are</w:t>
      </w:r>
      <w:r w:rsidR="00043EC9">
        <w:t xml:space="preserve"> charts</w:t>
      </w:r>
      <w:r w:rsidR="00F035E7" w:rsidRPr="00043EC9">
        <w:t xml:space="preserve"> outlining expression</w:t>
      </w:r>
      <w:r w:rsidR="00043EC9">
        <w:t xml:space="preserve"> of WWP1 throughout </w:t>
      </w:r>
      <w:proofErr w:type="gramStart"/>
      <w:r w:rsidR="00043EC9">
        <w:t>development.</w:t>
      </w:r>
      <w:proofErr w:type="gramEnd"/>
      <w:r w:rsidR="00F035E7" w:rsidRPr="00043EC9">
        <w:t xml:space="preserve"> In both experiments transcript ENSMUST00000035982 (minus exons 6&amp;7) was differentially ex</w:t>
      </w:r>
      <w:r w:rsidR="00043EC9">
        <w:t>pressed with an increase</w:t>
      </w:r>
      <w:r w:rsidR="00F035E7" w:rsidRPr="00043EC9">
        <w:t xml:space="preserve"> in Embryo versus Sham and </w:t>
      </w:r>
      <w:r w:rsidR="00043EC9">
        <w:t>a decrease in Embryo versus TAC. T</w:t>
      </w:r>
      <w:r w:rsidR="00F035E7" w:rsidRPr="00043EC9">
        <w:t>ranscripts ENSMUST00000108246 (full length) and</w:t>
      </w:r>
      <w:r w:rsidR="00043EC9">
        <w:t xml:space="preserve"> ENMUSTTV074090 (minus exon 14) and</w:t>
      </w:r>
      <w:r w:rsidR="00F035E7" w:rsidRPr="00043EC9">
        <w:t xml:space="preserve"> </w:t>
      </w:r>
      <w:r>
        <w:t>ENSMUSTTV074090 (minus exon 9</w:t>
      </w:r>
      <w:r w:rsidR="00F035E7" w:rsidRPr="00043EC9">
        <w:t xml:space="preserve">) </w:t>
      </w:r>
      <w:r w:rsidR="00043EC9">
        <w:t>were not differentially expressed in the analysis.</w:t>
      </w:r>
    </w:p>
    <w:p w:rsidR="00FB6C10" w:rsidRPr="00043EC9" w:rsidRDefault="00FB6C10" w:rsidP="00F035E7">
      <w:r>
        <w:t>Figure 1</w:t>
      </w:r>
      <w:r w:rsidR="004D0811">
        <w:t xml:space="preserve"> [WWP1 Expression levels in Sham Versus TAC]</w:t>
      </w:r>
    </w:p>
    <w:p w:rsidR="00F035E7" w:rsidRDefault="001A38DD" w:rsidP="009245F7">
      <w:r>
        <w:rPr>
          <w:noProof/>
        </w:rPr>
        <w:lastRenderedPageBreak/>
        <w:drawing>
          <wp:inline distT="0" distB="0" distL="0" distR="0" wp14:anchorId="41281EF3" wp14:editId="3B3819EF">
            <wp:extent cx="6305550" cy="2827655"/>
            <wp:effectExtent l="0" t="0" r="19050" b="1079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B6C10" w:rsidRDefault="00FB6C10" w:rsidP="009245F7">
      <w:r>
        <w:t>Figure 2</w:t>
      </w:r>
      <w:r w:rsidR="004D0811">
        <w:t xml:space="preserve"> [WWP1 Expression Levels Embryo versus Sham]</w:t>
      </w:r>
    </w:p>
    <w:p w:rsidR="001A38DD" w:rsidRPr="00790031" w:rsidRDefault="006C0DF3" w:rsidP="009245F7">
      <w:pPr>
        <w:rPr>
          <w:b/>
        </w:rPr>
      </w:pPr>
      <w:r w:rsidRPr="00790031">
        <w:rPr>
          <w:b/>
        </w:rPr>
        <w:t>Methods</w:t>
      </w:r>
    </w:p>
    <w:p w:rsidR="00B321A8" w:rsidRDefault="006C0DF3" w:rsidP="009245F7">
      <w:r>
        <w:t xml:space="preserve">Samples were downloaded from the study GSE58455 from NCBI. Datasets were processed through a Next Generation Sequencing Workflow </w:t>
      </w:r>
      <w:r w:rsidR="00D63CE4">
        <w:t xml:space="preserve">and </w:t>
      </w:r>
      <w:r w:rsidR="00740178">
        <w:t>analyzed</w:t>
      </w:r>
      <w:r w:rsidR="00D63CE4">
        <w:t xml:space="preserve"> to observe differentially expressed genes</w:t>
      </w:r>
      <w:r w:rsidR="007A73D8">
        <w:t xml:space="preserve"> (DEGs)</w:t>
      </w:r>
      <w:r w:rsidR="00D63CE4">
        <w:t>.</w:t>
      </w:r>
      <w:r w:rsidR="007A73D8">
        <w:t xml:space="preserve"> </w:t>
      </w:r>
    </w:p>
    <w:p w:rsidR="0036146C" w:rsidRPr="00790031" w:rsidRDefault="00B321A8" w:rsidP="009245F7">
      <w:pPr>
        <w:rPr>
          <w:b/>
        </w:rPr>
      </w:pPr>
      <w:r w:rsidRPr="00790031">
        <w:rPr>
          <w:b/>
        </w:rPr>
        <w:t>GSE58455 Results</w:t>
      </w:r>
      <w:r w:rsidR="0036146C" w:rsidRPr="00790031">
        <w:rPr>
          <w:b/>
        </w:rPr>
        <w:t xml:space="preserve"> Embryo versus Sham</w:t>
      </w:r>
    </w:p>
    <w:p w:rsidR="008F0B83" w:rsidRDefault="000B77C4" w:rsidP="009245F7">
      <w:r>
        <w:t>Positive control</w:t>
      </w:r>
      <w:r w:rsidR="00516F1D">
        <w:t>s</w:t>
      </w:r>
      <w:r>
        <w:t xml:space="preserve"> NPPA </w:t>
      </w:r>
      <w:r w:rsidR="008F0B83">
        <w:t>and ACTB are</w:t>
      </w:r>
      <w:r>
        <w:t xml:space="preserve"> differentially expressed with higher expression</w:t>
      </w:r>
      <w:r w:rsidR="008F0B83">
        <w:t xml:space="preserve"> levels displayed</w:t>
      </w:r>
      <w:r>
        <w:t xml:space="preserve"> in the embryo sample. However NPPB is differentially expressed with higher expression in the Sham mouse</w:t>
      </w:r>
      <w:r w:rsidR="000345C7">
        <w:t>, this matches the fold variance in the literature</w:t>
      </w:r>
      <w:r>
        <w:t>.</w:t>
      </w:r>
      <w:r w:rsidR="008F0B83">
        <w:t xml:space="preserve"> Myh7 and SLC2A1 (GLUT1) were not differentially expressed in the sample comparison, so there is no way to see if there was an inverse expression of SLC2A1 (GLUT1) with SLC2A4 (GLUT4).</w:t>
      </w:r>
    </w:p>
    <w:p w:rsidR="00FB6C10" w:rsidRDefault="008F0B83" w:rsidP="009245F7">
      <w:r>
        <w:t>WWP1 in this experiment only had one transcript differentially expressed (</w:t>
      </w:r>
      <w:r w:rsidRPr="00043EC9">
        <w:t>ENSMUST00000035982</w:t>
      </w:r>
      <w:r>
        <w:t>) mentioned in the introduction.</w:t>
      </w:r>
    </w:p>
    <w:p w:rsidR="00790031" w:rsidRPr="00790031" w:rsidRDefault="00790031" w:rsidP="009245F7">
      <w:pPr>
        <w:rPr>
          <w:b/>
        </w:rPr>
      </w:pPr>
      <w:r w:rsidRPr="00790031">
        <w:rPr>
          <w:b/>
        </w:rPr>
        <w:t>GSE58455 Results Sham versus TAC</w:t>
      </w:r>
    </w:p>
    <w:p w:rsidR="00790031" w:rsidRDefault="00790031" w:rsidP="009245F7">
      <w:r>
        <w:t xml:space="preserve">All positive controls (ACTB, NPPA, </w:t>
      </w:r>
      <w:r w:rsidR="00B11BFD">
        <w:t>and NPPB</w:t>
      </w:r>
      <w:r>
        <w:t>) correlate with the literature, and exhibit an increase in expression in the TAC samples. Again SLC2A1 (GLUT1) was not differentially expressed so there is no way to show an inverse relationship with SLC2A4 (GLUT4) expression.</w:t>
      </w:r>
    </w:p>
    <w:p w:rsidR="00790031" w:rsidRDefault="00790031" w:rsidP="00790031">
      <w:r>
        <w:t>WWP1 in this experiment only had one transcript differentially expressed (</w:t>
      </w:r>
      <w:r w:rsidRPr="00043EC9">
        <w:t>ENSMUST00000035982</w:t>
      </w:r>
      <w:r>
        <w:t>) also mentioned in the introduction.</w:t>
      </w:r>
    </w:p>
    <w:p w:rsidR="00790031" w:rsidRDefault="00790031" w:rsidP="009245F7"/>
    <w:p w:rsidR="00FB6C10" w:rsidRDefault="00FB6C10" w:rsidP="009245F7"/>
    <w:p w:rsidR="00B321A8" w:rsidRDefault="00FB6C10" w:rsidP="00FB6C10">
      <w:r>
        <w:br w:type="page"/>
      </w:r>
      <w:r w:rsidR="004D0811">
        <w:rPr>
          <w:noProof/>
        </w:rPr>
        <w:lastRenderedPageBreak/>
        <mc:AlternateContent>
          <mc:Choice Requires="wps">
            <w:drawing>
              <wp:anchor distT="0" distB="0" distL="114300" distR="114300" simplePos="0" relativeHeight="251660288" behindDoc="0" locked="0" layoutInCell="1" allowOverlap="1" wp14:anchorId="503843E2" wp14:editId="19912499">
                <wp:simplePos x="0" y="0"/>
                <wp:positionH relativeFrom="column">
                  <wp:posOffset>-2706053</wp:posOffset>
                </wp:positionH>
                <wp:positionV relativeFrom="paragraph">
                  <wp:posOffset>4449762</wp:posOffset>
                </wp:positionV>
                <wp:extent cx="5334000" cy="276225"/>
                <wp:effectExtent l="0" t="4763" r="14288" b="14287"/>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334000" cy="276225"/>
                        </a:xfrm>
                        <a:prstGeom prst="rect">
                          <a:avLst/>
                        </a:prstGeom>
                        <a:solidFill>
                          <a:srgbClr val="FFFFFF"/>
                        </a:solidFill>
                        <a:ln w="9525">
                          <a:solidFill>
                            <a:schemeClr val="bg1"/>
                          </a:solidFill>
                          <a:miter lim="800000"/>
                          <a:headEnd/>
                          <a:tailEnd/>
                        </a:ln>
                      </wps:spPr>
                      <wps:txbx>
                        <w:txbxContent>
                          <w:p w:rsidR="004D0811" w:rsidRDefault="004D0811">
                            <w:r>
                              <w:t>Figure 3 [Differentially expressed genes in study Embryo versus Sham Mice]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3.1pt;margin-top:350.35pt;width:420pt;height:21.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" strokecolor="white [3212]">
                <v:textbox>
                  <w:txbxContent>
                    <w:p w:rsidR="004D0811" w:rsidRDefault="004D0811">
                      <w:r>
                        <w:t>Figure 3 [Differentially expressed genes in study Embryo versus Sham Mice]</w:t>
                      </w:r>
                    </w:p>
                  </w:txbxContent>
                </v:textbox>
              </v:shape>
            </w:pict>
          </mc:Fallback>
        </mc:AlternateContent>
      </w:r>
      <w:r>
        <w:rPr>
          <w:noProof/>
        </w:rPr>
        <w:drawing>
          <wp:inline distT="0" distB="0" distL="0" distR="0" wp14:anchorId="7035BFD8" wp14:editId="590DBF7F">
            <wp:extent cx="8936038" cy="5932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939986" cy="5935341"/>
                    </a:xfrm>
                    <a:prstGeom prst="rect">
                      <a:avLst/>
                    </a:prstGeom>
                    <a:noFill/>
                  </pic:spPr>
                </pic:pic>
              </a:graphicData>
            </a:graphic>
          </wp:inline>
        </w:drawing>
      </w:r>
    </w:p>
    <w:p w:rsidR="00FB6C10" w:rsidRPr="00FB6C10" w:rsidRDefault="004D0811" w:rsidP="00FB6C10">
      <w:pPr>
        <w:tabs>
          <w:tab w:val="left" w:pos="7845"/>
        </w:tabs>
      </w:pPr>
      <w:r>
        <w:rPr>
          <w:noProof/>
        </w:rPr>
        <w:lastRenderedPageBreak/>
        <mc:AlternateContent>
          <mc:Choice Requires="wps">
            <w:drawing>
              <wp:anchor distT="0" distB="0" distL="114300" distR="114300" simplePos="0" relativeHeight="251662336" behindDoc="0" locked="0" layoutInCell="1" allowOverlap="1" wp14:anchorId="3505EF1C" wp14:editId="3FB2DF29">
                <wp:simplePos x="0" y="0"/>
                <wp:positionH relativeFrom="column">
                  <wp:posOffset>-2730182</wp:posOffset>
                </wp:positionH>
                <wp:positionV relativeFrom="paragraph">
                  <wp:posOffset>3972876</wp:posOffset>
                </wp:positionV>
                <wp:extent cx="5334000" cy="276225"/>
                <wp:effectExtent l="0" t="4763" r="14288" b="14287"/>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5334000" cy="276225"/>
                        </a:xfrm>
                        <a:prstGeom prst="rect">
                          <a:avLst/>
                        </a:prstGeom>
                        <a:solidFill>
                          <a:srgbClr val="FFFFFF"/>
                        </a:solidFill>
                        <a:ln w="9525">
                          <a:solidFill>
                            <a:schemeClr val="bg1"/>
                          </a:solidFill>
                          <a:miter lim="800000"/>
                          <a:headEnd/>
                          <a:tailEnd/>
                        </a:ln>
                      </wps:spPr>
                      <wps:txbx>
                        <w:txbxContent>
                          <w:p w:rsidR="004D0811" w:rsidRDefault="004D0811" w:rsidP="004D0811">
                            <w:r>
                              <w:t>Figure 4</w:t>
                            </w:r>
                            <w:r>
                              <w:t xml:space="preserve"> [Differentially expressed genes in study </w:t>
                            </w:r>
                            <w:r>
                              <w:t>Sham versus TAC Mice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14.95pt;margin-top:312.8pt;width:420pt;height:21.7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" strokecolor="white [3212]">
                <v:textbox>
                  <w:txbxContent>
                    <w:p w:rsidR="004D0811" w:rsidRDefault="004D0811" w:rsidP="004D0811">
                      <w:r>
                        <w:t>Figure 4</w:t>
                      </w:r>
                      <w:r>
                        <w:t xml:space="preserve"> [Differentially expressed genes in study </w:t>
                      </w:r>
                      <w:r>
                        <w:t>Sham versus TAC Mice</w:t>
                      </w:r>
                      <w:r>
                        <w:t>]</w:t>
                      </w:r>
                    </w:p>
                  </w:txbxContent>
                </v:textbox>
              </v:shape>
            </w:pict>
          </mc:Fallback>
        </mc:AlternateContent>
      </w:r>
      <w:r w:rsidR="00FB6C10">
        <w:rPr>
          <w:noProof/>
        </w:rPr>
        <w:drawing>
          <wp:inline distT="0" distB="0" distL="0" distR="0" wp14:anchorId="2BBB0DBC">
            <wp:extent cx="8337233" cy="5297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342166" cy="5300149"/>
                    </a:xfrm>
                    <a:prstGeom prst="rect">
                      <a:avLst/>
                    </a:prstGeom>
                    <a:noFill/>
                  </pic:spPr>
                </pic:pic>
              </a:graphicData>
            </a:graphic>
          </wp:inline>
        </w:drawing>
      </w:r>
      <w:bookmarkStart w:id="0" w:name="_GoBack"/>
      <w:bookmarkEnd w:id="0"/>
    </w:p>
    <w:sectPr w:rsidR="00FB6C10" w:rsidRPr="00FB6C10" w:rsidSect="00FB6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5F7"/>
    <w:rsid w:val="000345C7"/>
    <w:rsid w:val="00043EC9"/>
    <w:rsid w:val="000B77C4"/>
    <w:rsid w:val="001A38DD"/>
    <w:rsid w:val="00224899"/>
    <w:rsid w:val="003342BC"/>
    <w:rsid w:val="0036146C"/>
    <w:rsid w:val="004D0811"/>
    <w:rsid w:val="00516F1D"/>
    <w:rsid w:val="006C0DF3"/>
    <w:rsid w:val="00740178"/>
    <w:rsid w:val="00790031"/>
    <w:rsid w:val="007A73D8"/>
    <w:rsid w:val="008869A5"/>
    <w:rsid w:val="008F0B83"/>
    <w:rsid w:val="009245F7"/>
    <w:rsid w:val="00AE4881"/>
    <w:rsid w:val="00B11BFD"/>
    <w:rsid w:val="00B321A8"/>
    <w:rsid w:val="00CD78DF"/>
    <w:rsid w:val="00D63CE4"/>
    <w:rsid w:val="00E411C6"/>
    <w:rsid w:val="00E41DA2"/>
    <w:rsid w:val="00E95A46"/>
    <w:rsid w:val="00F035E7"/>
    <w:rsid w:val="00F84D5C"/>
    <w:rsid w:val="00FB6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0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8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0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08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720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Calvin\Box%20Sync\Mouse%20Study\isoform_exp_ShamvTAC3-2-1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alvin\Box%20Sync\Mouse%20Study\isoform_exp_EmbryovSham3-1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Sheet2!$B$13</c:f>
              <c:strCache>
                <c:ptCount val="1"/>
                <c:pt idx="0">
                  <c:v>sham_12wk</c:v>
                </c:pt>
              </c:strCache>
            </c:strRef>
          </c:tx>
          <c:spPr>
            <a:solidFill>
              <a:schemeClr val="tx1"/>
            </a:solidFill>
            <a:ln>
              <a:noFill/>
            </a:ln>
            <a:effectLst>
              <a:glow rad="127000">
                <a:schemeClr val="tx1">
                  <a:alpha val="0"/>
                </a:schemeClr>
              </a:glow>
            </a:effectLst>
          </c:spPr>
          <c:invertIfNegative val="0"/>
          <c:dLbls>
            <c:dLbl>
              <c:idx val="0"/>
              <c:tx>
                <c:rich>
                  <a:bodyPr/>
                  <a:lstStyle/>
                  <a:p>
                    <a:r>
                      <a:rPr lang="en-US"/>
                      <a:t>374</a:t>
                    </a:r>
                    <a:r>
                      <a:rPr lang="en-US" sz="1050"/>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Sheet2!$A$14:$A$17</c:f>
              <c:strCache>
                <c:ptCount val="4"/>
                <c:pt idx="0">
                  <c:v>ENSMUST00000035982</c:v>
                </c:pt>
                <c:pt idx="1">
                  <c:v>ENSMUST00000108246</c:v>
                </c:pt>
                <c:pt idx="2">
                  <c:v>ENSMUSTTV074089</c:v>
                </c:pt>
                <c:pt idx="3">
                  <c:v>ENSMUSTTV074090</c:v>
                </c:pt>
              </c:strCache>
            </c:strRef>
          </c:cat>
          <c:val>
            <c:numRef>
              <c:f>Sheet2!$B$14:$B$17</c:f>
              <c:numCache>
                <c:formatCode>General</c:formatCode>
                <c:ptCount val="4"/>
                <c:pt idx="0">
                  <c:v>374.39</c:v>
                </c:pt>
                <c:pt idx="1">
                  <c:v>70.410600000000002</c:v>
                </c:pt>
                <c:pt idx="2">
                  <c:v>0</c:v>
                </c:pt>
                <c:pt idx="3">
                  <c:v>28.468</c:v>
                </c:pt>
              </c:numCache>
            </c:numRef>
          </c:val>
        </c:ser>
        <c:ser>
          <c:idx val="1"/>
          <c:order val="1"/>
          <c:tx>
            <c:strRef>
              <c:f>Sheet2!$C$13</c:f>
              <c:strCache>
                <c:ptCount val="1"/>
                <c:pt idx="0">
                  <c:v>TAC4wk_12wk</c:v>
                </c:pt>
              </c:strCache>
            </c:strRef>
          </c:tx>
          <c:spPr>
            <a:pattFill prst="ltDnDiag">
              <a:fgClr>
                <a:schemeClr val="tx1"/>
              </a:fgClr>
              <a:bgClr>
                <a:schemeClr val="bg1"/>
              </a:bgClr>
            </a:pattFill>
            <a:ln>
              <a:solidFill>
                <a:schemeClr val="tx1"/>
              </a:solidFill>
            </a:ln>
            <a:effectLst>
              <a:innerShdw blurRad="114300">
                <a:schemeClr val="tx1">
                  <a:alpha val="0"/>
                </a:schemeClr>
              </a:innerShdw>
            </a:effectLst>
          </c:spPr>
          <c:invertIfNegative val="0"/>
          <c:dLbls>
            <c:dLbl>
              <c:idx val="0"/>
              <c:tx>
                <c:rich>
                  <a:bodyPr/>
                  <a:lstStyle/>
                  <a:p>
                    <a:r>
                      <a:rPr lang="en-US"/>
                      <a:t>248</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Sheet2!$A$14:$A$17</c:f>
              <c:strCache>
                <c:ptCount val="4"/>
                <c:pt idx="0">
                  <c:v>ENSMUST00000035982</c:v>
                </c:pt>
                <c:pt idx="1">
                  <c:v>ENSMUST00000108246</c:v>
                </c:pt>
                <c:pt idx="2">
                  <c:v>ENSMUSTTV074089</c:v>
                </c:pt>
                <c:pt idx="3">
                  <c:v>ENSMUSTTV074090</c:v>
                </c:pt>
              </c:strCache>
            </c:strRef>
          </c:cat>
          <c:val>
            <c:numRef>
              <c:f>Sheet2!$C$14:$C$17</c:f>
              <c:numCache>
                <c:formatCode>General</c:formatCode>
                <c:ptCount val="4"/>
                <c:pt idx="0">
                  <c:v>248.12899999999999</c:v>
                </c:pt>
                <c:pt idx="1">
                  <c:v>42.893599999999999</c:v>
                </c:pt>
                <c:pt idx="2">
                  <c:v>0</c:v>
                </c:pt>
                <c:pt idx="3">
                  <c:v>41.025700000000001</c:v>
                </c:pt>
              </c:numCache>
            </c:numRef>
          </c:val>
        </c:ser>
        <c:dLbls>
          <c:dLblPos val="outEnd"/>
          <c:showLegendKey val="0"/>
          <c:showVal val="1"/>
          <c:showCatName val="0"/>
          <c:showSerName val="0"/>
          <c:showPercent val="0"/>
          <c:showBubbleSize val="0"/>
        </c:dLbls>
        <c:gapWidth val="164"/>
        <c:overlap val="-22"/>
        <c:axId val="135932544"/>
        <c:axId val="135985408"/>
      </c:barChart>
      <c:catAx>
        <c:axId val="13593254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Transcript ID</a:t>
                </a:r>
              </a:p>
            </c:rich>
          </c:tx>
          <c:overlay val="0"/>
          <c:spPr>
            <a:noFill/>
            <a:ln>
              <a:noFill/>
            </a:ln>
            <a:effectLst/>
          </c:sp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985408"/>
        <c:crosses val="autoZero"/>
        <c:auto val="1"/>
        <c:lblAlgn val="ctr"/>
        <c:lblOffset val="100"/>
        <c:noMultiLvlLbl val="0"/>
      </c:catAx>
      <c:valAx>
        <c:axId val="135985408"/>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Count (FPKM)</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932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1"/>
          <c:order val="0"/>
          <c:tx>
            <c:strRef>
              <c:f>Sheet2!$F$1</c:f>
              <c:strCache>
                <c:ptCount val="1"/>
                <c:pt idx="0">
                  <c:v>Embryo_13.5_18</c:v>
                </c:pt>
              </c:strCache>
            </c:strRef>
          </c:tx>
          <c:spPr>
            <a:solidFill>
              <a:schemeClr val="tx1"/>
            </a:solidFill>
            <a:ln>
              <a:noFill/>
            </a:ln>
            <a:effectLst>
              <a:glow rad="127000">
                <a:schemeClr val="accent1">
                  <a:alpha val="0"/>
                </a:schemeClr>
              </a:glow>
            </a:effectLst>
          </c:spPr>
          <c:invertIfNegative val="0"/>
          <c:dLbls>
            <c:dLbl>
              <c:idx val="0"/>
              <c:tx>
                <c:rich>
                  <a:bodyPr/>
                  <a:lstStyle/>
                  <a:p>
                    <a:r>
                      <a:rPr lang="en-US"/>
                      <a:t>160</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Sheet2!$B$1:$B$4</c:f>
              <c:strCache>
                <c:ptCount val="4"/>
                <c:pt idx="0">
                  <c:v>ENSMUST00000035982</c:v>
                </c:pt>
                <c:pt idx="1">
                  <c:v>ENSMUST00000108246</c:v>
                </c:pt>
                <c:pt idx="2">
                  <c:v>ENSMUSTTV074089</c:v>
                </c:pt>
                <c:pt idx="3">
                  <c:v>ENSMUSTTV074090</c:v>
                </c:pt>
              </c:strCache>
            </c:strRef>
          </c:cat>
          <c:val>
            <c:numRef>
              <c:f>Sheet2!$I$1:$I$4</c:f>
              <c:numCache>
                <c:formatCode>General</c:formatCode>
                <c:ptCount val="4"/>
                <c:pt idx="0">
                  <c:v>159.75800000000001</c:v>
                </c:pt>
                <c:pt idx="1">
                  <c:v>75.354600000000005</c:v>
                </c:pt>
                <c:pt idx="2">
                  <c:v>0</c:v>
                </c:pt>
                <c:pt idx="3">
                  <c:v>2.4653399999999999</c:v>
                </c:pt>
              </c:numCache>
            </c:numRef>
          </c:val>
        </c:ser>
        <c:ser>
          <c:idx val="2"/>
          <c:order val="1"/>
          <c:tx>
            <c:strRef>
              <c:f>Sheet2!$G$1</c:f>
              <c:strCache>
                <c:ptCount val="1"/>
                <c:pt idx="0">
                  <c:v>sham_12wk</c:v>
                </c:pt>
              </c:strCache>
            </c:strRef>
          </c:tx>
          <c:spPr>
            <a:pattFill prst="dkDnDiag">
              <a:fgClr>
                <a:schemeClr val="tx1"/>
              </a:fgClr>
              <a:bgClr>
                <a:schemeClr val="bg1"/>
              </a:bgClr>
            </a:pattFill>
            <a:ln>
              <a:solidFill>
                <a:schemeClr val="tx1"/>
              </a:solidFill>
            </a:ln>
            <a:effectLst>
              <a:innerShdw blurRad="114300">
                <a:schemeClr val="accent3"/>
              </a:innerShdw>
            </a:effectLst>
          </c:spPr>
          <c:invertIfNegative val="0"/>
          <c:dLbls>
            <c:dLbl>
              <c:idx val="0"/>
              <c:tx>
                <c:rich>
                  <a:bodyPr/>
                  <a:lstStyle/>
                  <a:p>
                    <a:r>
                      <a:rPr lang="en-US"/>
                      <a:t>540</a:t>
                    </a:r>
                    <a:r>
                      <a:rPr lang="en-US" sz="1200"/>
                      <a:t>*</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Sheet2!$B$1:$B$4</c:f>
              <c:strCache>
                <c:ptCount val="4"/>
                <c:pt idx="0">
                  <c:v>ENSMUST00000035982</c:v>
                </c:pt>
                <c:pt idx="1">
                  <c:v>ENSMUST00000108246</c:v>
                </c:pt>
                <c:pt idx="2">
                  <c:v>ENSMUSTTV074089</c:v>
                </c:pt>
                <c:pt idx="3">
                  <c:v>ENSMUSTTV074090</c:v>
                </c:pt>
              </c:strCache>
            </c:strRef>
          </c:cat>
          <c:val>
            <c:numRef>
              <c:f>Sheet2!$J$1:$J$4</c:f>
              <c:numCache>
                <c:formatCode>General</c:formatCode>
                <c:ptCount val="4"/>
                <c:pt idx="0">
                  <c:v>540.173</c:v>
                </c:pt>
                <c:pt idx="1">
                  <c:v>101.002</c:v>
                </c:pt>
                <c:pt idx="2">
                  <c:v>0</c:v>
                </c:pt>
                <c:pt idx="3">
                  <c:v>42.6357</c:v>
                </c:pt>
              </c:numCache>
            </c:numRef>
          </c:val>
        </c:ser>
        <c:dLbls>
          <c:dLblPos val="outEnd"/>
          <c:showLegendKey val="0"/>
          <c:showVal val="1"/>
          <c:showCatName val="0"/>
          <c:showSerName val="0"/>
          <c:showPercent val="0"/>
          <c:showBubbleSize val="0"/>
        </c:dLbls>
        <c:gapWidth val="164"/>
        <c:overlap val="-22"/>
        <c:axId val="136218880"/>
        <c:axId val="153244800"/>
        <c:extLst>
          <c:ext xmlns:c15="http://schemas.microsoft.com/office/drawing/2012/chart" uri="{02D57815-91ED-43cb-92C2-25804820EDAC}">
            <c15:filteredBarSeries>
              <c15:ser>
                <c:idx val="0"/>
                <c:order val="0"/>
                <c:tx>
                  <c:strRef>
                    <c:extLst>
                      <c:ext uri="{02D57815-91ED-43cb-92C2-25804820EDAC}">
                        <c15:formulaRef>
                          <c15:sqref>Sheet2!$F$1</c15:sqref>
                        </c15:formulaRef>
                      </c:ext>
                    </c:extLst>
                    <c:strCache>
                      <c:ptCount val="1"/>
                      <c:pt idx="0">
                        <c:v>Embryo_13.5_18</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Sheet2!$B$1:$B$4</c15:sqref>
                        </c15:formulaRef>
                      </c:ext>
                    </c:extLst>
                    <c:strCache>
                      <c:ptCount val="4"/>
                      <c:pt idx="0">
                        <c:v>ENSMUST00000035982</c:v>
                      </c:pt>
                      <c:pt idx="1">
                        <c:v>ENSMUST00000108246</c:v>
                      </c:pt>
                      <c:pt idx="2">
                        <c:v>ENSMUSTTV074089</c:v>
                      </c:pt>
                      <c:pt idx="3">
                        <c:v>ENSMUSTTV074090</c:v>
                      </c:pt>
                    </c:strCache>
                  </c:strRef>
                </c:cat>
                <c:val>
                  <c:numLit>
                    <c:formatCode>General</c:formatCode>
                    <c:ptCount val="1"/>
                    <c:pt idx="0">
                      <c:v>1</c:v>
                    </c:pt>
                  </c:numLit>
                </c:val>
              </c15:ser>
            </c15:filteredBarSeries>
          </c:ext>
        </c:extLst>
      </c:barChart>
      <c:catAx>
        <c:axId val="1362188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Transcript ID</a:t>
                </a:r>
              </a:p>
            </c:rich>
          </c:tx>
          <c:overlay val="0"/>
          <c:spPr>
            <a:noFill/>
            <a:ln>
              <a:noFill/>
            </a:ln>
            <a:effectLst/>
          </c:spPr>
        </c:title>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44800"/>
        <c:crosses val="autoZero"/>
        <c:auto val="1"/>
        <c:lblAlgn val="ctr"/>
        <c:lblOffset val="100"/>
        <c:noMultiLvlLbl val="0"/>
      </c:catAx>
      <c:valAx>
        <c:axId val="153244800"/>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en-US"/>
                  <a:t>Count (FPKM)</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2188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7824E-97C2-42AB-9BAF-47A4CE367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2015-03-11T18:43:00Z</dcterms:created>
  <dcterms:modified xsi:type="dcterms:W3CDTF">2015-03-12T18:09:00Z</dcterms:modified>
</cp:coreProperties>
</file>