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Title"/>
        <w:jc w:val="center"/>
        <w:rPr/>
      </w:pPr>
      <w:bookmarkStart w:colFirst="0" w:colLast="0" w:name="_nf5a99f21lrd" w:id="0"/>
      <w:bookmarkEnd w:id="0"/>
      <w:r w:rsidDel="00000000" w:rsidR="00000000" w:rsidRPr="00000000">
        <w:rPr>
          <w:rtl w:val="0"/>
        </w:rPr>
        <w:t xml:space="preserve">RAPPORT GÉOMÉTRIE NUMÉRIQUE</w:t>
      </w:r>
    </w:p>
    <w:p w:rsidR="00000000" w:rsidDel="00000000" w:rsidP="00000000" w:rsidRDefault="00000000" w:rsidRPr="00000000" w14:paraId="00000007">
      <w:pPr>
        <w:pStyle w:val="Subtitle"/>
        <w:jc w:val="center"/>
        <w:rPr>
          <w:i w:val="1"/>
        </w:rPr>
      </w:pPr>
      <w:bookmarkStart w:colFirst="0" w:colLast="0" w:name="_dw2dac9r7xzm" w:id="1"/>
      <w:bookmarkEnd w:id="1"/>
      <w:r w:rsidDel="00000000" w:rsidR="00000000" w:rsidRPr="00000000">
        <w:rPr>
          <w:i w:val="1"/>
          <w:rtl w:val="0"/>
        </w:rPr>
        <w:t xml:space="preserve">T.P. 6 - Surfaces de Bézier</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widowControl w:val="0"/>
        <w:spacing w:after="320" w:before="320" w:line="480" w:lineRule="auto"/>
        <w:jc w:val="center"/>
        <w:rPr/>
      </w:pPr>
      <w:r w:rsidDel="00000000" w:rsidR="00000000" w:rsidRPr="00000000">
        <w:rPr/>
        <w:drawing>
          <wp:inline distB="114300" distT="114300" distL="114300" distR="114300">
            <wp:extent cx="2928096" cy="3246517"/>
            <wp:effectExtent b="0" l="0" r="0" t="0"/>
            <wp:docPr id="6"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2928096" cy="3246517"/>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left"/>
        <w:rPr/>
      </w:pPr>
      <w:r w:rsidDel="00000000" w:rsidR="00000000" w:rsidRPr="00000000">
        <w:rPr>
          <w:rtl w:val="0"/>
        </w:rPr>
      </w:r>
    </w:p>
    <w:p w:rsidR="00000000" w:rsidDel="00000000" w:rsidP="00000000" w:rsidRDefault="00000000" w:rsidRPr="00000000" w14:paraId="0000000B">
      <w:pPr>
        <w:jc w:val="left"/>
        <w:rPr/>
      </w:pPr>
      <w:r w:rsidDel="00000000" w:rsidR="00000000" w:rsidRPr="00000000">
        <w:rPr>
          <w:rtl w:val="0"/>
        </w:rPr>
      </w:r>
    </w:p>
    <w:p w:rsidR="00000000" w:rsidDel="00000000" w:rsidP="00000000" w:rsidRDefault="00000000" w:rsidRPr="00000000" w14:paraId="0000000C">
      <w:pPr>
        <w:jc w:val="center"/>
        <w:rPr>
          <w:b w:val="1"/>
          <w:sz w:val="30"/>
          <w:szCs w:val="30"/>
        </w:rPr>
      </w:pPr>
      <w:r w:rsidDel="00000000" w:rsidR="00000000" w:rsidRPr="00000000">
        <w:rPr>
          <w:b w:val="1"/>
          <w:sz w:val="30"/>
          <w:szCs w:val="30"/>
          <w:rtl w:val="0"/>
        </w:rPr>
        <w:t xml:space="preserve">Calvin Massonnet</w:t>
      </w:r>
    </w:p>
    <w:p w:rsidR="00000000" w:rsidDel="00000000" w:rsidP="00000000" w:rsidRDefault="00000000" w:rsidRPr="00000000" w14:paraId="0000000D">
      <w:pPr>
        <w:jc w:val="center"/>
        <w:rPr>
          <w:b w:val="1"/>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t xml:space="preserve">15</w:t>
      </w:r>
      <w:r w:rsidDel="00000000" w:rsidR="00000000" w:rsidRPr="00000000">
        <w:rPr>
          <w:rtl w:val="0"/>
        </w:rPr>
        <w:t xml:space="preserve">/03/2021 - 21/03/2021</w:t>
      </w:r>
    </w:p>
    <w:p w:rsidR="00000000" w:rsidDel="00000000" w:rsidP="00000000" w:rsidRDefault="00000000" w:rsidRPr="00000000" w14:paraId="0000000F">
      <w:pPr>
        <w:jc w:val="center"/>
        <w:rPr/>
      </w:pPr>
      <w:r w:rsidDel="00000000" w:rsidR="00000000" w:rsidRPr="00000000">
        <w:rPr>
          <w:rtl w:val="0"/>
        </w:rPr>
        <w:t xml:space="preserve">Université Grenoble Alpes - Master Informatique</w:t>
      </w:r>
    </w:p>
    <w:p w:rsidR="00000000" w:rsidDel="00000000" w:rsidP="00000000" w:rsidRDefault="00000000" w:rsidRPr="00000000" w14:paraId="00000010">
      <w:pPr>
        <w:rPr/>
      </w:pPr>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2"/>
        <w:rPr/>
      </w:pPr>
      <w:bookmarkStart w:colFirst="0" w:colLast="0" w:name="_jn6joouhc7gm" w:id="2"/>
      <w:bookmarkEnd w:id="2"/>
      <w:r w:rsidDel="00000000" w:rsidR="00000000" w:rsidRPr="00000000">
        <w:rPr>
          <w:rtl w:val="0"/>
        </w:rPr>
        <w:t xml:space="preserve">Algorithme des surfaces de Bézier</w:t>
      </w:r>
    </w:p>
    <w:p w:rsidR="00000000" w:rsidDel="00000000" w:rsidP="00000000" w:rsidRDefault="00000000" w:rsidRPr="00000000" w14:paraId="00000012">
      <w:pPr>
        <w:ind w:left="0" w:firstLine="720"/>
        <w:jc w:val="both"/>
        <w:rPr/>
      </w:pPr>
      <w:r w:rsidDel="00000000" w:rsidR="00000000" w:rsidRPr="00000000">
        <w:rPr>
          <w:rtl w:val="0"/>
        </w:rPr>
        <w:t xml:space="preserve">Comme pour les courbes de Bézier, les surfaces de Bézier sont construites à l’aide de polygones de contrôle, visibles dans les figures 3 et 4. La </w:t>
      </w:r>
      <w:r w:rsidDel="00000000" w:rsidR="00000000" w:rsidRPr="00000000">
        <w:rPr>
          <w:rtl w:val="0"/>
        </w:rPr>
        <w:t xml:space="preserve">fonction de la figure 1 </w:t>
      </w:r>
      <w:r w:rsidDel="00000000" w:rsidR="00000000" w:rsidRPr="00000000">
        <w:rPr>
          <w:i w:val="1"/>
          <w:rtl w:val="0"/>
        </w:rPr>
        <w:t xml:space="preserve">BezierSurf</w:t>
      </w:r>
      <w:r w:rsidDel="00000000" w:rsidR="00000000" w:rsidRPr="00000000">
        <w:rPr>
          <w:rtl w:val="0"/>
        </w:rPr>
        <w:t xml:space="preserve"> est appelée trois fois pour chaque coordonnée 3D des points de contrôle de la surface et</w:t>
      </w:r>
      <w:r w:rsidDel="00000000" w:rsidR="00000000" w:rsidRPr="00000000">
        <w:rPr>
          <w:rtl w:val="0"/>
        </w:rPr>
        <w:t xml:space="preserve"> appelle une autre fonction en boucle selon la densité donnée. Cette seconde fonction, récursive, utilise l’algorithme de De Casteljau présenté dans la figure 2, adapté au besoin de calculer les points dans un espace en trois dimensions.</w:t>
      </w:r>
    </w:p>
    <w:p w:rsidR="00000000" w:rsidDel="00000000" w:rsidP="00000000" w:rsidRDefault="00000000" w:rsidRPr="00000000" w14:paraId="00000013">
      <w:pPr>
        <w:ind w:left="0" w:firstLine="0"/>
        <w:jc w:val="both"/>
        <w:rPr/>
      </w:pPr>
      <w:r w:rsidDel="00000000" w:rsidR="00000000" w:rsidRPr="00000000">
        <w:rPr>
          <w:rtl w:val="0"/>
        </w:rPr>
        <w:t xml:space="preserve">Dans les modèles composés de plus d’une surface tels que “sphere” et “teapot” des figures 7 et 8, il est possible de distinguer chacune de leurs surfaces par leurs contours. Ce phénomène disparaît en augmentant la densité des surfaces (figures 9 et 10).</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tbl>
      <w:tblPr>
        <w:tblStyle w:val="Table1"/>
        <w:jc w:val="left"/>
        <w:tblInd w:w="100.0" w:type="pct"/>
        <w:tblLayout w:type="fixed"/>
        <w:tblLook w:val="0600"/>
      </w:tblPr>
      <w:tblGrid>
        <w:gridCol w:w="9029"/>
        <w:tblGridChange w:id="0">
          <w:tblGrid>
            <w:gridCol w:w="9029"/>
          </w:tblGrid>
        </w:tblGridChange>
      </w:tblGrid>
      <w:tr>
        <w:tc>
          <w:tcPr>
            <w:tcBorders>
              <w:top w:color="000000" w:space="0" w:sz="8" w:val="single"/>
              <w:left w:color="000000" w:space="0" w:sz="8" w:val="single"/>
              <w:bottom w:color="000000" w:space="0" w:sz="8" w:val="single"/>
              <w:right w:color="000000" w:space="0" w:sz="8" w:val="single"/>
            </w:tcBorders>
            <w:shd w:fill="f8f8f8" w:val="clear"/>
            <w:tcMar>
              <w:top w:w="100.0" w:type="dxa"/>
              <w:left w:w="100.0" w:type="dxa"/>
              <w:bottom w:w="100.0" w:type="dxa"/>
              <w:right w:w="100.0" w:type="dxa"/>
            </w:tcMar>
            <w:vAlign w:val="top"/>
          </w:tcPr>
          <w:p w:rsidR="00000000" w:rsidDel="00000000" w:rsidP="00000000" w:rsidRDefault="00000000" w:rsidRPr="00000000" w14:paraId="00000015">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def BezierSurf(M, density):</w:t>
            </w:r>
          </w:p>
          <w:p w:rsidR="00000000" w:rsidDel="00000000" w:rsidP="00000000" w:rsidRDefault="00000000" w:rsidRPr="00000000" w14:paraId="00000016">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 surface degrees</w:t>
            </w:r>
          </w:p>
          <w:p w:rsidR="00000000" w:rsidDel="00000000" w:rsidP="00000000" w:rsidRDefault="00000000" w:rsidRPr="00000000" w14:paraId="00000017">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m, n = M.shape - np.array([</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018">
            <w:pPr>
              <w:widowControl w:val="0"/>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019">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 init surface points</w:t>
            </w:r>
          </w:p>
          <w:p w:rsidR="00000000" w:rsidDel="00000000" w:rsidP="00000000" w:rsidRDefault="00000000" w:rsidRPr="00000000" w14:paraId="0000001A">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S = np.zeros([density, density])</w:t>
            </w:r>
          </w:p>
          <w:p w:rsidR="00000000" w:rsidDel="00000000" w:rsidP="00000000" w:rsidRDefault="00000000" w:rsidRPr="00000000" w14:paraId="0000001B">
            <w:pPr>
              <w:widowControl w:val="0"/>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01C">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 Fill surface points.</w:t>
            </w:r>
          </w:p>
          <w:p w:rsidR="00000000" w:rsidDel="00000000" w:rsidP="00000000" w:rsidRDefault="00000000" w:rsidRPr="00000000" w14:paraId="0000001D">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u = np.linspace(</w:t>
            </w:r>
            <w:r w:rsidDel="00000000" w:rsidR="00000000" w:rsidRPr="00000000">
              <w:rPr>
                <w:rFonts w:ascii="Consolas" w:cs="Consolas" w:eastAsia="Consolas" w:hAnsi="Consolas"/>
                <w:color w:val="008080"/>
                <w:shd w:fill="f8f8f8" w:val="clear"/>
                <w:rtl w:val="0"/>
              </w:rPr>
              <w:t xml:space="preserve">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 num=density)</w:t>
            </w:r>
          </w:p>
          <w:p w:rsidR="00000000" w:rsidDel="00000000" w:rsidP="00000000" w:rsidRDefault="00000000" w:rsidRPr="00000000" w14:paraId="0000001E">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v = np.linspace(</w:t>
            </w:r>
            <w:r w:rsidDel="00000000" w:rsidR="00000000" w:rsidRPr="00000000">
              <w:rPr>
                <w:rFonts w:ascii="Consolas" w:cs="Consolas" w:eastAsia="Consolas" w:hAnsi="Consolas"/>
                <w:color w:val="008080"/>
                <w:shd w:fill="f8f8f8" w:val="clear"/>
                <w:rtl w:val="0"/>
              </w:rPr>
              <w:t xml:space="preserve">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 num=density)</w:t>
            </w:r>
          </w:p>
          <w:p w:rsidR="00000000" w:rsidDel="00000000" w:rsidP="00000000" w:rsidRDefault="00000000" w:rsidRPr="00000000" w14:paraId="0000001F">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for </w:t>
            </w:r>
            <w:r w:rsidDel="00000000" w:rsidR="00000000" w:rsidRPr="00000000">
              <w:rPr>
                <w:rFonts w:ascii="Consolas" w:cs="Consolas" w:eastAsia="Consolas" w:hAnsi="Consolas"/>
                <w:color w:val="dd1144"/>
                <w:shd w:fill="f8f8f8" w:val="clear"/>
                <w:rtl w:val="0"/>
              </w:rPr>
              <w:t xml:space="preserve">i</w:t>
            </w:r>
            <w:r w:rsidDel="00000000" w:rsidR="00000000" w:rsidRPr="00000000">
              <w:rPr>
                <w:rFonts w:ascii="Consolas" w:cs="Consolas" w:eastAsia="Consolas" w:hAnsi="Consolas"/>
                <w:color w:val="333333"/>
                <w:shd w:fill="f8f8f8" w:val="clear"/>
                <w:rtl w:val="0"/>
              </w:rPr>
              <w:t xml:space="preserve"> in range(density):</w:t>
            </w:r>
          </w:p>
          <w:p w:rsidR="00000000" w:rsidDel="00000000" w:rsidP="00000000" w:rsidRDefault="00000000" w:rsidRPr="00000000" w14:paraId="00000020">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ab/>
              <w:t xml:space="preserve">for </w:t>
            </w:r>
            <w:r w:rsidDel="00000000" w:rsidR="00000000" w:rsidRPr="00000000">
              <w:rPr>
                <w:rFonts w:ascii="Consolas" w:cs="Consolas" w:eastAsia="Consolas" w:hAnsi="Consolas"/>
                <w:color w:val="dd1144"/>
                <w:shd w:fill="f8f8f8" w:val="clear"/>
                <w:rtl w:val="0"/>
              </w:rPr>
              <w:t xml:space="preserve">j</w:t>
            </w:r>
            <w:r w:rsidDel="00000000" w:rsidR="00000000" w:rsidRPr="00000000">
              <w:rPr>
                <w:rFonts w:ascii="Consolas" w:cs="Consolas" w:eastAsia="Consolas" w:hAnsi="Consolas"/>
                <w:color w:val="333333"/>
                <w:shd w:fill="f8f8f8" w:val="clear"/>
                <w:rtl w:val="0"/>
              </w:rPr>
              <w:t xml:space="preserve"> in range(density):</w:t>
            </w:r>
          </w:p>
          <w:p w:rsidR="00000000" w:rsidDel="00000000" w:rsidP="00000000" w:rsidRDefault="00000000" w:rsidRPr="00000000" w14:paraId="00000021">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ab/>
              <w:tab/>
              <w:t xml:space="preserve">S[</w:t>
            </w:r>
            <w:r w:rsidDel="00000000" w:rsidR="00000000" w:rsidRPr="00000000">
              <w:rPr>
                <w:rFonts w:ascii="Consolas" w:cs="Consolas" w:eastAsia="Consolas" w:hAnsi="Consolas"/>
                <w:color w:val="dd1144"/>
                <w:shd w:fill="f8f8f8" w:val="clear"/>
                <w:rtl w:val="0"/>
              </w:rPr>
              <w:t xml:space="preserve">i</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j</w:t>
            </w:r>
            <w:r w:rsidDel="00000000" w:rsidR="00000000" w:rsidRPr="00000000">
              <w:rPr>
                <w:rFonts w:ascii="Consolas" w:cs="Consolas" w:eastAsia="Consolas" w:hAnsi="Consolas"/>
                <w:color w:val="333333"/>
                <w:shd w:fill="f8f8f8" w:val="clear"/>
                <w:rtl w:val="0"/>
              </w:rPr>
              <w:t xml:space="preserve">] = DeCasteljau(M, m, n,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u[</w:t>
            </w:r>
            <w:r w:rsidDel="00000000" w:rsidR="00000000" w:rsidRPr="00000000">
              <w:rPr>
                <w:rFonts w:ascii="Consolas" w:cs="Consolas" w:eastAsia="Consolas" w:hAnsi="Consolas"/>
                <w:color w:val="dd1144"/>
                <w:shd w:fill="f8f8f8" w:val="clear"/>
                <w:rtl w:val="0"/>
              </w:rPr>
              <w:t xml:space="preserve">i</w:t>
            </w:r>
            <w:r w:rsidDel="00000000" w:rsidR="00000000" w:rsidRPr="00000000">
              <w:rPr>
                <w:rFonts w:ascii="Consolas" w:cs="Consolas" w:eastAsia="Consolas" w:hAnsi="Consolas"/>
                <w:color w:val="333333"/>
                <w:shd w:fill="f8f8f8" w:val="clear"/>
                <w:rtl w:val="0"/>
              </w:rPr>
              <w:t xml:space="preserve">], v[</w:t>
            </w:r>
            <w:r w:rsidDel="00000000" w:rsidR="00000000" w:rsidRPr="00000000">
              <w:rPr>
                <w:rFonts w:ascii="Consolas" w:cs="Consolas" w:eastAsia="Consolas" w:hAnsi="Consolas"/>
                <w:color w:val="dd1144"/>
                <w:shd w:fill="f8f8f8" w:val="clear"/>
                <w:rtl w:val="0"/>
              </w:rPr>
              <w:t xml:space="preserve">j</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022">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w:t>
            </w:r>
          </w:p>
          <w:p w:rsidR="00000000" w:rsidDel="00000000" w:rsidP="00000000" w:rsidRDefault="00000000" w:rsidRPr="00000000" w14:paraId="00000023">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return S</w:t>
            </w:r>
          </w:p>
        </w:tc>
      </w:tr>
    </w:tbl>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jc w:val="center"/>
        <w:rPr>
          <w:i w:val="1"/>
        </w:rPr>
      </w:pPr>
      <w:r w:rsidDel="00000000" w:rsidR="00000000" w:rsidRPr="00000000">
        <w:rPr>
          <w:i w:val="1"/>
          <w:rtl w:val="0"/>
        </w:rPr>
        <w:t xml:space="preserve">Figure 1 : algorithme de Bézier pour les surfaces</w:t>
      </w:r>
    </w:p>
    <w:p w:rsidR="00000000" w:rsidDel="00000000" w:rsidP="00000000" w:rsidRDefault="00000000" w:rsidRPr="00000000" w14:paraId="00000026">
      <w:pPr>
        <w:rPr/>
      </w:pPr>
      <w:r w:rsidDel="00000000" w:rsidR="00000000" w:rsidRPr="00000000">
        <w:rPr>
          <w:rtl w:val="0"/>
        </w:rPr>
      </w:r>
    </w:p>
    <w:tbl>
      <w:tblPr>
        <w:tblStyle w:val="Table2"/>
        <w:jc w:val="left"/>
        <w:tblInd w:w="100.0" w:type="pct"/>
        <w:tblLayout w:type="fixed"/>
        <w:tblLook w:val="0600"/>
      </w:tblPr>
      <w:tblGrid>
        <w:gridCol w:w="9029"/>
        <w:tblGridChange w:id="0">
          <w:tblGrid>
            <w:gridCol w:w="9029"/>
          </w:tblGrid>
        </w:tblGridChange>
      </w:tblGrid>
      <w:tr>
        <w:tc>
          <w:tcPr>
            <w:tcBorders>
              <w:top w:color="000000" w:space="0" w:sz="8" w:val="single"/>
              <w:left w:color="000000" w:space="0" w:sz="8" w:val="single"/>
              <w:bottom w:color="000000" w:space="0" w:sz="8" w:val="single"/>
              <w:right w:color="000000" w:space="0" w:sz="8" w:val="single"/>
            </w:tcBorders>
            <w:shd w:fill="f8f8f8" w:val="clear"/>
            <w:tcMar>
              <w:top w:w="100.0" w:type="dxa"/>
              <w:left w:w="100.0" w:type="dxa"/>
              <w:bottom w:w="100.0" w:type="dxa"/>
              <w:right w:w="100.0" w:type="dxa"/>
            </w:tcMar>
            <w:vAlign w:val="top"/>
          </w:tcPr>
          <w:p w:rsidR="00000000" w:rsidDel="00000000" w:rsidP="00000000" w:rsidRDefault="00000000" w:rsidRPr="00000000" w14:paraId="00000027">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def DeCasteljau(M, k, l, i, j, u, v):</w:t>
            </w:r>
          </w:p>
          <w:p w:rsidR="00000000" w:rsidDel="00000000" w:rsidP="00000000" w:rsidRDefault="00000000" w:rsidRPr="00000000" w14:paraId="00000028">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 De Casteljau algorithm for surfaces.</w:t>
            </w:r>
          </w:p>
          <w:p w:rsidR="00000000" w:rsidDel="00000000" w:rsidP="00000000" w:rsidRDefault="00000000" w:rsidRPr="00000000" w14:paraId="00000029">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if k == </w:t>
            </w:r>
            <w:r w:rsidDel="00000000" w:rsidR="00000000" w:rsidRPr="00000000">
              <w:rPr>
                <w:rFonts w:ascii="Consolas" w:cs="Consolas" w:eastAsia="Consolas" w:hAnsi="Consolas"/>
                <w:color w:val="008080"/>
                <w:shd w:fill="f8f8f8" w:val="clear"/>
                <w:rtl w:val="0"/>
              </w:rPr>
              <w:t xml:space="preserve">0 </w:t>
            </w:r>
            <w:r w:rsidDel="00000000" w:rsidR="00000000" w:rsidRPr="00000000">
              <w:rPr>
                <w:rFonts w:ascii="Consolas" w:cs="Consolas" w:eastAsia="Consolas" w:hAnsi="Consolas"/>
                <w:color w:val="333333"/>
                <w:shd w:fill="f8f8f8" w:val="clear"/>
                <w:rtl w:val="0"/>
              </w:rPr>
              <w:t xml:space="preserve">and l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02A">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ab/>
              <w:t xml:space="preserve">return M[i][j]</w:t>
            </w:r>
          </w:p>
          <w:p w:rsidR="00000000" w:rsidDel="00000000" w:rsidP="00000000" w:rsidRDefault="00000000" w:rsidRPr="00000000" w14:paraId="0000002B">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elif l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02C">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ab/>
              <w:t xml:space="preserve">return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 u) * DeCasteljau(M, k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l, i, j, u, v)</w:t>
              <w:br w:type="textWrapping"/>
              <w:tab/>
              <w:tab/>
              <w:tab/>
              <w:t xml:space="preserve">+ u * DeCasteljau(M, k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l, i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j, u, v)</w:t>
            </w:r>
          </w:p>
          <w:p w:rsidR="00000000" w:rsidDel="00000000" w:rsidP="00000000" w:rsidRDefault="00000000" w:rsidRPr="00000000" w14:paraId="0000002D">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else:</w:t>
            </w:r>
          </w:p>
          <w:p w:rsidR="00000000" w:rsidDel="00000000" w:rsidP="00000000" w:rsidRDefault="00000000" w:rsidRPr="00000000" w14:paraId="0000002E">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ab/>
              <w:t xml:space="preserve">return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 v) * DeCasteljau(M, k, l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i, j, u, v)</w:t>
              <w:br w:type="textWrapping"/>
              <w:tab/>
              <w:tab/>
              <w:tab/>
              <w:t xml:space="preserve">+ v * DeCasteljau(M, k, l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i, j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u, v)</w:t>
            </w:r>
          </w:p>
        </w:tc>
      </w:tr>
    </w:tbl>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jc w:val="center"/>
        <w:rPr>
          <w:i w:val="1"/>
        </w:rPr>
      </w:pPr>
      <w:r w:rsidDel="00000000" w:rsidR="00000000" w:rsidRPr="00000000">
        <w:rPr>
          <w:i w:val="1"/>
          <w:rtl w:val="0"/>
        </w:rPr>
        <w:t xml:space="preserve">Figure 2 : algorithme de De Casteljau pour les surfaces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jc w:val="center"/>
        <w:rPr>
          <w:i w:val="1"/>
        </w:rPr>
      </w:pPr>
      <w:r w:rsidDel="00000000" w:rsidR="00000000" w:rsidRPr="00000000">
        <w:rPr>
          <w:i w:val="1"/>
        </w:rPr>
        <w:drawing>
          <wp:inline distB="114300" distT="114300" distL="114300" distR="114300">
            <wp:extent cx="4272080" cy="4086338"/>
            <wp:effectExtent b="25400" l="25400" r="25400" t="25400"/>
            <wp:docPr id="10"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272080" cy="408633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3">
      <w:pPr>
        <w:jc w:val="center"/>
        <w:rPr>
          <w:i w:val="1"/>
        </w:rPr>
      </w:pPr>
      <w:r w:rsidDel="00000000" w:rsidR="00000000" w:rsidRPr="00000000">
        <w:rPr>
          <w:i w:val="1"/>
          <w:rtl w:val="0"/>
        </w:rPr>
        <w:t xml:space="preserve">Figure 3 : “sphere” de densité 10 avec cellules et polygones de contrôle</w:t>
      </w:r>
    </w:p>
    <w:p w:rsidR="00000000" w:rsidDel="00000000" w:rsidP="00000000" w:rsidRDefault="00000000" w:rsidRPr="00000000" w14:paraId="00000034">
      <w:pPr>
        <w:jc w:val="center"/>
        <w:rPr>
          <w:i w:val="1"/>
        </w:rPr>
      </w:pPr>
      <w:r w:rsidDel="00000000" w:rsidR="00000000" w:rsidRPr="00000000">
        <w:rPr>
          <w:rtl w:val="0"/>
        </w:rPr>
      </w:r>
    </w:p>
    <w:p w:rsidR="00000000" w:rsidDel="00000000" w:rsidP="00000000" w:rsidRDefault="00000000" w:rsidRPr="00000000" w14:paraId="00000035">
      <w:pPr>
        <w:jc w:val="center"/>
        <w:rPr>
          <w:i w:val="1"/>
        </w:rPr>
      </w:pPr>
      <w:r w:rsidDel="00000000" w:rsidR="00000000" w:rsidRPr="00000000">
        <w:rPr>
          <w:i w:val="1"/>
        </w:rPr>
        <w:drawing>
          <wp:inline distB="114300" distT="114300" distL="114300" distR="114300">
            <wp:extent cx="5648325" cy="3924300"/>
            <wp:effectExtent b="25400" l="25400" r="25400" t="2540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648325" cy="3924300"/>
                    </a:xfrm>
                    <a:prstGeom prst="rect"/>
                    <a:ln w="25400">
                      <a:solidFill>
                        <a:srgbClr val="000000"/>
                      </a:solidFill>
                      <a:prstDash val="solid"/>
                    </a:ln>
                  </pic:spPr>
                </pic:pic>
              </a:graphicData>
            </a:graphic>
          </wp:inline>
        </w:drawing>
      </w:r>
      <w:r w:rsidDel="00000000" w:rsidR="00000000" w:rsidRPr="00000000">
        <w:rPr>
          <w:i w:val="1"/>
          <w:rtl w:val="0"/>
        </w:rPr>
        <w:t xml:space="preserve">Figure 4 : “teapot” de densité 10 avec cellules et polygones de contrôle</w:t>
      </w:r>
    </w:p>
    <w:p w:rsidR="00000000" w:rsidDel="00000000" w:rsidP="00000000" w:rsidRDefault="00000000" w:rsidRPr="00000000" w14:paraId="00000036">
      <w:pPr>
        <w:jc w:val="center"/>
        <w:rPr>
          <w:i w:val="1"/>
        </w:rPr>
      </w:pPr>
      <w:r w:rsidDel="00000000" w:rsidR="00000000" w:rsidRPr="00000000">
        <w:rPr>
          <w:i w:val="1"/>
        </w:rPr>
        <w:drawing>
          <wp:inline distB="114300" distT="114300" distL="114300" distR="114300">
            <wp:extent cx="5731200" cy="3886200"/>
            <wp:effectExtent b="25400" l="25400" r="25400" t="25400"/>
            <wp:docPr id="14"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31200" cy="3886200"/>
                    </a:xfrm>
                    <a:prstGeom prst="rect"/>
                    <a:ln w="25400">
                      <a:solidFill>
                        <a:srgbClr val="000000"/>
                      </a:solidFill>
                      <a:prstDash val="solid"/>
                    </a:ln>
                  </pic:spPr>
                </pic:pic>
              </a:graphicData>
            </a:graphic>
          </wp:inline>
        </w:drawing>
      </w:r>
      <w:r w:rsidDel="00000000" w:rsidR="00000000" w:rsidRPr="00000000">
        <w:rPr>
          <w:i w:val="1"/>
          <w:rtl w:val="0"/>
        </w:rPr>
        <w:t xml:space="preserve">Figure 5 : “simple” de densité 10</w:t>
      </w:r>
    </w:p>
    <w:p w:rsidR="00000000" w:rsidDel="00000000" w:rsidP="00000000" w:rsidRDefault="00000000" w:rsidRPr="00000000" w14:paraId="00000037">
      <w:pPr>
        <w:jc w:val="center"/>
        <w:rPr>
          <w:i w:val="1"/>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i w:val="1"/>
        </w:rPr>
        <w:drawing>
          <wp:inline distB="114300" distT="114300" distL="114300" distR="114300">
            <wp:extent cx="5731200" cy="4102100"/>
            <wp:effectExtent b="25400" l="25400" r="25400" t="25400"/>
            <wp:docPr id="7"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1200" cy="4102100"/>
                    </a:xfrm>
                    <a:prstGeom prst="rect"/>
                    <a:ln w="25400">
                      <a:solidFill>
                        <a:srgbClr val="000000"/>
                      </a:solidFill>
                      <a:prstDash val="solid"/>
                    </a:ln>
                  </pic:spPr>
                </pic:pic>
              </a:graphicData>
            </a:graphic>
          </wp:inline>
        </w:drawing>
      </w:r>
      <w:r w:rsidDel="00000000" w:rsidR="00000000" w:rsidRPr="00000000">
        <w:rPr>
          <w:i w:val="1"/>
          <w:rtl w:val="0"/>
        </w:rPr>
        <w:t xml:space="preserve">Figure 6 : “wave” de densité 10</w:t>
      </w:r>
      <w:r w:rsidDel="00000000" w:rsidR="00000000" w:rsidRPr="00000000">
        <w:rPr>
          <w:rtl w:val="0"/>
        </w:rPr>
      </w:r>
    </w:p>
    <w:p w:rsidR="00000000" w:rsidDel="00000000" w:rsidP="00000000" w:rsidRDefault="00000000" w:rsidRPr="00000000" w14:paraId="00000039">
      <w:pPr>
        <w:jc w:val="center"/>
        <w:rPr>
          <w:i w:val="1"/>
        </w:rPr>
      </w:pPr>
      <w:r w:rsidDel="00000000" w:rsidR="00000000" w:rsidRPr="00000000">
        <w:rPr>
          <w:i w:val="1"/>
        </w:rPr>
        <w:drawing>
          <wp:inline distB="114300" distT="114300" distL="114300" distR="114300">
            <wp:extent cx="4749496" cy="4400662"/>
            <wp:effectExtent b="25400" l="25400" r="25400" t="25400"/>
            <wp:docPr id="1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749496" cy="4400662"/>
                    </a:xfrm>
                    <a:prstGeom prst="rect"/>
                    <a:ln w="25400">
                      <a:solidFill>
                        <a:srgbClr val="000000"/>
                      </a:solidFill>
                      <a:prstDash val="solid"/>
                    </a:ln>
                  </pic:spPr>
                </pic:pic>
              </a:graphicData>
            </a:graphic>
          </wp:inline>
        </w:drawing>
      </w:r>
      <w:r w:rsidDel="00000000" w:rsidR="00000000" w:rsidRPr="00000000">
        <w:rPr>
          <w:i w:val="1"/>
          <w:rtl w:val="0"/>
        </w:rPr>
        <w:br w:type="textWrapping"/>
        <w:t xml:space="preserve">Figure 7 : “sphere” de densité 10</w:t>
      </w:r>
    </w:p>
    <w:p w:rsidR="00000000" w:rsidDel="00000000" w:rsidP="00000000" w:rsidRDefault="00000000" w:rsidRPr="00000000" w14:paraId="0000003A">
      <w:pPr>
        <w:jc w:val="center"/>
        <w:rPr>
          <w:i w:val="1"/>
        </w:rPr>
      </w:pPr>
      <w:r w:rsidDel="00000000" w:rsidR="00000000" w:rsidRPr="00000000">
        <w:rPr>
          <w:rtl w:val="0"/>
        </w:rPr>
      </w:r>
    </w:p>
    <w:p w:rsidR="00000000" w:rsidDel="00000000" w:rsidP="00000000" w:rsidRDefault="00000000" w:rsidRPr="00000000" w14:paraId="0000003B">
      <w:pPr>
        <w:jc w:val="center"/>
        <w:rPr>
          <w:i w:val="1"/>
        </w:rPr>
      </w:pPr>
      <w:r w:rsidDel="00000000" w:rsidR="00000000" w:rsidRPr="00000000">
        <w:rPr>
          <w:i w:val="1"/>
        </w:rPr>
        <w:drawing>
          <wp:inline distB="114300" distT="114300" distL="114300" distR="114300">
            <wp:extent cx="5133975" cy="3543300"/>
            <wp:effectExtent b="25400" l="25400" r="25400" t="25400"/>
            <wp:docPr id="8"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133975" cy="3543300"/>
                    </a:xfrm>
                    <a:prstGeom prst="rect"/>
                    <a:ln w="25400">
                      <a:solidFill>
                        <a:srgbClr val="000000"/>
                      </a:solidFill>
                      <a:prstDash val="solid"/>
                    </a:ln>
                  </pic:spPr>
                </pic:pic>
              </a:graphicData>
            </a:graphic>
          </wp:inline>
        </w:drawing>
      </w:r>
      <w:r w:rsidDel="00000000" w:rsidR="00000000" w:rsidRPr="00000000">
        <w:rPr>
          <w:i w:val="1"/>
          <w:rtl w:val="0"/>
        </w:rPr>
        <w:br w:type="textWrapping"/>
        <w:t xml:space="preserve">Figure 8 : “teapot” de densité 10</w:t>
      </w:r>
    </w:p>
    <w:p w:rsidR="00000000" w:rsidDel="00000000" w:rsidP="00000000" w:rsidRDefault="00000000" w:rsidRPr="00000000" w14:paraId="0000003C">
      <w:pPr>
        <w:jc w:val="center"/>
        <w:rPr>
          <w:i w:val="1"/>
        </w:rPr>
      </w:pPr>
      <w:r w:rsidDel="00000000" w:rsidR="00000000" w:rsidRPr="00000000">
        <w:rPr>
          <w:i w:val="1"/>
        </w:rPr>
        <w:drawing>
          <wp:inline distB="114300" distT="114300" distL="114300" distR="114300">
            <wp:extent cx="4503435" cy="4162537"/>
            <wp:effectExtent b="25400" l="25400" r="25400" t="2540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503435" cy="416253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D">
      <w:pPr>
        <w:jc w:val="center"/>
        <w:rPr>
          <w:i w:val="1"/>
        </w:rPr>
      </w:pPr>
      <w:r w:rsidDel="00000000" w:rsidR="00000000" w:rsidRPr="00000000">
        <w:rPr>
          <w:i w:val="1"/>
          <w:rtl w:val="0"/>
        </w:rPr>
        <w:t xml:space="preserve">Figure 9 : “sphere” de densité 50</w:t>
      </w:r>
    </w:p>
    <w:p w:rsidR="00000000" w:rsidDel="00000000" w:rsidP="00000000" w:rsidRDefault="00000000" w:rsidRPr="00000000" w14:paraId="0000003E">
      <w:pPr>
        <w:jc w:val="center"/>
        <w:rPr>
          <w:i w:val="1"/>
        </w:rPr>
      </w:pPr>
      <w:r w:rsidDel="00000000" w:rsidR="00000000" w:rsidRPr="00000000">
        <w:rPr>
          <w:rtl w:val="0"/>
        </w:rPr>
      </w:r>
    </w:p>
    <w:p w:rsidR="00000000" w:rsidDel="00000000" w:rsidP="00000000" w:rsidRDefault="00000000" w:rsidRPr="00000000" w14:paraId="0000003F">
      <w:pPr>
        <w:jc w:val="center"/>
        <w:rPr>
          <w:i w:val="1"/>
        </w:rPr>
      </w:pPr>
      <w:r w:rsidDel="00000000" w:rsidR="00000000" w:rsidRPr="00000000">
        <w:rPr>
          <w:i w:val="1"/>
        </w:rPr>
        <w:drawing>
          <wp:inline distB="114300" distT="114300" distL="114300" distR="114300">
            <wp:extent cx="5334000" cy="3714750"/>
            <wp:effectExtent b="25400" l="25400" r="25400" t="2540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334000" cy="3714750"/>
                    </a:xfrm>
                    <a:prstGeom prst="rect"/>
                    <a:ln w="25400">
                      <a:solidFill>
                        <a:srgbClr val="000000"/>
                      </a:solidFill>
                      <a:prstDash val="solid"/>
                    </a:ln>
                  </pic:spPr>
                </pic:pic>
              </a:graphicData>
            </a:graphic>
          </wp:inline>
        </w:drawing>
      </w:r>
      <w:r w:rsidDel="00000000" w:rsidR="00000000" w:rsidRPr="00000000">
        <w:rPr>
          <w:i w:val="1"/>
          <w:rtl w:val="0"/>
        </w:rPr>
        <w:t xml:space="preserve">Figure 10 : “teapot” de densité 50</w:t>
      </w:r>
    </w:p>
    <w:p w:rsidR="00000000" w:rsidDel="00000000" w:rsidP="00000000" w:rsidRDefault="00000000" w:rsidRPr="00000000" w14:paraId="00000040">
      <w:pPr>
        <w:ind w:firstLine="720"/>
        <w:jc w:val="both"/>
        <w:rPr>
          <w:i w:val="1"/>
        </w:rPr>
      </w:pPr>
      <w:r w:rsidDel="00000000" w:rsidR="00000000" w:rsidRPr="00000000">
        <w:rPr>
          <w:rtl w:val="0"/>
        </w:rPr>
        <w:t xml:space="preserve">Pour certains des </w:t>
      </w:r>
      <w:r w:rsidDel="00000000" w:rsidR="00000000" w:rsidRPr="00000000">
        <w:rPr>
          <w:rtl w:val="0"/>
        </w:rPr>
        <w:t xml:space="preserve">modèles </w:t>
      </w:r>
      <w:r w:rsidDel="00000000" w:rsidR="00000000" w:rsidRPr="00000000">
        <w:rPr>
          <w:rtl w:val="0"/>
        </w:rPr>
        <w:t xml:space="preserve">(“heart”, “teacup” et “teaspoon” - figures 12 à 14), à l’exécution du programme, la  normale se retrouve inversée par rapport à ce que l’on pourrait s’attendre. Cet évènement est causé par le fait que les points de construction de la surface vont de bas-en-haut avec le côté normalisé de cette surface du côté concave. Or, le côté concave est fermé par une autre surface, ce qui laisse le côté convexe comme côté visible. Il suffit donc d’écrire l’opposé des coordonnées des points de construction afin d’obtenir l’effet attendu, visible dans les figures 15 à 17. Par exemple, sur l’axe de la hauteur pour le modèle “heart”. Il est cependant possible que l’objet identifiable modélisé par les surfaces se retrouve à l’envers, tel qu’avec le modèle “teaspoon” dans la figure 17, avec pour cause une asymétrie sur les axes horizontaux (largeur et profondeur).</w:t>
      </w: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ind w:firstLine="720"/>
        <w:jc w:val="both"/>
        <w:rPr/>
      </w:pPr>
      <w:r w:rsidDel="00000000" w:rsidR="00000000" w:rsidRPr="00000000">
        <w:rPr>
          <w:rtl w:val="0"/>
        </w:rPr>
        <w:t xml:space="preserve">Faire varier la densité permet d’augmenter ou de diminuer le nombre de cellules constituant la surface. Le résultat de l’élévation de ce paramètre est le lissage de la surface. Comparer les modèles de la figure 11 rend cette distinction possible.</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jc w:val="center"/>
        <w:rPr/>
      </w:pPr>
      <w:r w:rsidDel="00000000" w:rsidR="00000000" w:rsidRPr="00000000">
        <w:rPr>
          <w:i w:val="1"/>
        </w:rPr>
        <w:drawing>
          <wp:inline distB="114300" distT="114300" distL="114300" distR="114300">
            <wp:extent cx="5731200" cy="4025900"/>
            <wp:effectExtent b="25400" l="25400" r="25400" t="25400"/>
            <wp:docPr id="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4025900"/>
                    </a:xfrm>
                    <a:prstGeom prst="rect"/>
                    <a:ln w="25400">
                      <a:solidFill>
                        <a:srgbClr val="000000"/>
                      </a:solidFill>
                      <a:prstDash val="solid"/>
                    </a:ln>
                  </pic:spPr>
                </pic:pic>
              </a:graphicData>
            </a:graphic>
          </wp:inline>
        </w:drawing>
      </w:r>
      <w:r w:rsidDel="00000000" w:rsidR="00000000" w:rsidRPr="00000000">
        <w:rPr>
          <w:i w:val="1"/>
          <w:rtl w:val="0"/>
        </w:rPr>
        <w:t xml:space="preserve">Figure 11 : “simple” de densité 10 à gauche et de densité 20 à droite</w:t>
      </w: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center"/>
        <w:rPr>
          <w:i w:val="1"/>
        </w:rPr>
      </w:pPr>
      <w:r w:rsidDel="00000000" w:rsidR="00000000" w:rsidRPr="00000000">
        <w:rPr>
          <w:i w:val="1"/>
        </w:rPr>
        <w:drawing>
          <wp:inline distB="114300" distT="114300" distL="114300" distR="114300">
            <wp:extent cx="5731200" cy="2120900"/>
            <wp:effectExtent b="25400" l="25400" r="25400" t="25400"/>
            <wp:docPr id="1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2120900"/>
                    </a:xfrm>
                    <a:prstGeom prst="rect"/>
                    <a:ln w="25400">
                      <a:solidFill>
                        <a:srgbClr val="000000"/>
                      </a:solidFill>
                      <a:prstDash val="solid"/>
                    </a:ln>
                  </pic:spPr>
                </pic:pic>
              </a:graphicData>
            </a:graphic>
          </wp:inline>
        </w:drawing>
      </w:r>
      <w:r w:rsidDel="00000000" w:rsidR="00000000" w:rsidRPr="00000000">
        <w:rPr>
          <w:i w:val="1"/>
          <w:rtl w:val="0"/>
        </w:rPr>
        <w:t xml:space="preserve">Figure 12 : “heart”  de densité 10 avec visualisation des normales (droite)</w:t>
      </w:r>
    </w:p>
    <w:p w:rsidR="00000000" w:rsidDel="00000000" w:rsidP="00000000" w:rsidRDefault="00000000" w:rsidRPr="00000000" w14:paraId="00000047">
      <w:pPr>
        <w:jc w:val="center"/>
        <w:rPr>
          <w:i w:val="1"/>
        </w:rPr>
      </w:pPr>
      <w:r w:rsidDel="00000000" w:rsidR="00000000" w:rsidRPr="00000000">
        <w:rPr>
          <w:rtl w:val="0"/>
        </w:rPr>
      </w:r>
    </w:p>
    <w:p w:rsidR="00000000" w:rsidDel="00000000" w:rsidP="00000000" w:rsidRDefault="00000000" w:rsidRPr="00000000" w14:paraId="00000048">
      <w:pPr>
        <w:jc w:val="center"/>
        <w:rPr>
          <w:i w:val="1"/>
        </w:rPr>
      </w:pPr>
      <w:r w:rsidDel="00000000" w:rsidR="00000000" w:rsidRPr="00000000">
        <w:rPr>
          <w:i w:val="1"/>
        </w:rPr>
        <w:drawing>
          <wp:inline distB="114300" distT="114300" distL="114300" distR="114300">
            <wp:extent cx="5731200" cy="3073400"/>
            <wp:effectExtent b="25400" l="25400" r="25400" t="25400"/>
            <wp:docPr id="1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3073400"/>
                    </a:xfrm>
                    <a:prstGeom prst="rect"/>
                    <a:ln w="25400">
                      <a:solidFill>
                        <a:srgbClr val="000000"/>
                      </a:solidFill>
                      <a:prstDash val="solid"/>
                    </a:ln>
                  </pic:spPr>
                </pic:pic>
              </a:graphicData>
            </a:graphic>
          </wp:inline>
        </w:drawing>
      </w:r>
      <w:r w:rsidDel="00000000" w:rsidR="00000000" w:rsidRPr="00000000">
        <w:rPr>
          <w:i w:val="1"/>
          <w:rtl w:val="0"/>
        </w:rPr>
        <w:t xml:space="preserve">Figure 13 : “teacup”  de densité 10 avec visualisation des normales (droite)</w:t>
      </w:r>
    </w:p>
    <w:p w:rsidR="00000000" w:rsidDel="00000000" w:rsidP="00000000" w:rsidRDefault="00000000" w:rsidRPr="00000000" w14:paraId="00000049">
      <w:pPr>
        <w:jc w:val="center"/>
        <w:rPr>
          <w:i w:val="1"/>
        </w:rPr>
      </w:pPr>
      <w:r w:rsidDel="00000000" w:rsidR="00000000" w:rsidRPr="00000000">
        <w:rPr>
          <w:rtl w:val="0"/>
        </w:rPr>
      </w:r>
    </w:p>
    <w:p w:rsidR="00000000" w:rsidDel="00000000" w:rsidP="00000000" w:rsidRDefault="00000000" w:rsidRPr="00000000" w14:paraId="0000004A">
      <w:pPr>
        <w:jc w:val="center"/>
        <w:rPr>
          <w:i w:val="1"/>
        </w:rPr>
      </w:pPr>
      <w:r w:rsidDel="00000000" w:rsidR="00000000" w:rsidRPr="00000000">
        <w:rPr>
          <w:i w:val="1"/>
        </w:rPr>
        <w:drawing>
          <wp:inline distB="114300" distT="114300" distL="114300" distR="114300">
            <wp:extent cx="5731200" cy="1371600"/>
            <wp:effectExtent b="25400" l="25400" r="25400" t="25400"/>
            <wp:docPr id="9"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200" cy="1371600"/>
                    </a:xfrm>
                    <a:prstGeom prst="rect"/>
                    <a:ln w="25400">
                      <a:solidFill>
                        <a:srgbClr val="000000"/>
                      </a:solidFill>
                      <a:prstDash val="solid"/>
                    </a:ln>
                  </pic:spPr>
                </pic:pic>
              </a:graphicData>
            </a:graphic>
          </wp:inline>
        </w:drawing>
      </w:r>
      <w:r w:rsidDel="00000000" w:rsidR="00000000" w:rsidRPr="00000000">
        <w:rPr>
          <w:i w:val="1"/>
          <w:rtl w:val="0"/>
        </w:rPr>
        <w:t xml:space="preserve">Figure 14 : “teaspoon”  de densité 10 avec visualisation des normales (droite)</w:t>
      </w:r>
    </w:p>
    <w:p w:rsidR="00000000" w:rsidDel="00000000" w:rsidP="00000000" w:rsidRDefault="00000000" w:rsidRPr="00000000" w14:paraId="0000004B">
      <w:pPr>
        <w:jc w:val="center"/>
        <w:rPr>
          <w:i w:val="1"/>
        </w:rPr>
      </w:pPr>
      <w:r w:rsidDel="00000000" w:rsidR="00000000" w:rsidRPr="00000000">
        <w:rPr>
          <w:i w:val="1"/>
        </w:rPr>
        <w:drawing>
          <wp:inline distB="114300" distT="114300" distL="114300" distR="114300">
            <wp:extent cx="5731200" cy="2120900"/>
            <wp:effectExtent b="25400" l="25400" r="25400" t="25400"/>
            <wp:docPr id="1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200" cy="2120900"/>
                    </a:xfrm>
                    <a:prstGeom prst="rect"/>
                    <a:ln w="25400">
                      <a:solidFill>
                        <a:srgbClr val="000000"/>
                      </a:solidFill>
                      <a:prstDash val="solid"/>
                    </a:ln>
                  </pic:spPr>
                </pic:pic>
              </a:graphicData>
            </a:graphic>
          </wp:inline>
        </w:drawing>
      </w:r>
      <w:r w:rsidDel="00000000" w:rsidR="00000000" w:rsidRPr="00000000">
        <w:rPr>
          <w:i w:val="1"/>
          <w:rtl w:val="0"/>
        </w:rPr>
        <w:t xml:space="preserve">Figure 15 : “heart” retourné de densité 10 avec visualisation des normales (droite)</w:t>
      </w:r>
    </w:p>
    <w:p w:rsidR="00000000" w:rsidDel="00000000" w:rsidP="00000000" w:rsidRDefault="00000000" w:rsidRPr="00000000" w14:paraId="0000004C">
      <w:pPr>
        <w:jc w:val="center"/>
        <w:rPr>
          <w:i w:val="1"/>
        </w:rPr>
      </w:pPr>
      <w:r w:rsidDel="00000000" w:rsidR="00000000" w:rsidRPr="00000000">
        <w:rPr>
          <w:rtl w:val="0"/>
        </w:rPr>
      </w:r>
    </w:p>
    <w:p w:rsidR="00000000" w:rsidDel="00000000" w:rsidP="00000000" w:rsidRDefault="00000000" w:rsidRPr="00000000" w14:paraId="0000004D">
      <w:pPr>
        <w:jc w:val="center"/>
        <w:rPr>
          <w:i w:val="1"/>
        </w:rPr>
      </w:pPr>
      <w:r w:rsidDel="00000000" w:rsidR="00000000" w:rsidRPr="00000000">
        <w:rPr>
          <w:i w:val="1"/>
        </w:rPr>
        <w:drawing>
          <wp:inline distB="114300" distT="114300" distL="114300" distR="114300">
            <wp:extent cx="5731200" cy="3073400"/>
            <wp:effectExtent b="25400" l="25400" r="25400" t="25400"/>
            <wp:docPr id="1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31200" cy="3073400"/>
                    </a:xfrm>
                    <a:prstGeom prst="rect"/>
                    <a:ln w="25400">
                      <a:solidFill>
                        <a:srgbClr val="000000"/>
                      </a:solidFill>
                      <a:prstDash val="solid"/>
                    </a:ln>
                  </pic:spPr>
                </pic:pic>
              </a:graphicData>
            </a:graphic>
          </wp:inline>
        </w:drawing>
      </w:r>
      <w:r w:rsidDel="00000000" w:rsidR="00000000" w:rsidRPr="00000000">
        <w:rPr>
          <w:i w:val="1"/>
          <w:rtl w:val="0"/>
        </w:rPr>
        <w:t xml:space="preserve">Figure 16 : “teacup” retourné de densité 10 avec visualisation des normales (droite)</w:t>
      </w:r>
    </w:p>
    <w:p w:rsidR="00000000" w:rsidDel="00000000" w:rsidP="00000000" w:rsidRDefault="00000000" w:rsidRPr="00000000" w14:paraId="0000004E">
      <w:pPr>
        <w:jc w:val="center"/>
        <w:rPr>
          <w:i w:val="1"/>
        </w:rPr>
      </w:pPr>
      <w:r w:rsidDel="00000000" w:rsidR="00000000" w:rsidRPr="00000000">
        <w:rPr>
          <w:rtl w:val="0"/>
        </w:rPr>
      </w:r>
    </w:p>
    <w:p w:rsidR="00000000" w:rsidDel="00000000" w:rsidP="00000000" w:rsidRDefault="00000000" w:rsidRPr="00000000" w14:paraId="0000004F">
      <w:pPr>
        <w:jc w:val="center"/>
        <w:rPr>
          <w:i w:val="1"/>
        </w:rPr>
      </w:pPr>
      <w:r w:rsidDel="00000000" w:rsidR="00000000" w:rsidRPr="00000000">
        <w:rPr>
          <w:i w:val="1"/>
        </w:rPr>
        <w:drawing>
          <wp:inline distB="114300" distT="114300" distL="114300" distR="114300">
            <wp:extent cx="5731200" cy="1371600"/>
            <wp:effectExtent b="25400" l="25400" r="25400" t="25400"/>
            <wp:docPr id="3"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731200" cy="1371600"/>
                    </a:xfrm>
                    <a:prstGeom prst="rect"/>
                    <a:ln w="25400">
                      <a:solidFill>
                        <a:srgbClr val="000000"/>
                      </a:solidFill>
                      <a:prstDash val="solid"/>
                    </a:ln>
                  </pic:spPr>
                </pic:pic>
              </a:graphicData>
            </a:graphic>
          </wp:inline>
        </w:drawing>
      </w:r>
      <w:r w:rsidDel="00000000" w:rsidR="00000000" w:rsidRPr="00000000">
        <w:rPr>
          <w:i w:val="1"/>
          <w:rtl w:val="0"/>
        </w:rPr>
        <w:t xml:space="preserve">Figure 17 : “teaspoon” retourné de densité 10 avec visualisation des normales (droite)</w:t>
      </w:r>
      <w:r w:rsidDel="00000000" w:rsidR="00000000" w:rsidRPr="00000000">
        <w:rPr>
          <w:rtl w:val="0"/>
        </w:rPr>
      </w:r>
    </w:p>
    <w:sectPr>
      <w:headerReference r:id="rId22" w:type="first"/>
      <w:footerReference r:id="rId23" w:type="default"/>
      <w:footerReference r:id="rId24" w:type="first"/>
      <w:pgSz w:h="16834" w:w="11909" w:orient="portrait"/>
      <w:pgMar w:bottom="1545.2362204724427" w:top="1417.3228346456694"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tabs>
        <w:tab w:val="center" w:pos="4530"/>
        <w:tab w:val="left" w:pos="8355"/>
      </w:tabs>
      <w:jc w:val="left"/>
      <w:rPr/>
    </w:pPr>
    <w:r w:rsidDel="00000000" w:rsidR="00000000" w:rsidRPr="00000000">
      <w:rPr>
        <w:color w:val="666666"/>
        <w:rtl w:val="0"/>
      </w:rPr>
      <w:t xml:space="preserve">GeoNum - T.P. 6</w:t>
      <w:tab/>
      <w:t xml:space="preserve">Calvin Massonnet</w:t>
      <w:tab/>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5.png"/><Relationship Id="rId22" Type="http://schemas.openxmlformats.org/officeDocument/2006/relationships/header" Target="header1.xml"/><Relationship Id="rId10" Type="http://schemas.openxmlformats.org/officeDocument/2006/relationships/image" Target="media/image12.png"/><Relationship Id="rId21" Type="http://schemas.openxmlformats.org/officeDocument/2006/relationships/image" Target="media/image1.png"/><Relationship Id="rId13" Type="http://schemas.openxmlformats.org/officeDocument/2006/relationships/image" Target="media/image3.png"/><Relationship Id="rId24" Type="http://schemas.openxmlformats.org/officeDocument/2006/relationships/footer" Target="footer2.xml"/><Relationship Id="rId12" Type="http://schemas.openxmlformats.org/officeDocument/2006/relationships/image" Target="media/image16.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7.png"/><Relationship Id="rId14" Type="http://schemas.openxmlformats.org/officeDocument/2006/relationships/image" Target="media/image2.png"/><Relationship Id="rId17" Type="http://schemas.openxmlformats.org/officeDocument/2006/relationships/image" Target="media/image11.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8.png"/><Relationship Id="rId18" Type="http://schemas.openxmlformats.org/officeDocument/2006/relationships/image" Target="media/image10.png"/><Relationship Id="rId7" Type="http://schemas.openxmlformats.org/officeDocument/2006/relationships/image" Target="media/image9.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