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Community Seed Bank Proposal</w:t>
      </w:r>
    </w:p>
    <w:p>
      <w:r>
        <w:t>Prepared for the Example Foundation. Draft v0.3, October 2026.</w:t>
      </w:r>
    </w:p>
    <w:p>
      <w:pPr>
        <w:pStyle w:val="Heading1"/>
      </w:pPr>
      <w:r>
        <w:t>1. Background</w:t>
      </w:r>
    </w:p>
    <w:p>
      <w:r>
        <w:t xml:space="preserve">Smallholder farmers in the district lose </w:t>
      </w:r>
      <w:r>
        <w:rPr>
          <w:b/>
        </w:rPr>
        <w:t>up to 30%</w:t>
      </w:r>
      <w:r>
        <w:t xml:space="preserve"> of their seed stock each season. See the </w:t>
      </w:r>
      <w:hyperlink r:id="rId9">
        <w:r>
          <w:rPr>
            <w:rStyle w:val="Hyperlink"/>
          </w:rPr>
          <w:t>baseline report</w:t>
        </w:r>
      </w:hyperlink>
      <w:r>
        <w:t xml:space="preserve"> and the </w:t>
      </w:r>
      <w:r>
        <w:rPr>
          <w:i/>
        </w:rPr>
        <w:t>field notes</w:t>
      </w:r>
      <w:r>
        <w:t xml:space="preserve"> for detail. The script </w:t>
      </w:r>
      <w:r>
        <w:rPr>
          <w:rFonts w:ascii="Consolas" w:hAnsi="Consolas"/>
        </w:rPr>
        <w:t>seedctl --report</w:t>
      </w:r>
      <w:r>
        <w:t xml:space="preserve"> produces the weekly summary.</w:t>
      </w:r>
    </w:p>
    <w:p>
      <w:pPr>
        <w:pStyle w:val="Heading2"/>
      </w:pPr>
      <w:r>
        <w:t>1.1 Objectives</w:t>
      </w:r>
    </w:p>
    <w:p>
      <w:pPr>
        <w:pStyle w:val="ListBullet"/>
      </w:pPr>
      <w:r>
        <w:t>Reduce seed loss</w:t>
      </w:r>
    </w:p>
    <w:p>
      <w:pPr>
        <w:pStyle w:val="ListBullet"/>
      </w:pPr>
      <w:r>
        <w:t>Train 40 farmers</w:t>
      </w:r>
    </w:p>
    <w:p>
      <w:pPr>
        <w:pStyle w:val="ListBullet"/>
      </w:pPr>
      <w:r>
        <w:t>Publish open results</w:t>
      </w:r>
    </w:p>
    <w:p>
      <w:pPr>
        <w:pStyle w:val="ListBullet2"/>
      </w:pPr>
      <w:r>
        <w:t>Storage units</w:t>
      </w:r>
    </w:p>
    <w:p>
      <w:pPr>
        <w:pStyle w:val="ListBullet2"/>
      </w:pPr>
      <w:r>
        <w:t>Hermetic bags</w:t>
      </w:r>
    </w:p>
    <w:p>
      <w:pPr>
        <w:pStyle w:val="Heading2"/>
      </w:pPr>
      <w:r>
        <w:t>1.2 Steps</w:t>
      </w:r>
    </w:p>
    <w:p>
      <w:pPr>
        <w:pStyle w:val="ListNumber"/>
      </w:pPr>
      <w:r>
        <w:t>Survey sites</w:t>
      </w:r>
    </w:p>
    <w:p>
      <w:pPr>
        <w:pStyle w:val="ListNumber"/>
      </w:pPr>
      <w:r>
        <w:t>Install storage</w:t>
      </w:r>
    </w:p>
    <w:p>
      <w:pPr>
        <w:pStyle w:val="ListNumber"/>
      </w:pPr>
      <w:r>
        <w:t>Train farmers</w:t>
      </w:r>
    </w:p>
    <w:p>
      <w:pPr>
        <w:pStyle w:val="Heading1"/>
      </w:pPr>
      <w:r>
        <w:t>2. 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t>Budget summary (UGX)</w:t>
            </w:r>
          </w:p>
        </w:tc>
      </w:tr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Cost</w:t>
            </w:r>
          </w:p>
        </w:tc>
      </w:tr>
      <w:tr>
        <w:tc>
          <w:tcPr>
            <w:tcW w:type="dxa" w:w="2880"/>
          </w:tcPr>
          <w:p>
            <w:r>
              <w:t>Hermetic bags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6,000,000</w:t>
            </w:r>
          </w:p>
        </w:tc>
      </w:tr>
    </w:tbl>
    <w:p>
      <w:pPr>
        <w:pStyle w:val="Heading1"/>
      </w:pPr>
      <w:r>
        <w:t>3. Risks</w:t>
      </w:r>
    </w:p>
    <w:p>
      <w:pPr>
        <w:pStyle w:val="IntenseQuote"/>
      </w:pPr>
      <w:r>
        <w:t>Rains may delay site visits by two weeks.</w:t>
      </w:r>
    </w:p>
    <w:p>
      <w:pPr>
        <w:pStyle w:val="Heading1"/>
      </w:pPr>
      <w:r>
        <w:t>4. Appendix</w:t>
      </w:r>
    </w:p>
    <w:p>
      <w:r>
        <w:rPr>
          <w:rFonts w:ascii="Consolas" w:hAnsi="Consolas"/>
          <w:sz w:val="18"/>
        </w:rPr>
        <w:t>def weekly(loss):</w:t>
      </w:r>
    </w:p>
    <w:p>
      <w:r>
        <w:rPr>
          <w:rFonts w:ascii="Consolas" w:hAnsi="Consolas"/>
          <w:sz w:val="18"/>
        </w:rPr>
        <w:t xml:space="preserve">    return round(loss * 0.3, 2)</w:t>
      </w:r>
    </w:p>
    <w:p>
      <w:r>
        <w:drawing>
          <wp:inline xmlns:a="http://schemas.openxmlformats.org/drawingml/2006/main" xmlns:pic="http://schemas.openxmlformats.org/drawingml/2006/picture">
            <wp:extent cx="1080000" cy="6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64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report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