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997" w:rsidRDefault="00853997" w:rsidP="00853997">
      <w:pPr>
        <w:pStyle w:val="Heading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 w:val="0"/>
          <w:bCs w:val="0"/>
          <w:sz w:val="48"/>
          <w:szCs w:val="48"/>
          <w:u w:val="single"/>
          <w:lang w:val="en-US"/>
        </w:rPr>
        <w:t>Compensation and benefits</w:t>
      </w:r>
      <w:r>
        <w:rPr>
          <w:rStyle w:val="normaltextrun"/>
          <w:color w:val="333333"/>
          <w:sz w:val="29"/>
          <w:szCs w:val="29"/>
          <w:lang w:val="en"/>
        </w:rPr>
        <w:t> </w:t>
      </w:r>
      <w:r>
        <w:rPr>
          <w:rStyle w:val="eop"/>
          <w:color w:val="333333"/>
          <w:sz w:val="29"/>
          <w:szCs w:val="29"/>
        </w:rPr>
        <w:t> </w:t>
      </w:r>
    </w:p>
    <w:p w:rsidR="00853997" w:rsidRDefault="00853997" w:rsidP="00853997">
      <w:pPr>
        <w:pStyle w:val="Heading3"/>
        <w:rPr>
          <w:rFonts w:ascii="Segoe UI" w:hAnsi="Segoe UI" w:cs="Segoe UI"/>
          <w:sz w:val="18"/>
          <w:szCs w:val="18"/>
        </w:rPr>
      </w:pPr>
      <w:r>
        <w:rPr>
          <w:rStyle w:val="normaltextrun"/>
          <w:b w:val="0"/>
          <w:bCs w:val="0"/>
          <w:sz w:val="40"/>
          <w:szCs w:val="40"/>
          <w:lang w:val="en-US"/>
        </w:rPr>
        <w:t>On this page</w:t>
      </w:r>
      <w:r>
        <w:rPr>
          <w:rStyle w:val="eop"/>
          <w:b w:val="0"/>
          <w:bCs w:val="0"/>
          <w:sz w:val="40"/>
          <w:szCs w:val="40"/>
        </w:rPr>
        <w:t> </w:t>
      </w:r>
    </w:p>
    <w:p w:rsidR="00853997" w:rsidRDefault="00853997" w:rsidP="00853997">
      <w:pPr>
        <w:pStyle w:val="paragraph"/>
        <w:numPr>
          <w:ilvl w:val="0"/>
          <w:numId w:val="21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hyperlink r:id="rId5" w:anchor="h-1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"/>
          </w:rPr>
          <w:t>How we determine compensation</w:t>
        </w:r>
      </w:hyperlink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numPr>
          <w:ilvl w:val="0"/>
          <w:numId w:val="21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hyperlink r:id="rId6" w:anchor="h-2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"/>
          </w:rPr>
          <w:t>Special compensation requirements for Category A applications</w:t>
        </w:r>
      </w:hyperlink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numPr>
          <w:ilvl w:val="0"/>
          <w:numId w:val="21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hyperlink r:id="rId7" w:anchor="h-3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"/>
          </w:rPr>
          <w:t>Unionized positions</w:t>
        </w:r>
      </w:hyperlink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40"/>
          <w:szCs w:val="40"/>
          <w:lang w:val="en-US"/>
        </w:rPr>
      </w:pPr>
    </w:p>
    <w:p w:rsidR="00853997" w:rsidRDefault="00853997" w:rsidP="00853997">
      <w:pPr>
        <w:pStyle w:val="Heading2"/>
        <w:rPr>
          <w:rFonts w:ascii="Segoe UI" w:hAnsi="Segoe UI" w:cs="Segoe UI"/>
          <w:sz w:val="18"/>
          <w:szCs w:val="18"/>
        </w:rPr>
      </w:pPr>
      <w:r>
        <w:rPr>
          <w:rStyle w:val="normaltextrun"/>
          <w:b w:val="0"/>
          <w:bCs w:val="0"/>
          <w:sz w:val="40"/>
          <w:szCs w:val="40"/>
          <w:lang w:val="en-US"/>
        </w:rPr>
        <w:t>How we determine compensation</w:t>
      </w:r>
      <w:r>
        <w:rPr>
          <w:rStyle w:val="eop"/>
          <w:b w:val="0"/>
          <w:bCs w:val="0"/>
          <w:sz w:val="40"/>
          <w:szCs w:val="40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Employers must offer the temporary foreign worker(s) </w:t>
      </w:r>
      <w:r w:rsidRPr="00132CAC">
        <w:t>(TFW)</w:t>
      </w:r>
      <w:r>
        <w:rPr>
          <w:rStyle w:val="normaltextrun"/>
          <w:rFonts w:ascii="Arial" w:hAnsi="Arial" w:cs="Arial"/>
          <w:color w:val="D13438"/>
          <w:u w:val="single"/>
          <w:lang w:val="en"/>
        </w:rPr>
        <w:t> </w:t>
      </w:r>
      <w:r>
        <w:rPr>
          <w:rStyle w:val="normaltextrun"/>
          <w:rFonts w:ascii="Arial" w:hAnsi="Arial" w:cs="Arial"/>
          <w:lang w:val="en"/>
        </w:rPr>
        <w:t>the same level and form of compensation as Canadians and permanent residents performing the same job with similar skills and experience at the same location.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n-US"/>
        </w:rPr>
        <w:t>Employers must offer and pay TFWs the higher of:</w:t>
      </w:r>
      <w:r>
        <w:rPr>
          <w:rStyle w:val="eop"/>
          <w:rFonts w:ascii="Arial" w:hAnsi="Arial" w:cs="Arial"/>
          <w:b/>
          <w:bCs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333333"/>
        </w:rPr>
      </w:pPr>
    </w:p>
    <w:p w:rsidR="00853997" w:rsidRDefault="00853997" w:rsidP="00853997">
      <w:pPr>
        <w:pStyle w:val="Heading3"/>
        <w:rPr>
          <w:rFonts w:ascii="Segoe UI" w:hAnsi="Segoe UI" w:cs="Segoe UI"/>
          <w:sz w:val="18"/>
          <w:szCs w:val="18"/>
        </w:rPr>
      </w:pPr>
      <w:r>
        <w:rPr>
          <w:rStyle w:val="normaltextrun"/>
          <w:b w:val="0"/>
          <w:bCs w:val="0"/>
          <w:color w:val="333333"/>
          <w:lang w:val="en"/>
        </w:rPr>
        <w:t>Same wages as existing employees</w:t>
      </w:r>
      <w:r>
        <w:rPr>
          <w:rStyle w:val="eop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The wages the employer pays its domestic employees for the same job, work location and with similar skills and years of experience</w:t>
      </w:r>
      <w:proofErr w:type="gramStart"/>
      <w:r>
        <w:rPr>
          <w:rStyle w:val="normaltextrun"/>
          <w:rFonts w:ascii="Arial" w:hAnsi="Arial" w:cs="Arial"/>
          <w:color w:val="333333"/>
          <w:lang w:val="en"/>
        </w:rPr>
        <w:t>;</w:t>
      </w:r>
      <w:proofErr w:type="gramEnd"/>
      <w:r>
        <w:rPr>
          <w:rStyle w:val="normaltextrun"/>
          <w:rFonts w:ascii="Arial" w:hAnsi="Arial" w:cs="Arial"/>
          <w:color w:val="333333"/>
          <w:lang w:val="en"/>
        </w:rPr>
        <w:t> 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</w:p>
    <w:p w:rsidR="00853997" w:rsidRDefault="00853997" w:rsidP="00853997">
      <w:pPr>
        <w:pStyle w:val="summary"/>
        <w:rPr>
          <w:sz w:val="24"/>
          <w:szCs w:val="24"/>
        </w:rPr>
      </w:pPr>
      <w:r>
        <w:rPr>
          <w:rStyle w:val="normaltextrun"/>
          <w:lang w:val="en-US"/>
        </w:rPr>
        <w:t>If no comparable position exists in your organization</w:t>
      </w:r>
      <w:r>
        <w:rPr>
          <w:rStyle w:val="eop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If no comparable position exists in your organization, employers must pay workers at least the median wage according to the position’s National Occupational Classification (</w:t>
      </w:r>
      <w:hyperlink r:id="rId8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NOC) Code</w:t>
        </w:r>
      </w:hyperlink>
      <w:r>
        <w:rPr>
          <w:rStyle w:val="normaltextrun"/>
          <w:rFonts w:ascii="Arial" w:hAnsi="Arial" w:cs="Arial"/>
          <w:color w:val="284162"/>
          <w:u w:val="single"/>
          <w:lang w:val="en-US"/>
        </w:rPr>
        <w:t> and work </w:t>
      </w:r>
      <w:r>
        <w:rPr>
          <w:rStyle w:val="normaltextrun"/>
          <w:rFonts w:ascii="Arial" w:hAnsi="Arial" w:cs="Arial"/>
          <w:lang w:val="en-US"/>
        </w:rPr>
        <w:t>location and publicly available on Job Bank.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details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eop"/>
        </w:rPr>
        <w:t>end</w:t>
      </w:r>
      <w:proofErr w:type="gramEnd"/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333333"/>
          <w:lang w:val="en"/>
        </w:rPr>
      </w:pPr>
    </w:p>
    <w:p w:rsidR="00853997" w:rsidRPr="00C23CE5" w:rsidRDefault="00853997" w:rsidP="00C23CE5">
      <w:pPr>
        <w:pStyle w:val="Heading3"/>
      </w:pPr>
      <w:r w:rsidRPr="00C23CE5">
        <w:rPr>
          <w:rStyle w:val="alert-success"/>
        </w:rPr>
        <w:t>Median wage of the NOC on Job Bank</w:t>
      </w:r>
      <w:r w:rsidRPr="00C23CE5">
        <w:rPr>
          <w:rStyle w:val="TableGrid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The median wage of the NOC and work location as provided on Job Bank</w:t>
      </w:r>
      <w:proofErr w:type="gramStart"/>
      <w:r>
        <w:rPr>
          <w:rStyle w:val="normaltextrun"/>
          <w:rFonts w:ascii="Arial" w:hAnsi="Arial" w:cs="Arial"/>
          <w:color w:val="333333"/>
          <w:lang w:val="en"/>
        </w:rPr>
        <w:t>;</w:t>
      </w:r>
      <w:proofErr w:type="gramEnd"/>
      <w:r>
        <w:rPr>
          <w:rStyle w:val="normaltextrun"/>
          <w:rFonts w:ascii="Arial" w:hAnsi="Arial" w:cs="Arial"/>
          <w:color w:val="333333"/>
          <w:lang w:val="en"/>
        </w:rPr>
        <w:t> 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</w:p>
    <w:p w:rsidR="00853997" w:rsidRPr="00C23CE5" w:rsidRDefault="00853997" w:rsidP="00C23CE5">
      <w:pPr>
        <w:pStyle w:val="summary"/>
      </w:pPr>
      <w:r w:rsidRPr="00C23CE5">
        <w:rPr>
          <w:rStyle w:val="normaltextrun"/>
        </w:rPr>
        <w:t>Determine the median and wage range in Job Bank</w:t>
      </w:r>
      <w:r w:rsidRPr="00C23CE5">
        <w:rPr>
          <w:rStyle w:val="eop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To determine the median and wage range in Job Bank: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3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go to </w:t>
      </w:r>
      <w:hyperlink r:id="rId9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Compare wages on Job Bank</w:t>
        </w:r>
      </w:hyperlink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3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lastRenderedPageBreak/>
        <w:t>in the “Job search” field, enter the job title or the National Occupational Classification (NOC) that best describes the job duties and requirements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3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</w:rPr>
      </w:pPr>
      <w:proofErr w:type="gramStart"/>
      <w:r>
        <w:rPr>
          <w:rStyle w:val="normaltextrun"/>
          <w:rFonts w:ascii="Arial" w:hAnsi="Arial" w:cs="Arial"/>
          <w:lang w:val="en-US"/>
        </w:rPr>
        <w:t>in</w:t>
      </w:r>
      <w:proofErr w:type="gramEnd"/>
      <w:r>
        <w:rPr>
          <w:rStyle w:val="normaltextrun"/>
          <w:rFonts w:ascii="Arial" w:hAnsi="Arial" w:cs="Arial"/>
          <w:lang w:val="en-US"/>
        </w:rPr>
        <w:t xml:space="preserve"> the middle column will be the hourly median wage, by community or area. If listed as “N/A'', consult the provincial or territorial wage. If it is not available, consult the national wage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In your application, you must identify the high and low wage for the position, based on the NOC and work location on Job Bank. You must use the most up-to-date wage range on Job Bank at the time of your application.</w:t>
      </w:r>
      <w:r>
        <w:rPr>
          <w:rStyle w:val="eop"/>
          <w:rFonts w:ascii="Arial" w:hAnsi="Arial" w:cs="Arial"/>
        </w:rPr>
        <w:t> </w:t>
      </w:r>
    </w:p>
    <w:p w:rsidR="00853997" w:rsidRPr="00C63B86" w:rsidRDefault="00C23CE5" w:rsidP="00853997">
      <w:pPr>
        <w:pStyle w:val="details"/>
        <w:rPr>
          <w:rStyle w:val="normaltextrun"/>
          <w:bCs/>
          <w:color w:val="333333"/>
          <w:lang w:val="en"/>
        </w:rPr>
      </w:pPr>
      <w:bookmarkStart w:id="0" w:name="_GoBack"/>
      <w:proofErr w:type="gramStart"/>
      <w:r w:rsidRPr="00C63B86">
        <w:rPr>
          <w:rStyle w:val="normaltextrun"/>
          <w:bCs/>
          <w:color w:val="333333"/>
          <w:lang w:val="en"/>
        </w:rPr>
        <w:t>e</w:t>
      </w:r>
      <w:r w:rsidR="00853997" w:rsidRPr="00C63B86">
        <w:rPr>
          <w:rStyle w:val="normaltextrun"/>
          <w:bCs/>
          <w:color w:val="333333"/>
          <w:lang w:val="en"/>
        </w:rPr>
        <w:t>nd</w:t>
      </w:r>
      <w:proofErr w:type="gramEnd"/>
    </w:p>
    <w:bookmarkEnd w:id="0"/>
    <w:p w:rsidR="00853997" w:rsidRDefault="00853997" w:rsidP="00853997">
      <w:pPr>
        <w:pStyle w:val="Alert-info"/>
        <w:rPr>
          <w:rStyle w:val="normaltextrun"/>
          <w:b w:val="0"/>
          <w:bCs/>
          <w:color w:val="333333"/>
          <w:lang w:val="en"/>
        </w:rPr>
      </w:pPr>
    </w:p>
    <w:p w:rsidR="00853997" w:rsidRPr="00C23CE5" w:rsidRDefault="00853997" w:rsidP="00C23CE5">
      <w:pPr>
        <w:pStyle w:val="Heading3"/>
      </w:pPr>
      <w:r w:rsidRPr="00C23CE5">
        <w:rPr>
          <w:rStyle w:val="alert-success"/>
        </w:rPr>
        <w:t>Wage defined by Labour Market Information</w:t>
      </w:r>
      <w:r w:rsidRPr="00C23CE5">
        <w:rPr>
          <w:rStyle w:val="TableGrid"/>
        </w:rPr>
        <w:t> </w:t>
      </w:r>
    </w:p>
    <w:p w:rsidR="00853997" w:rsidRDefault="00853997" w:rsidP="00853997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The wage as defined by other publicly available and credible </w:t>
      </w:r>
      <w:proofErr w:type="spellStart"/>
      <w:r>
        <w:rPr>
          <w:rStyle w:val="normaltextrun"/>
          <w:rFonts w:ascii="Arial" w:hAnsi="Arial" w:cs="Arial"/>
          <w:color w:val="333333"/>
          <w:lang w:val="en"/>
        </w:rPr>
        <w:t>labour</w:t>
      </w:r>
      <w:proofErr w:type="spellEnd"/>
      <w:r>
        <w:rPr>
          <w:rStyle w:val="normaltextrun"/>
          <w:rFonts w:ascii="Arial" w:hAnsi="Arial" w:cs="Arial"/>
          <w:color w:val="333333"/>
          <w:lang w:val="en"/>
        </w:rPr>
        <w:t> market information. 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Alert-info"/>
        <w:rPr>
          <w:noProof/>
        </w:rPr>
      </w:pPr>
      <w:r w:rsidRPr="00853997">
        <w:rPr>
          <w:noProof/>
          <w:highlight w:val="cyan"/>
        </w:rPr>
        <w:t>Wage compensation</w:t>
      </w:r>
    </w:p>
    <w:p w:rsidR="00853997" w:rsidRDefault="00853997" w:rsidP="00853997">
      <w:pPr>
        <w:pStyle w:val="Alert-tex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Wage compensation does not include overtime hours, tips, benefits, profit sharing, bonuses, commissions, or company shares.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333333"/>
          <w:lang w:val="en"/>
        </w:rPr>
      </w:pP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33333"/>
          <w:lang w:val="en"/>
        </w:rPr>
        <w:t>Note</w:t>
      </w:r>
      <w:proofErr w:type="gramStart"/>
      <w:r>
        <w:rPr>
          <w:rStyle w:val="normaltextrun"/>
          <w:rFonts w:ascii="Arial" w:hAnsi="Arial" w:cs="Arial"/>
          <w:b/>
          <w:bCs/>
          <w:color w:val="333333"/>
          <w:lang w:val="en"/>
        </w:rPr>
        <w:t>:</w:t>
      </w:r>
      <w:r>
        <w:rPr>
          <w:rStyle w:val="normaltextrun"/>
          <w:rFonts w:ascii="Arial" w:hAnsi="Arial" w:cs="Arial"/>
          <w:color w:val="333333"/>
          <w:lang w:val="en"/>
        </w:rPr>
        <w:t> </w:t>
      </w:r>
      <w:proofErr w:type="gramEnd"/>
      <w:r>
        <w:rPr>
          <w:rStyle w:val="normaltextrun"/>
          <w:rFonts w:ascii="Arial" w:hAnsi="Arial" w:cs="Arial"/>
          <w:color w:val="333333"/>
          <w:lang w:val="en"/>
        </w:rPr>
        <w:t>Service Canada may modify the </w:t>
      </w:r>
      <w:r>
        <w:rPr>
          <w:rStyle w:val="normaltextrun"/>
          <w:rFonts w:ascii="Arial" w:hAnsi="Arial" w:cs="Arial"/>
          <w:lang w:val="en-US"/>
        </w:rPr>
        <w:t>National Occupational Classification (</w:t>
      </w:r>
      <w:r>
        <w:rPr>
          <w:rStyle w:val="normaltextrun"/>
          <w:rFonts w:ascii="Arial" w:hAnsi="Arial" w:cs="Arial"/>
          <w:color w:val="333333"/>
          <w:lang w:val="en"/>
        </w:rPr>
        <w:t>NOC) selected to best reflect job duties of the position, which may result in an increase to the minimum wage requirements.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333333"/>
          <w:lang w:val="en"/>
        </w:rPr>
      </w:pPr>
    </w:p>
    <w:p w:rsidR="00853997" w:rsidRDefault="00853997" w:rsidP="00853997">
      <w:pPr>
        <w:pStyle w:val="Heading3"/>
        <w:rPr>
          <w:rFonts w:ascii="Segoe UI" w:hAnsi="Segoe UI" w:cs="Segoe UI"/>
          <w:sz w:val="18"/>
          <w:szCs w:val="18"/>
        </w:rPr>
      </w:pPr>
      <w:r>
        <w:rPr>
          <w:rStyle w:val="normaltextrun"/>
          <w:b w:val="0"/>
          <w:bCs w:val="0"/>
          <w:color w:val="333333"/>
          <w:lang w:val="en"/>
        </w:rPr>
        <w:t>Wage required for the Global Talent Stream </w:t>
      </w:r>
      <w:r>
        <w:rPr>
          <w:rStyle w:val="eop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For positions submitted with Category A applications wages depend on the number of positions hired per calendar year: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</w:p>
    <w:p w:rsidR="00853997" w:rsidRDefault="00853997" w:rsidP="00853997">
      <w:pPr>
        <w:pStyle w:val="summary"/>
        <w:rPr>
          <w:sz w:val="24"/>
          <w:szCs w:val="24"/>
        </w:rPr>
      </w:pPr>
      <w:r>
        <w:rPr>
          <w:rStyle w:val="normaltextrun"/>
          <w:lang w:val="en-US"/>
        </w:rPr>
        <w:t>For the first 2 positions</w:t>
      </w:r>
      <w:r>
        <w:rPr>
          <w:rStyle w:val="eop"/>
        </w:rPr>
        <w:t> </w:t>
      </w:r>
    </w:p>
    <w:p w:rsidR="00853997" w:rsidRDefault="00853997" w:rsidP="00853997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A wage of at least $38.46 per hour ($80,000 annual base salary), or 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lang w:val="en-US"/>
        </w:rPr>
        <w:t>a</w:t>
      </w:r>
      <w:proofErr w:type="gramEnd"/>
      <w:r>
        <w:rPr>
          <w:rStyle w:val="normaltextrun"/>
          <w:rFonts w:ascii="Arial" w:hAnsi="Arial" w:cs="Arial"/>
          <w:lang w:val="en-US"/>
        </w:rPr>
        <w:t xml:space="preserve"> wage equivalent to the median wage of the National Occupational Classification (NOC) and work location as provided on Job Bank, if it is higher.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details"/>
        <w:rPr>
          <w:rStyle w:val="normaltextrun"/>
          <w:lang w:val="en-US"/>
        </w:rPr>
      </w:pPr>
      <w:proofErr w:type="gramStart"/>
      <w:r>
        <w:rPr>
          <w:rStyle w:val="normaltextrun"/>
          <w:lang w:val="en-US"/>
        </w:rPr>
        <w:t>end</w:t>
      </w:r>
      <w:proofErr w:type="gramEnd"/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</w:p>
    <w:p w:rsidR="00853997" w:rsidRDefault="00853997" w:rsidP="00853997">
      <w:pPr>
        <w:pStyle w:val="summary"/>
        <w:rPr>
          <w:sz w:val="24"/>
          <w:szCs w:val="24"/>
        </w:rPr>
      </w:pPr>
      <w:r>
        <w:rPr>
          <w:rStyle w:val="normaltextrun"/>
          <w:lang w:val="en-US"/>
        </w:rPr>
        <w:t>For more than 2 positions</w:t>
      </w:r>
      <w:r>
        <w:rPr>
          <w:rStyle w:val="eop"/>
        </w:rPr>
        <w:t> </w:t>
      </w:r>
    </w:p>
    <w:p w:rsidR="00853997" w:rsidRDefault="00853997" w:rsidP="00853997">
      <w:pPr>
        <w:pStyle w:val="bullet"/>
      </w:pPr>
      <w:r>
        <w:rPr>
          <w:rStyle w:val="normaltextrun"/>
          <w:rFonts w:ascii="Arial" w:hAnsi="Arial" w:cs="Arial"/>
          <w:lang w:val="en-US"/>
        </w:rPr>
        <w:t>a wage of at least $72.11 per hour ($150,000 annual base salary), or 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bullet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equivalent to the median wage of the NOC and work location as provided on Job Bank, if it is higher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details"/>
      </w:pPr>
      <w:proofErr w:type="gramStart"/>
      <w:r>
        <w:t>end</w:t>
      </w:r>
      <w:proofErr w:type="gramEnd"/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lastRenderedPageBreak/>
        <w:t>For some Category B positions, there is a minimum wage requirement in order for the position to be eligible for the GTS. 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6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NOC 2281: Minimum of $82,000 per year and $39.42 per hour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6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NOC 2283: Minimum of $80,000 per year and $38.46 per hour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6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NOC 5131: Minimum of $78,000 per year and $37.50 per hour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6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NOC 5241: Minimum of $80,000 per year and $38.46 per hour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n-US"/>
        </w:rPr>
        <w:t>Note:</w:t>
      </w:r>
      <w:r>
        <w:rPr>
          <w:rStyle w:val="normaltextrun"/>
          <w:rFonts w:ascii="Arial" w:hAnsi="Arial" w:cs="Arial"/>
          <w:lang w:val="en-US"/>
        </w:rPr>
        <w:t> </w:t>
      </w:r>
      <w:r>
        <w:rPr>
          <w:rStyle w:val="normaltextrun"/>
          <w:rFonts w:ascii="Arial" w:hAnsi="Arial" w:cs="Arial"/>
          <w:color w:val="333333"/>
          <w:lang w:val="en-US"/>
        </w:rPr>
        <w:t>If you are submitting an application from the province of Quebec, consult </w:t>
      </w:r>
      <w:hyperlink r:id="rId10" w:tgtFrame="_blank" w:history="1"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  <w:lang w:val="en-US"/>
          </w:rPr>
          <w:t>Quebec’s </w:t>
        </w:r>
        <w:proofErr w:type="spellStart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>ministère</w:t>
        </w:r>
        <w:proofErr w:type="spellEnd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 xml:space="preserve"> de </w:t>
        </w:r>
        <w:proofErr w:type="spellStart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>l’Immigration</w:t>
        </w:r>
        <w:proofErr w:type="spellEnd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 xml:space="preserve">, de la Francisation </w:t>
        </w:r>
        <w:proofErr w:type="gramStart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>et</w:t>
        </w:r>
        <w:proofErr w:type="gramEnd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 xml:space="preserve"> de </w:t>
        </w:r>
        <w:proofErr w:type="spellStart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>l’Intégration</w:t>
        </w:r>
        <w:proofErr w:type="spellEnd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 xml:space="preserve"> (MIFI)</w:t>
        </w:r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  <w:lang w:val="en-US"/>
          </w:rPr>
          <w:t> website (French only)</w:t>
        </w:r>
      </w:hyperlink>
      <w:r>
        <w:rPr>
          <w:rStyle w:val="normaltextrun"/>
          <w:rFonts w:ascii="Arial" w:hAnsi="Arial" w:cs="Arial"/>
          <w:color w:val="333333"/>
          <w:lang w:val="en-US"/>
        </w:rPr>
        <w:t> for wage floors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40"/>
          <w:szCs w:val="40"/>
          <w:lang w:val="en"/>
        </w:rPr>
      </w:pPr>
    </w:p>
    <w:p w:rsidR="00853997" w:rsidRDefault="00853997" w:rsidP="00853997">
      <w:pPr>
        <w:pStyle w:val="Heading2"/>
        <w:rPr>
          <w:rFonts w:ascii="Segoe UI" w:hAnsi="Segoe UI" w:cs="Segoe UI"/>
          <w:sz w:val="18"/>
          <w:szCs w:val="18"/>
        </w:rPr>
      </w:pPr>
      <w:r>
        <w:rPr>
          <w:rStyle w:val="normaltextrun"/>
          <w:b w:val="0"/>
          <w:bCs w:val="0"/>
          <w:sz w:val="40"/>
          <w:szCs w:val="40"/>
          <w:lang w:val="en"/>
        </w:rPr>
        <w:t>Unionized positions </w:t>
      </w:r>
      <w:r>
        <w:rPr>
          <w:rStyle w:val="eop"/>
          <w:b w:val="0"/>
          <w:bCs w:val="0"/>
          <w:sz w:val="40"/>
          <w:szCs w:val="40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If you are applying to hire TFWs for positions covered under a collective agreement, you must</w:t>
      </w:r>
      <w:proofErr w:type="gramStart"/>
      <w:r>
        <w:rPr>
          <w:rStyle w:val="normaltextrun"/>
          <w:rFonts w:ascii="Arial" w:hAnsi="Arial" w:cs="Arial"/>
          <w:color w:val="333333"/>
          <w:lang w:val="en"/>
        </w:rPr>
        <w:t>: </w:t>
      </w:r>
      <w:proofErr w:type="gramEnd"/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bullet"/>
      </w:pPr>
      <w:r>
        <w:rPr>
          <w:rStyle w:val="normaltextrun"/>
          <w:rFonts w:ascii="Arial" w:hAnsi="Arial" w:cs="Arial"/>
          <w:color w:val="333333"/>
          <w:lang w:val="en"/>
        </w:rPr>
        <w:t>advertise and offer the same wage rates as those established under the collective agreement 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bullet"/>
      </w:pPr>
      <w:proofErr w:type="gramStart"/>
      <w:r>
        <w:rPr>
          <w:rStyle w:val="normaltextrun"/>
          <w:rFonts w:ascii="Arial" w:hAnsi="Arial" w:cs="Arial"/>
          <w:lang w:val="en-US"/>
        </w:rPr>
        <w:t>offer</w:t>
      </w:r>
      <w:proofErr w:type="gramEnd"/>
      <w:r>
        <w:rPr>
          <w:rStyle w:val="normaltextrun"/>
          <w:rFonts w:ascii="Arial" w:hAnsi="Arial" w:cs="Arial"/>
          <w:lang w:val="en-US"/>
        </w:rPr>
        <w:t xml:space="preserve"> the TFW the same terms and conditions as Canadian and permanent resident workers  The hiring of TFWs must not affect current or future </w:t>
      </w:r>
      <w:proofErr w:type="spellStart"/>
      <w:r>
        <w:rPr>
          <w:rStyle w:val="normaltextrun"/>
          <w:rFonts w:ascii="Arial" w:hAnsi="Arial" w:cs="Arial"/>
          <w:lang w:val="en-US"/>
        </w:rPr>
        <w:t>labour</w:t>
      </w:r>
      <w:proofErr w:type="spellEnd"/>
      <w:r>
        <w:rPr>
          <w:rStyle w:val="normaltextrun"/>
          <w:rFonts w:ascii="Arial" w:hAnsi="Arial" w:cs="Arial"/>
          <w:lang w:val="en-US"/>
        </w:rPr>
        <w:t> disputes.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summary"/>
      </w:pPr>
      <w:r>
        <w:rPr>
          <w:rStyle w:val="normaltextrun"/>
          <w:lang w:val="en-US"/>
        </w:rPr>
        <w:t>Employers hiring in Quebec</w:t>
      </w:r>
      <w:r>
        <w:rPr>
          <w:rStyle w:val="eop"/>
        </w:rPr>
        <w:t> </w:t>
      </w:r>
    </w:p>
    <w:p w:rsidR="00853997" w:rsidRDefault="00853997" w:rsidP="00853997">
      <w:r>
        <w:rPr>
          <w:rStyle w:val="normaltextrun"/>
          <w:rFonts w:ascii="Arial" w:hAnsi="Arial" w:cs="Arial"/>
          <w:color w:val="333333"/>
          <w:lang w:val="en"/>
        </w:rPr>
        <w:t> </w:t>
      </w:r>
      <w:r>
        <w:rPr>
          <w:rStyle w:val="normaltextrun"/>
          <w:rFonts w:ascii="Arial" w:hAnsi="Arial" w:cs="Arial"/>
          <w:lang w:val="en-US"/>
        </w:rPr>
        <w:t>If you are hiring a TFW in Quebec, consult the </w:t>
      </w:r>
      <w:hyperlink r:id="rId11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Quebec’s </w:t>
        </w:r>
        <w:proofErr w:type="spellStart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ministère</w:t>
        </w:r>
        <w:proofErr w:type="spellEnd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 xml:space="preserve"> de </w:t>
        </w:r>
        <w:proofErr w:type="spellStart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l’Immigration</w:t>
        </w:r>
        <w:proofErr w:type="spellEnd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 xml:space="preserve">, de la </w:t>
        </w:r>
        <w:proofErr w:type="spellStart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Francisation</w:t>
        </w:r>
        <w:proofErr w:type="spellEnd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 xml:space="preserve"> et de </w:t>
        </w:r>
        <w:proofErr w:type="spellStart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l’Intégration</w:t>
        </w:r>
        <w:proofErr w:type="spellEnd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 xml:space="preserve"> (MIFI</w:t>
        </w:r>
        <w:proofErr w:type="gramStart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) </w:t>
        </w:r>
        <w:proofErr w:type="gramEnd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website</w:t>
        </w:r>
      </w:hyperlink>
      <w:r>
        <w:rPr>
          <w:rStyle w:val="normaltextrun"/>
          <w:rFonts w:ascii="Arial" w:hAnsi="Arial" w:cs="Arial"/>
          <w:lang w:val="en-US"/>
        </w:rPr>
        <w:t> to determine the offered wages. Wages offered must be consistent with the wage rate paid to Canadians and permanent residents, working in the same occupation and work location.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details"/>
        <w:rPr>
          <w:rStyle w:val="eop"/>
        </w:rPr>
      </w:pPr>
      <w:proofErr w:type="gramStart"/>
      <w:r>
        <w:rPr>
          <w:rStyle w:val="eop"/>
        </w:rPr>
        <w:t>end</w:t>
      </w:r>
      <w:proofErr w:type="gramEnd"/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n-US"/>
        </w:rPr>
        <w:t>Note:</w:t>
      </w:r>
      <w:r>
        <w:rPr>
          <w:rStyle w:val="normaltextrun"/>
          <w:rFonts w:ascii="Arial" w:hAnsi="Arial" w:cs="Arial"/>
          <w:lang w:val="en-US"/>
        </w:rPr>
        <w:t> Employers must offer the equivalent of both the hourly wage rate and annual base salary at minimum.  </w:t>
      </w:r>
      <w:r>
        <w:rPr>
          <w:rStyle w:val="eop"/>
          <w:rFonts w:ascii="Arial" w:hAnsi="Arial" w:cs="Arial"/>
        </w:rPr>
        <w:t> </w:t>
      </w:r>
    </w:p>
    <w:p w:rsidR="00853997" w:rsidRPr="00132CAC" w:rsidRDefault="00853997" w:rsidP="00853997"/>
    <w:p w:rsidR="00DE0C91" w:rsidRPr="00853997" w:rsidRDefault="00C63B86" w:rsidP="00853997"/>
    <w:sectPr w:rsidR="00DE0C91" w:rsidRPr="00853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F455F"/>
    <w:multiLevelType w:val="multilevel"/>
    <w:tmpl w:val="06DE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47534A"/>
    <w:multiLevelType w:val="multilevel"/>
    <w:tmpl w:val="0DD2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34014"/>
    <w:multiLevelType w:val="multilevel"/>
    <w:tmpl w:val="14E2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B6339C"/>
    <w:multiLevelType w:val="multilevel"/>
    <w:tmpl w:val="4D12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36575B"/>
    <w:multiLevelType w:val="multilevel"/>
    <w:tmpl w:val="23B8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6753FB"/>
    <w:multiLevelType w:val="multilevel"/>
    <w:tmpl w:val="F1C4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82083C"/>
    <w:multiLevelType w:val="multilevel"/>
    <w:tmpl w:val="0976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9"/>
  </w:num>
  <w:num w:numId="5">
    <w:abstractNumId w:val="25"/>
  </w:num>
  <w:num w:numId="6">
    <w:abstractNumId w:val="13"/>
  </w:num>
  <w:num w:numId="7">
    <w:abstractNumId w:val="8"/>
  </w:num>
  <w:num w:numId="8">
    <w:abstractNumId w:val="22"/>
  </w:num>
  <w:num w:numId="9">
    <w:abstractNumId w:val="12"/>
  </w:num>
  <w:num w:numId="10">
    <w:abstractNumId w:val="14"/>
  </w:num>
  <w:num w:numId="11">
    <w:abstractNumId w:val="7"/>
  </w:num>
  <w:num w:numId="12">
    <w:abstractNumId w:val="1"/>
  </w:num>
  <w:num w:numId="13">
    <w:abstractNumId w:val="17"/>
  </w:num>
  <w:num w:numId="14">
    <w:abstractNumId w:val="21"/>
  </w:num>
  <w:num w:numId="15">
    <w:abstractNumId w:val="2"/>
  </w:num>
  <w:num w:numId="16">
    <w:abstractNumId w:val="3"/>
  </w:num>
  <w:num w:numId="17">
    <w:abstractNumId w:val="20"/>
  </w:num>
  <w:num w:numId="18">
    <w:abstractNumId w:val="6"/>
  </w:num>
  <w:num w:numId="19">
    <w:abstractNumId w:val="19"/>
  </w:num>
  <w:num w:numId="20">
    <w:abstractNumId w:val="24"/>
  </w:num>
  <w:num w:numId="21">
    <w:abstractNumId w:val="23"/>
  </w:num>
  <w:num w:numId="22">
    <w:abstractNumId w:val="4"/>
  </w:num>
  <w:num w:numId="23">
    <w:abstractNumId w:val="10"/>
  </w:num>
  <w:num w:numId="24">
    <w:abstractNumId w:val="26"/>
  </w:num>
  <w:num w:numId="25">
    <w:abstractNumId w:val="5"/>
  </w:num>
  <w:num w:numId="26">
    <w:abstractNumId w:val="1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97"/>
    <w:rsid w:val="002A5128"/>
    <w:rsid w:val="007E250C"/>
    <w:rsid w:val="00853997"/>
    <w:rsid w:val="00C23CE5"/>
    <w:rsid w:val="00C6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CE38"/>
  <w15:chartTrackingRefBased/>
  <w15:docId w15:val="{999BB1B9-B998-44D4-8ABD-9E1D361A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997"/>
  </w:style>
  <w:style w:type="paragraph" w:styleId="Heading1">
    <w:name w:val="heading 1"/>
    <w:basedOn w:val="Normal"/>
    <w:link w:val="Heading1Char"/>
    <w:uiPriority w:val="9"/>
    <w:qFormat/>
    <w:rsid w:val="00853997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853997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853997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  <w:rsid w:val="0085399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53997"/>
  </w:style>
  <w:style w:type="character" w:customStyle="1" w:styleId="Heading1Char">
    <w:name w:val="Heading 1 Char"/>
    <w:basedOn w:val="DefaultParagraphFont"/>
    <w:link w:val="Heading1"/>
    <w:uiPriority w:val="9"/>
    <w:rsid w:val="00853997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53997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853997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853997"/>
  </w:style>
  <w:style w:type="character" w:styleId="Hyperlink">
    <w:name w:val="Hyperlink"/>
    <w:basedOn w:val="DefaultParagraphFont"/>
    <w:uiPriority w:val="99"/>
    <w:semiHidden/>
    <w:unhideWhenUsed/>
    <w:rsid w:val="00853997"/>
    <w:rPr>
      <w:color w:val="0000FF"/>
      <w:u w:val="single"/>
    </w:rPr>
  </w:style>
  <w:style w:type="character" w:customStyle="1" w:styleId="hidden-xs">
    <w:name w:val="hidden-xs"/>
    <w:basedOn w:val="DefaultParagraphFont"/>
    <w:rsid w:val="0085399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3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3997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85399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3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3997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5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53997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853997"/>
    <w:rPr>
      <w:i/>
      <w:iCs/>
    </w:rPr>
  </w:style>
  <w:style w:type="paragraph" w:customStyle="1" w:styleId="label-primary">
    <w:name w:val="label-primary"/>
    <w:basedOn w:val="Normal"/>
    <w:qFormat/>
    <w:rsid w:val="00853997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853997"/>
  </w:style>
  <w:style w:type="paragraph" w:customStyle="1" w:styleId="bullet">
    <w:name w:val="bullet"/>
    <w:basedOn w:val="Normal"/>
    <w:qFormat/>
    <w:rsid w:val="00853997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853997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853997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853997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853997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853997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853997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53997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853997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853997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853997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853997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53997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853997"/>
  </w:style>
  <w:style w:type="character" w:customStyle="1" w:styleId="html-attribute-value">
    <w:name w:val="html-attribute-value"/>
    <w:basedOn w:val="DefaultParagraphFont"/>
    <w:rsid w:val="00853997"/>
  </w:style>
  <w:style w:type="character" w:customStyle="1" w:styleId="html-tag">
    <w:name w:val="html-tag"/>
    <w:basedOn w:val="DefaultParagraphFont"/>
    <w:rsid w:val="00853997"/>
  </w:style>
  <w:style w:type="paragraph" w:customStyle="1" w:styleId="numbered">
    <w:name w:val="numbered"/>
    <w:basedOn w:val="bullet"/>
    <w:qFormat/>
    <w:rsid w:val="00853997"/>
    <w:pPr>
      <w:numPr>
        <w:numId w:val="18"/>
      </w:numPr>
    </w:pPr>
  </w:style>
  <w:style w:type="paragraph" w:customStyle="1" w:styleId="btn-cta">
    <w:name w:val="btn-cta"/>
    <w:basedOn w:val="Normal"/>
    <w:qFormat/>
    <w:rsid w:val="00853997"/>
    <w:rPr>
      <w:b/>
      <w:sz w:val="28"/>
    </w:rPr>
  </w:style>
  <w:style w:type="paragraph" w:customStyle="1" w:styleId="alert">
    <w:name w:val="alert"/>
    <w:basedOn w:val="Heading3"/>
    <w:qFormat/>
    <w:rsid w:val="00853997"/>
  </w:style>
  <w:style w:type="paragraph" w:customStyle="1" w:styleId="btn-primary">
    <w:name w:val="btn-primary"/>
    <w:basedOn w:val="btn-cta"/>
    <w:qFormat/>
    <w:rsid w:val="00853997"/>
  </w:style>
  <w:style w:type="paragraph" w:customStyle="1" w:styleId="btn-secondary">
    <w:name w:val="btn-secondary"/>
    <w:basedOn w:val="btn-primary"/>
    <w:qFormat/>
    <w:rsid w:val="00853997"/>
    <w:rPr>
      <w:sz w:val="24"/>
    </w:rPr>
  </w:style>
  <w:style w:type="paragraph" w:customStyle="1" w:styleId="alert-warning">
    <w:name w:val="alert-warning"/>
    <w:basedOn w:val="Alert-text"/>
    <w:qFormat/>
    <w:rsid w:val="00853997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853997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853997"/>
  </w:style>
  <w:style w:type="paragraph" w:customStyle="1" w:styleId="Alert-info">
    <w:name w:val="Alert-info"/>
    <w:basedOn w:val="Alert-text"/>
    <w:qFormat/>
    <w:rsid w:val="00853997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853997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85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53997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53997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53997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paragraph">
    <w:name w:val="paragraph"/>
    <w:basedOn w:val="Normal"/>
    <w:rsid w:val="0085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853997"/>
  </w:style>
  <w:style w:type="character" w:customStyle="1" w:styleId="eop">
    <w:name w:val="eop"/>
    <w:basedOn w:val="DefaultParagraphFont"/>
    <w:rsid w:val="00853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c.esdc.gc.ca/?GoCTemplateCulture=en-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nada.ca/en/revenue-agency/services/benefits/recovery-benefit/crb-getting-paymen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ada.ca/en/revenue-agency/services/benefits/recovery-benefit/crb-getting-payments.html" TargetMode="External"/><Relationship Id="rId11" Type="http://schemas.openxmlformats.org/officeDocument/2006/relationships/hyperlink" Target="http://www.immigration-quebec.gouv.qc.ca/fr/employeurs/embaucher-temporaire/talents-mondiaux/index.html" TargetMode="External"/><Relationship Id="rId5" Type="http://schemas.openxmlformats.org/officeDocument/2006/relationships/hyperlink" Target="https://www.canada.ca/en/revenue-agency/services/benefits/recovery-benefit/crb-getting-payments.html" TargetMode="External"/><Relationship Id="rId10" Type="http://schemas.openxmlformats.org/officeDocument/2006/relationships/hyperlink" Target="http://www.immigration-quebec.gouv.qc.ca/fr/employeurs/embaucher-temporaire/talents-mondiaux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bbank.gc.ca/trend-analysis/search-wag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pepin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11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3</cp:revision>
  <dcterms:created xsi:type="dcterms:W3CDTF">2021-12-23T13:55:00Z</dcterms:created>
  <dcterms:modified xsi:type="dcterms:W3CDTF">2021-12-23T14:06:00Z</dcterms:modified>
</cp:coreProperties>
</file>