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8611F" w14:textId="5D30B541" w:rsidR="00D63656" w:rsidRDefault="00D63656" w:rsidP="00D63656">
      <w:pPr>
        <w:pStyle w:val="Heading1"/>
        <w:rPr>
          <w:noProof/>
        </w:rPr>
      </w:pPr>
      <w:bookmarkStart w:id="0" w:name="_Toc165961511"/>
      <w:r>
        <w:rPr>
          <w:noProof/>
        </w:rPr>
        <w:t>Methodology</w:t>
      </w:r>
    </w:p>
    <w:p w14:paraId="0ABF4A44" w14:textId="77777777" w:rsidR="00D63656" w:rsidRDefault="00D63656" w:rsidP="00D63656">
      <w:pPr>
        <w:keepNext/>
        <w:tabs>
          <w:tab w:val="num" w:pos="360"/>
        </w:tabs>
        <w:jc w:val="center"/>
      </w:pPr>
      <w:r>
        <w:rPr>
          <w:noProof/>
        </w:rPr>
        <w:drawing>
          <wp:inline distT="0" distB="0" distL="0" distR="0" wp14:anchorId="749635B9" wp14:editId="4A697F3D">
            <wp:extent cx="3937516" cy="5271715"/>
            <wp:effectExtent l="0" t="0" r="6350" b="5715"/>
            <wp:docPr id="735141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239" cy="5280716"/>
                    </a:xfrm>
                    <a:prstGeom prst="rect">
                      <a:avLst/>
                    </a:prstGeom>
                    <a:noFill/>
                  </pic:spPr>
                </pic:pic>
              </a:graphicData>
            </a:graphic>
          </wp:inline>
        </w:drawing>
      </w:r>
    </w:p>
    <w:p w14:paraId="1E0F3539" w14:textId="67C65975" w:rsidR="00D63656" w:rsidRDefault="00D63656" w:rsidP="00D63656">
      <w:pPr>
        <w:pStyle w:val="Caption"/>
        <w:jc w:val="center"/>
        <w:rPr>
          <w:noProof/>
        </w:rPr>
      </w:pPr>
      <w:r>
        <w:t xml:space="preserve">Figure </w:t>
      </w:r>
      <w:r>
        <w:fldChar w:fldCharType="begin"/>
      </w:r>
      <w:r>
        <w:instrText xml:space="preserve"> SEQ Figuur \* ARABIC </w:instrText>
      </w:r>
      <w:r>
        <w:fldChar w:fldCharType="separate"/>
      </w:r>
      <w:r>
        <w:rPr>
          <w:noProof/>
        </w:rPr>
        <w:t>1</w:t>
      </w:r>
      <w:r>
        <w:fldChar w:fldCharType="end"/>
      </w:r>
      <w:r>
        <w:t>: Methodology Flow</w:t>
      </w:r>
      <w:r>
        <w:rPr>
          <w:noProof/>
        </w:rPr>
        <w:t xml:space="preserve"> Chart</w:t>
      </w:r>
    </w:p>
    <w:p w14:paraId="37C0E2AF" w14:textId="77777777" w:rsidR="00CA4D56" w:rsidRPr="00CA4D56" w:rsidRDefault="00CA4D56" w:rsidP="00CA4D56"/>
    <w:p w14:paraId="36F0A8E3" w14:textId="77777777" w:rsidR="00D63656" w:rsidRDefault="00D63656" w:rsidP="00D63656">
      <w:pPr>
        <w:pStyle w:val="Heading3"/>
        <w:numPr>
          <w:ilvl w:val="0"/>
          <w:numId w:val="2"/>
        </w:numPr>
        <w:tabs>
          <w:tab w:val="num" w:pos="360"/>
        </w:tabs>
        <w:ind w:left="0" w:firstLine="0"/>
        <w:rPr>
          <w:lang w:val="en-US"/>
        </w:rPr>
      </w:pPr>
      <w:r>
        <w:rPr>
          <w:lang w:val="en-US"/>
        </w:rPr>
        <w:t>Change Detection and Soil Moisture Time Series Extraction</w:t>
      </w:r>
      <w:bookmarkEnd w:id="0"/>
    </w:p>
    <w:p w14:paraId="498BCEDA" w14:textId="77777777" w:rsidR="00D63656" w:rsidRDefault="00D63656" w:rsidP="00D63656">
      <w:pPr>
        <w:rPr>
          <w:lang w:val="en-US"/>
        </w:rPr>
      </w:pPr>
      <w:r>
        <w:rPr>
          <w:lang w:val="en-US"/>
        </w:rPr>
        <w:t xml:space="preserve">A linear scaling algorithm, change detection was used to inverse soil moisture time series from Sentinel-1 backscatter. The original method introduced by Wagner et al. (1999), is based on two main assumptions. First, the assumption is that all changes in the Sentinel-1 backscatter coefficient observations can be attributed to the changes in the soil moisture. The second assumption is that changes in soil moisture and changes in observed backscatter coefficients are linearly related to one another. </w:t>
      </w:r>
    </w:p>
    <w:p w14:paraId="138B587D" w14:textId="77777777" w:rsidR="00D63656" w:rsidRDefault="00D63656" w:rsidP="00D63656">
      <w:pPr>
        <w:rPr>
          <w:lang w:val="en-US"/>
        </w:rPr>
      </w:pPr>
      <w:r>
        <w:rPr>
          <w:lang w:val="en-US"/>
        </w:rPr>
        <w:t xml:space="preserve">One advantage of change detection algorithm for soil moisture estimation is that it doesn’t require detailed ground information. The main approach of the algorithm is based on the scaling of </w:t>
      </w:r>
      <w:r>
        <w:rPr>
          <w:lang w:val="en-US"/>
        </w:rPr>
        <w:lastRenderedPageBreak/>
        <w:t>minimum and maximum observed backscatter coefficients to the observed dry and wet conditions respectively. Equation 1 below provides an overview of the change detection model.</w:t>
      </w:r>
    </w:p>
    <w:p w14:paraId="63CE7E56" w14:textId="77777777" w:rsidR="00D63656" w:rsidRPr="00CB3B68" w:rsidRDefault="00D63656" w:rsidP="00D63656">
      <w:pPr>
        <w:jc w:val="center"/>
        <w:rPr>
          <w:rFonts w:eastAsiaTheme="minorEastAsia"/>
          <w:lang w:val="en-US"/>
        </w:rPr>
      </w:pPr>
      <m:oMath>
        <m:r>
          <w:rPr>
            <w:rFonts w:ascii="Cambria Math" w:hAnsi="Cambria Math"/>
            <w:lang w:val="en-US"/>
          </w:rPr>
          <m:t>rsi=</m:t>
        </m:r>
        <m:f>
          <m:fPr>
            <m:ctrlPr>
              <w:rPr>
                <w:rFonts w:ascii="Cambria Math" w:hAnsi="Cambria Math"/>
                <w:i/>
                <w:lang w:val="en-US"/>
              </w:rPr>
            </m:ctrlPr>
          </m:fPr>
          <m:num>
            <m:r>
              <w:rPr>
                <w:rFonts w:ascii="Cambria Math" w:hAnsi="Cambria Math"/>
                <w:lang w:val="en-US"/>
              </w:rPr>
              <m:t>s1_im-s1_min</m:t>
            </m:r>
          </m:num>
          <m:den>
            <m:r>
              <w:rPr>
                <w:rFonts w:ascii="Cambria Math" w:hAnsi="Cambria Math"/>
                <w:lang w:val="en-US"/>
              </w:rPr>
              <m:t>s1_max-s1_min</m:t>
            </m:r>
          </m:den>
        </m:f>
      </m:oMath>
      <w:r w:rsidRPr="00E86DAC">
        <w:rPr>
          <w:rFonts w:eastAsiaTheme="minorEastAsia"/>
          <w:lang w:val="en-US"/>
        </w:rPr>
        <w:t xml:space="preserve"> </w:t>
      </w:r>
      <w:r>
        <w:rPr>
          <w:rFonts w:eastAsiaTheme="minorEastAsia"/>
          <w:lang w:val="en-US"/>
        </w:rPr>
        <w:t xml:space="preserve"> </w:t>
      </w:r>
      <w:r>
        <w:rPr>
          <w:rFonts w:eastAsiaTheme="minorEastAsia"/>
          <w:lang w:val="en-US"/>
        </w:rPr>
        <w:tab/>
      </w:r>
      <w:r>
        <w:rPr>
          <w:rFonts w:eastAsiaTheme="minorEastAsia"/>
          <w:lang w:val="en-US"/>
        </w:rPr>
        <w:tab/>
        <w:t>equation 1</w:t>
      </w:r>
    </w:p>
    <w:p w14:paraId="03D19BA9" w14:textId="77777777" w:rsidR="00D63656" w:rsidRDefault="00D63656" w:rsidP="00D63656">
      <w:pPr>
        <w:rPr>
          <w:rFonts w:eastAsiaTheme="minorEastAsia"/>
          <w:lang w:val="en-US"/>
        </w:rPr>
      </w:pPr>
      <w:r>
        <w:rPr>
          <w:rFonts w:eastAsiaTheme="minorEastAsia"/>
          <w:lang w:val="en-US"/>
        </w:rPr>
        <w:t xml:space="preserve">Where </w:t>
      </w:r>
      <w:proofErr w:type="spellStart"/>
      <w:r>
        <w:rPr>
          <w:rFonts w:eastAsiaTheme="minorEastAsia"/>
          <w:lang w:val="en-US"/>
        </w:rPr>
        <w:t>rsi</w:t>
      </w:r>
      <w:proofErr w:type="spellEnd"/>
      <w:r>
        <w:rPr>
          <w:rFonts w:eastAsiaTheme="minorEastAsia"/>
          <w:lang w:val="en-US"/>
        </w:rPr>
        <w:t xml:space="preserve"> is the computed relative saturation index while s1_im is an incident Sentinel-1 backscatter. s1_min and s1_max are the minimum and maximum backscatter observations respectively. In this study 2.5 and 97.5</w:t>
      </w:r>
      <w:r w:rsidRPr="00CB3B68">
        <w:rPr>
          <w:rFonts w:eastAsiaTheme="minorEastAsia"/>
          <w:lang w:val="en-US"/>
        </w:rPr>
        <w:t xml:space="preserve"> </w:t>
      </w:r>
      <w:r>
        <w:rPr>
          <w:rFonts w:eastAsiaTheme="minorEastAsia"/>
          <w:lang w:val="en-US"/>
        </w:rPr>
        <w:t>percentiles over the hydrological year were used instead of the absolute minimum and maximum backscatter as they can be outliers.</w:t>
      </w:r>
    </w:p>
    <w:p w14:paraId="1B4D63E2" w14:textId="77777777" w:rsidR="00D63656" w:rsidRDefault="00D63656" w:rsidP="00D63656">
      <w:pPr>
        <w:rPr>
          <w:lang w:val="en-US"/>
        </w:rPr>
      </w:pPr>
      <w:r>
        <w:rPr>
          <w:lang w:val="en-US"/>
        </w:rPr>
        <w:t>To generate volumetric soil moisture, the computed relative saturation index was linearly scaled to the soil moisture content at the welting and saturation point using equation 2 below:</w:t>
      </w:r>
    </w:p>
    <w:p w14:paraId="02FDA581" w14:textId="77777777" w:rsidR="00D63656" w:rsidRPr="00AC3E0A" w:rsidRDefault="00D63656" w:rsidP="00D63656">
      <w:pPr>
        <w:jc w:val="center"/>
        <w:rPr>
          <w:rFonts w:eastAsiaTheme="minorEastAsia"/>
          <w:lang w:val="en-US"/>
        </w:rPr>
      </w:pPr>
      <m:oMath>
        <m:r>
          <w:rPr>
            <w:rFonts w:ascii="Cambria Math" w:hAnsi="Cambria Math"/>
            <w:lang w:val="en-US"/>
          </w:rPr>
          <m:t>VSM=</m:t>
        </m:r>
        <m:d>
          <m:dPr>
            <m:ctrlPr>
              <w:rPr>
                <w:rFonts w:ascii="Cambria Math" w:hAnsi="Cambria Math"/>
                <w:i/>
                <w:lang w:val="en-US"/>
              </w:rPr>
            </m:ctrlPr>
          </m:dPr>
          <m:e>
            <m:r>
              <w:rPr>
                <w:rFonts w:ascii="Cambria Math" w:hAnsi="Cambria Math"/>
                <w:lang w:val="en-US"/>
              </w:rPr>
              <m:t>SAT-WP</m:t>
            </m:r>
          </m:e>
        </m:d>
        <m:r>
          <w:rPr>
            <w:rFonts w:ascii="Cambria Math" w:hAnsi="Cambria Math"/>
            <w:lang w:val="en-US"/>
          </w:rPr>
          <m:t>*(rsi+WP)</m:t>
        </m:r>
      </m:oMath>
      <w:r w:rsidRPr="00E86DAC">
        <w:rPr>
          <w:rFonts w:eastAsiaTheme="minorEastAsia"/>
          <w:lang w:val="en-US"/>
        </w:rPr>
        <w:t xml:space="preserve"> </w:t>
      </w:r>
      <w:r>
        <w:rPr>
          <w:rFonts w:eastAsiaTheme="minorEastAsia"/>
          <w:lang w:val="en-US"/>
        </w:rPr>
        <w:tab/>
      </w:r>
      <w:r>
        <w:rPr>
          <w:rFonts w:eastAsiaTheme="minorEastAsia"/>
          <w:lang w:val="en-US"/>
        </w:rPr>
        <w:tab/>
        <w:t>equation 2</w:t>
      </w:r>
    </w:p>
    <w:p w14:paraId="57C2F584" w14:textId="77777777" w:rsidR="00D63656" w:rsidRDefault="00D63656" w:rsidP="00D63656">
      <w:pPr>
        <w:rPr>
          <w:rFonts w:eastAsiaTheme="minorEastAsia"/>
          <w:lang w:val="en-US"/>
        </w:rPr>
      </w:pPr>
      <w:r>
        <w:rPr>
          <w:rFonts w:eastAsiaTheme="minorEastAsia"/>
          <w:lang w:val="en-US"/>
        </w:rPr>
        <w:t>Where VSM is the volumetric soil moisture, while SAT and WP represent the soil moisture content during the soil saturated and welting points respectively. Soil hydrological properties were used to derive the SAT and WP information from BOFEK2020 soil dataset.</w:t>
      </w:r>
    </w:p>
    <w:p w14:paraId="5FCD6ABA" w14:textId="77777777" w:rsidR="00CA4D56" w:rsidRDefault="00CA4D56" w:rsidP="00D63656">
      <w:pPr>
        <w:rPr>
          <w:rFonts w:eastAsiaTheme="minorEastAsia"/>
          <w:lang w:val="en-US"/>
        </w:rPr>
      </w:pPr>
    </w:p>
    <w:p w14:paraId="6D51B6DF" w14:textId="77777777" w:rsidR="00D63656" w:rsidRDefault="00D63656" w:rsidP="00D63656">
      <w:pPr>
        <w:pStyle w:val="Heading3"/>
        <w:numPr>
          <w:ilvl w:val="0"/>
          <w:numId w:val="2"/>
        </w:numPr>
        <w:tabs>
          <w:tab w:val="num" w:pos="360"/>
        </w:tabs>
        <w:ind w:left="0" w:firstLine="0"/>
        <w:rPr>
          <w:lang w:val="en-US"/>
        </w:rPr>
      </w:pPr>
      <w:bookmarkStart w:id="1" w:name="_Toc163487537"/>
      <w:bookmarkStart w:id="2" w:name="_Toc163487618"/>
      <w:bookmarkStart w:id="3" w:name="_Toc163492333"/>
      <w:bookmarkStart w:id="4" w:name="_Toc165961512"/>
      <w:bookmarkEnd w:id="1"/>
      <w:bookmarkEnd w:id="2"/>
      <w:bookmarkEnd w:id="3"/>
      <w:r>
        <w:rPr>
          <w:lang w:val="en-US"/>
        </w:rPr>
        <w:t>Exponential Low Pass Filter</w:t>
      </w:r>
      <w:bookmarkEnd w:id="4"/>
    </w:p>
    <w:p w14:paraId="72E18BC2" w14:textId="77777777" w:rsidR="00D63656" w:rsidRDefault="00D63656" w:rsidP="00D63656">
      <w:pPr>
        <w:rPr>
          <w:lang w:val="en-US"/>
        </w:rPr>
      </w:pPr>
      <w:r>
        <w:rPr>
          <w:lang w:val="en-US"/>
        </w:rPr>
        <w:t>Mostly, time series of deep-water storage has been found to be less dynamic than surface and shallow water storage. In this study,</w:t>
      </w:r>
      <w:r w:rsidRPr="004D0FA9">
        <w:rPr>
          <w:lang w:val="en-US"/>
        </w:rPr>
        <w:t xml:space="preserve"> </w:t>
      </w:r>
      <w:r>
        <w:rPr>
          <w:lang w:val="en-US"/>
        </w:rPr>
        <w:t>the generated soil moisture time series was smoothened to match the groundwater dynamics. To achieve this, an Exponential low-pass filter method (ELPF) was used to delay soil moisture dynamics.</w:t>
      </w:r>
    </w:p>
    <w:p w14:paraId="51BB9054" w14:textId="77777777" w:rsidR="00D63656" w:rsidRDefault="00D63656" w:rsidP="00D63656">
      <w:pPr>
        <w:rPr>
          <w:lang w:val="en-US"/>
        </w:rPr>
      </w:pPr>
      <w:r>
        <w:rPr>
          <w:lang w:val="en-US"/>
        </w:rPr>
        <w:t xml:space="preserve">ELPF, first introduced by </w:t>
      </w:r>
      <w:r w:rsidRPr="004D0FA9">
        <w:rPr>
          <w:lang w:val="en-US"/>
        </w:rPr>
        <w:t>Wagner et al., (1999)</w:t>
      </w:r>
      <w:r>
        <w:rPr>
          <w:lang w:val="en-US"/>
        </w:rPr>
        <w:t xml:space="preserve"> is based on assumption that deeper water storage for this case groundwater is related to but less dynamic than top storage for this case surface soil moisture.</w:t>
      </w:r>
    </w:p>
    <w:p w14:paraId="239CD44A" w14:textId="77777777" w:rsidR="00D63656" w:rsidRPr="00C93281" w:rsidRDefault="00D63656" w:rsidP="00D63656">
      <w:pPr>
        <w:jc w:val="center"/>
        <w:rPr>
          <w:color w:val="000000"/>
          <w:lang w:val="en-US"/>
        </w:rPr>
      </w:pPr>
      <m:oMath>
        <m:r>
          <w:rPr>
            <w:rFonts w:ascii="Cambria Math" w:hAnsi="Cambria Math"/>
            <w:color w:val="000000"/>
            <w:lang w:val="en-US"/>
          </w:rPr>
          <m:t>VSWI=</m:t>
        </m:r>
        <m:f>
          <m:fPr>
            <m:ctrlPr>
              <w:rPr>
                <w:rFonts w:ascii="Cambria Math" w:hAnsi="Cambria Math"/>
                <w:i/>
                <w:color w:val="000000"/>
                <w:lang w:val="en-US"/>
              </w:rPr>
            </m:ctrlPr>
          </m:fPr>
          <m:num>
            <m:nary>
              <m:naryPr>
                <m:chr m:val="∑"/>
                <m:limLoc m:val="undOvr"/>
                <m:supHide m:val="1"/>
                <m:ctrlPr>
                  <w:rPr>
                    <w:rFonts w:ascii="Cambria Math" w:hAnsi="Cambria Math"/>
                    <w:i/>
                    <w:color w:val="000000"/>
                    <w:lang w:val="en-US"/>
                  </w:rPr>
                </m:ctrlPr>
              </m:naryPr>
              <m:sub>
                <m:r>
                  <w:rPr>
                    <w:rFonts w:ascii="Cambria Math" w:hAnsi="Cambria Math"/>
                    <w:color w:val="000000"/>
                    <w:lang w:val="en-US"/>
                  </w:rPr>
                  <m:t>i</m:t>
                </m:r>
              </m:sub>
              <m:sup/>
              <m:e>
                <m:sSub>
                  <m:sSubPr>
                    <m:ctrlPr>
                      <w:rPr>
                        <w:rFonts w:ascii="Cambria Math" w:hAnsi="Cambria Math"/>
                        <w:i/>
                        <w:color w:val="000000"/>
                        <w:lang w:val="en-US"/>
                      </w:rPr>
                    </m:ctrlPr>
                  </m:sSubPr>
                  <m:e>
                    <m:r>
                      <w:rPr>
                        <w:rFonts w:ascii="Cambria Math" w:hAnsi="Cambria Math"/>
                        <w:color w:val="000000"/>
                        <w:lang w:val="en-US"/>
                      </w:rPr>
                      <m:t>m</m:t>
                    </m:r>
                  </m:e>
                  <m:sub>
                    <m:r>
                      <w:rPr>
                        <w:rFonts w:ascii="Cambria Math" w:hAnsi="Cambria Math"/>
                        <w:color w:val="000000"/>
                        <w:lang w:val="en-US"/>
                      </w:rPr>
                      <m:t>s</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lang w:val="en-US"/>
                      </w:rPr>
                      <m:t>i</m:t>
                    </m:r>
                  </m:sub>
                </m:sSub>
                <m:r>
                  <w:rPr>
                    <w:rFonts w:ascii="Cambria Math" w:hAnsi="Cambria Math"/>
                    <w:color w:val="000000"/>
                    <w:lang w:val="en-US"/>
                  </w:rPr>
                  <m:t>)</m:t>
                </m:r>
                <m:sSup>
                  <m:sSupPr>
                    <m:ctrlPr>
                      <w:rPr>
                        <w:rFonts w:ascii="Cambria Math" w:hAnsi="Cambria Math"/>
                        <w:i/>
                        <w:color w:val="000000"/>
                        <w:lang w:val="en-US"/>
                      </w:rPr>
                    </m:ctrlPr>
                  </m:sSupPr>
                  <m:e>
                    <m:r>
                      <w:rPr>
                        <w:rFonts w:ascii="Cambria Math" w:hAnsi="Cambria Math"/>
                        <w:color w:val="000000"/>
                        <w:lang w:val="en-US"/>
                      </w:rPr>
                      <m:t>e</m:t>
                    </m:r>
                  </m:e>
                  <m:sup>
                    <m:r>
                      <w:rPr>
                        <w:rFonts w:ascii="Cambria Math" w:hAnsi="Cambria Math"/>
                        <w:color w:val="000000"/>
                        <w:lang w:val="en-US"/>
                      </w:rPr>
                      <m:t>-(t-</m:t>
                    </m:r>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lang w:val="en-US"/>
                          </w:rPr>
                          <m:t>i</m:t>
                        </m:r>
                      </m:sub>
                    </m:sSub>
                    <m:r>
                      <w:rPr>
                        <w:rFonts w:ascii="Cambria Math" w:hAnsi="Cambria Math"/>
                        <w:color w:val="000000"/>
                        <w:lang w:val="en-US"/>
                      </w:rPr>
                      <m:t>)/T</m:t>
                    </m:r>
                  </m:sup>
                </m:sSup>
              </m:e>
            </m:nary>
          </m:num>
          <m:den>
            <m:nary>
              <m:naryPr>
                <m:chr m:val="∑"/>
                <m:limLoc m:val="undOvr"/>
                <m:supHide m:val="1"/>
                <m:ctrlPr>
                  <w:rPr>
                    <w:rFonts w:ascii="Cambria Math" w:hAnsi="Cambria Math"/>
                    <w:i/>
                    <w:color w:val="000000"/>
                    <w:lang w:val="en-US"/>
                  </w:rPr>
                </m:ctrlPr>
              </m:naryPr>
              <m:sub>
                <m:r>
                  <w:rPr>
                    <w:rFonts w:ascii="Cambria Math" w:hAnsi="Cambria Math"/>
                    <w:color w:val="000000"/>
                    <w:lang w:val="en-US"/>
                  </w:rPr>
                  <m:t>i</m:t>
                </m:r>
              </m:sub>
              <m:sup/>
              <m:e>
                <m:sSup>
                  <m:sSupPr>
                    <m:ctrlPr>
                      <w:rPr>
                        <w:rFonts w:ascii="Cambria Math" w:hAnsi="Cambria Math"/>
                        <w:i/>
                        <w:color w:val="000000"/>
                        <w:lang w:val="en-US"/>
                      </w:rPr>
                    </m:ctrlPr>
                  </m:sSupPr>
                  <m:e>
                    <m:r>
                      <w:rPr>
                        <w:rFonts w:ascii="Cambria Math" w:hAnsi="Cambria Math"/>
                        <w:color w:val="000000"/>
                        <w:lang w:val="en-US"/>
                      </w:rPr>
                      <m:t>e</m:t>
                    </m:r>
                  </m:e>
                  <m:sup>
                    <m:r>
                      <w:rPr>
                        <w:rFonts w:ascii="Cambria Math" w:hAnsi="Cambria Math"/>
                        <w:color w:val="000000"/>
                        <w:lang w:val="en-US"/>
                      </w:rPr>
                      <m:t>-(t-</m:t>
                    </m:r>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lang w:val="en-US"/>
                          </w:rPr>
                          <m:t>i</m:t>
                        </m:r>
                      </m:sub>
                    </m:sSub>
                    <m:r>
                      <w:rPr>
                        <w:rFonts w:ascii="Cambria Math" w:hAnsi="Cambria Math"/>
                        <w:color w:val="000000"/>
                        <w:lang w:val="en-US"/>
                      </w:rPr>
                      <m:t>)/T</m:t>
                    </m:r>
                  </m:sup>
                </m:sSup>
              </m:e>
            </m:nary>
          </m:den>
        </m:f>
        <m:r>
          <m:rPr>
            <m:sty m:val="p"/>
          </m:rPr>
          <w:rPr>
            <w:rFonts w:ascii="Cambria Math" w:eastAsiaTheme="minorEastAsia" w:hAnsi="Cambria Math"/>
            <w:color w:val="000000"/>
            <w:lang w:val="en-US"/>
          </w:rPr>
          <m:t xml:space="preserve">    </m:t>
        </m:r>
        <m:r>
          <w:rPr>
            <w:rFonts w:ascii="Cambria Math" w:eastAsiaTheme="minorEastAsia" w:hAnsi="Cambria Math"/>
            <w:color w:val="000000"/>
            <w:lang w:val="en-US"/>
          </w:rPr>
          <m:t xml:space="preserve">for </m:t>
        </m:r>
        <m:sSub>
          <m:sSubPr>
            <m:ctrlPr>
              <w:rPr>
                <w:rFonts w:ascii="Cambria Math" w:eastAsiaTheme="minorEastAsia" w:hAnsi="Cambria Math"/>
                <w:i/>
                <w:iCs/>
                <w:color w:val="000000"/>
                <w:vertAlign w:val="subscript"/>
                <w:lang w:val="en-US"/>
              </w:rPr>
            </m:ctrlPr>
          </m:sSubPr>
          <m:e>
            <m:r>
              <w:rPr>
                <w:rFonts w:ascii="Cambria Math" w:eastAsiaTheme="minorEastAsia" w:hAnsi="Cambria Math"/>
                <w:color w:val="000000"/>
                <w:vertAlign w:val="subscript"/>
                <w:lang w:val="en-US"/>
              </w:rPr>
              <m:t>t</m:t>
            </m:r>
          </m:e>
          <m:sub>
            <m:r>
              <w:rPr>
                <w:rFonts w:ascii="Cambria Math" w:eastAsiaTheme="minorEastAsia" w:hAnsi="Cambria Math"/>
                <w:color w:val="000000"/>
                <w:vertAlign w:val="subscript"/>
                <w:lang w:val="en-US"/>
              </w:rPr>
              <m:t>i</m:t>
            </m:r>
          </m:sub>
        </m:sSub>
        <m:r>
          <w:rPr>
            <w:rFonts w:ascii="Cambria Math" w:eastAsiaTheme="minorEastAsia" w:hAnsi="Cambria Math"/>
            <w:color w:val="000000"/>
            <w:lang w:val="en-US"/>
          </w:rPr>
          <m:t xml:space="preserve">≤t    </m:t>
        </m:r>
      </m:oMath>
      <w:r>
        <w:rPr>
          <w:rFonts w:eastAsiaTheme="minorEastAsia"/>
          <w:color w:val="000000"/>
          <w:lang w:val="en-US"/>
        </w:rPr>
        <w:tab/>
      </w:r>
      <w:r>
        <w:rPr>
          <w:rFonts w:eastAsiaTheme="minorEastAsia"/>
          <w:lang w:val="en-US"/>
        </w:rPr>
        <w:t>equation 3</w:t>
      </w:r>
      <w:r>
        <w:rPr>
          <w:rFonts w:eastAsiaTheme="minorEastAsia"/>
          <w:color w:val="000000"/>
          <w:lang w:val="en-US"/>
        </w:rPr>
        <w:t xml:space="preserve">   </w:t>
      </w:r>
    </w:p>
    <w:p w14:paraId="5288D254" w14:textId="77777777" w:rsidR="00D63656" w:rsidRDefault="00D63656" w:rsidP="00D63656">
      <w:pPr>
        <w:rPr>
          <w:lang w:val="en-US"/>
        </w:rPr>
      </w:pPr>
      <w:r>
        <w:rPr>
          <w:lang w:val="en-US"/>
        </w:rPr>
        <w:t xml:space="preserve">Where VSWI is the Volumetric Soil Water Index estimated at time index t using the remotely sensed soil moisture (VSM) at a time </w:t>
      </w:r>
      <w:proofErr w:type="spellStart"/>
      <w:r>
        <w:rPr>
          <w:lang w:val="en-US"/>
        </w:rPr>
        <w:t>t</w:t>
      </w:r>
      <w:r>
        <w:rPr>
          <w:vertAlign w:val="subscript"/>
          <w:lang w:val="en-US"/>
        </w:rPr>
        <w:t>i</w:t>
      </w:r>
      <w:proofErr w:type="spellEnd"/>
      <w:r>
        <w:rPr>
          <w:lang w:val="en-US"/>
        </w:rPr>
        <w:t xml:space="preserve">. T is the characteristic time length that accounts for </w:t>
      </w:r>
      <w:r>
        <w:rPr>
          <w:color w:val="000000"/>
          <w:lang w:val="en-US"/>
        </w:rPr>
        <w:t>depth</w:t>
      </w:r>
      <w:r>
        <w:rPr>
          <w:lang w:val="en-US"/>
        </w:rPr>
        <w:t xml:space="preserve"> and the </w:t>
      </w:r>
      <w:r w:rsidRPr="00631A14">
        <w:rPr>
          <w:lang w:val="en-US"/>
        </w:rPr>
        <w:t>pseudo</w:t>
      </w:r>
      <w:r>
        <w:rPr>
          <w:lang w:val="en-US"/>
        </w:rPr>
        <w:t xml:space="preserve"> </w:t>
      </w:r>
      <w:r w:rsidRPr="00631A14">
        <w:rPr>
          <w:lang w:val="en-US"/>
        </w:rPr>
        <w:t>diffusivity</w:t>
      </w:r>
      <w:r>
        <w:rPr>
          <w:lang w:val="en-US"/>
        </w:rPr>
        <w:t xml:space="preserve"> of water from top-most to the deep soil layer. </w:t>
      </w:r>
    </w:p>
    <w:p w14:paraId="65F9CA3D" w14:textId="32C0D29F" w:rsidR="00D63656" w:rsidRDefault="00D63656" w:rsidP="00D63656">
      <w:pPr>
        <w:rPr>
          <w:lang w:val="en-US"/>
        </w:rPr>
      </w:pPr>
      <w:r>
        <w:rPr>
          <w:lang w:val="en-US"/>
        </w:rPr>
        <w:t xml:space="preserve">According to </w:t>
      </w:r>
      <w:r w:rsidRPr="004D0FA9">
        <w:rPr>
          <w:lang w:val="en-US"/>
        </w:rPr>
        <w:t>Wagner et al., (1999)</w:t>
      </w:r>
      <w:r>
        <w:rPr>
          <w:lang w:val="en-US"/>
        </w:rPr>
        <w:t xml:space="preserve"> the value of T can range from 1 to 100 days. In this study, the calibration process was conducted to obtain the best fitted T value with respect to groundwater level dynamics. A </w:t>
      </w:r>
      <w:r>
        <w:rPr>
          <w:lang w:val="en-US"/>
        </w:rPr>
        <w:t>cross-correlation</w:t>
      </w:r>
      <w:r>
        <w:rPr>
          <w:lang w:val="en-US"/>
        </w:rPr>
        <w:t xml:space="preserve"> metric was used to determine the best T value. Finally, the best T value was used to compute VSWI.</w:t>
      </w:r>
    </w:p>
    <w:p w14:paraId="7A217A3A" w14:textId="77777777" w:rsidR="00CA4D56" w:rsidRDefault="00CA4D56" w:rsidP="00D63656">
      <w:pPr>
        <w:rPr>
          <w:lang w:val="en-US"/>
        </w:rPr>
      </w:pPr>
    </w:p>
    <w:p w14:paraId="3AD06B50" w14:textId="77777777" w:rsidR="00D63656" w:rsidRPr="0037186F" w:rsidRDefault="00D63656" w:rsidP="00D63656">
      <w:pPr>
        <w:pStyle w:val="Heading3"/>
        <w:numPr>
          <w:ilvl w:val="0"/>
          <w:numId w:val="2"/>
        </w:numPr>
        <w:tabs>
          <w:tab w:val="num" w:pos="360"/>
        </w:tabs>
        <w:ind w:left="0" w:firstLine="0"/>
        <w:rPr>
          <w:lang w:val="en-US"/>
        </w:rPr>
      </w:pPr>
      <w:bookmarkStart w:id="5" w:name="_Toc165961513"/>
      <w:r w:rsidRPr="0037186F">
        <w:rPr>
          <w:lang w:val="en-US"/>
        </w:rPr>
        <w:t xml:space="preserve">Groundwater </w:t>
      </w:r>
      <w:r>
        <w:rPr>
          <w:lang w:val="en-US"/>
        </w:rPr>
        <w:t>level estimation</w:t>
      </w:r>
      <w:bookmarkEnd w:id="5"/>
      <w:r>
        <w:rPr>
          <w:lang w:val="en-US"/>
        </w:rPr>
        <w:t xml:space="preserve"> </w:t>
      </w:r>
    </w:p>
    <w:p w14:paraId="68B1BE24" w14:textId="77777777" w:rsidR="00D63656" w:rsidRDefault="00D63656" w:rsidP="00D63656">
      <w:pPr>
        <w:rPr>
          <w:lang w:val="en-US"/>
        </w:rPr>
      </w:pPr>
      <w:r>
        <w:rPr>
          <w:lang w:val="en-US"/>
        </w:rPr>
        <w:t xml:space="preserve">In this study, the linear relationship between soil moisture and groundwater was exploited to build a linear regression model that will interpret groundwater dynamics from VSWI (Time delayed Sentinel-1 VSM time series). Temporally matched and preprocessed time series of VSWI and </w:t>
      </w:r>
      <w:r>
        <w:rPr>
          <w:lang w:val="en-US"/>
        </w:rPr>
        <w:lastRenderedPageBreak/>
        <w:t>groundwater level for the groundwater wells of interested were processed and used as the input of the univariate linear regression model. Equation 4 demonstrates the formulated linear regression model.</w:t>
      </w:r>
    </w:p>
    <w:p w14:paraId="05D8625E" w14:textId="77777777" w:rsidR="00D63656" w:rsidRDefault="00D63656" w:rsidP="00D63656">
      <w:pPr>
        <w:jc w:val="center"/>
        <w:rPr>
          <w:lang w:val="en-US"/>
        </w:rPr>
      </w:pPr>
      <m:oMath>
        <m:sSub>
          <m:sSubPr>
            <m:ctrlPr>
              <w:rPr>
                <w:rFonts w:ascii="Cambria Math" w:hAnsi="Cambria Math"/>
                <w:i/>
                <w:color w:val="000000"/>
                <w:lang w:val="en-US"/>
              </w:rPr>
            </m:ctrlPr>
          </m:sSubPr>
          <m:e>
            <m:r>
              <w:rPr>
                <w:rFonts w:ascii="Cambria Math" w:hAnsi="Cambria Math"/>
                <w:color w:val="000000"/>
                <w:lang w:val="en-US"/>
              </w:rPr>
              <m:t>Gw</m:t>
            </m:r>
          </m:e>
          <m:sub>
            <m:r>
              <w:rPr>
                <w:rFonts w:ascii="Cambria Math" w:hAnsi="Cambria Math"/>
                <w:color w:val="000000"/>
                <w:lang w:val="en-US"/>
              </w:rPr>
              <m:t>i</m:t>
            </m:r>
          </m:sub>
        </m:sSub>
        <m:r>
          <w:rPr>
            <w:rFonts w:ascii="Cambria Math" w:hAnsi="Cambria Math"/>
            <w:color w:val="000000"/>
            <w:lang w:val="en-US"/>
          </w:rPr>
          <m:t>=</m:t>
        </m:r>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VSWI</m:t>
            </m:r>
          </m:e>
          <m:sub>
            <m:r>
              <w:rPr>
                <w:rFonts w:ascii="Cambria Math" w:eastAsiaTheme="minorEastAsia" w:hAnsi="Cambria Math"/>
                <w:color w:val="000000"/>
                <w:lang w:val="en-US"/>
              </w:rPr>
              <m:t>i</m:t>
            </m:r>
          </m:sub>
        </m:sSub>
        <m:r>
          <w:rPr>
            <w:rFonts w:ascii="Cambria Math" w:eastAsiaTheme="minorEastAsia" w:hAnsi="Cambria Math"/>
            <w:color w:val="000000"/>
            <w:lang w:val="en-US"/>
          </w:rPr>
          <m:t>*X+C+</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m:t>
            </m:r>
          </m:e>
          <m:sub>
            <m:r>
              <w:rPr>
                <w:rFonts w:ascii="Cambria Math" w:eastAsiaTheme="minorEastAsia" w:hAnsi="Cambria Math"/>
                <w:color w:val="000000"/>
                <w:lang w:val="en-US"/>
              </w:rPr>
              <m:t>i</m:t>
            </m:r>
          </m:sub>
        </m:sSub>
        <m:r>
          <w:rPr>
            <w:rFonts w:ascii="Cambria Math" w:eastAsiaTheme="minorEastAsia" w:hAnsi="Cambria Math"/>
            <w:color w:val="000000"/>
            <w:lang w:val="en-US"/>
          </w:rPr>
          <m:t xml:space="preserve">   </m:t>
        </m:r>
      </m:oMath>
      <w:r>
        <w:rPr>
          <w:rFonts w:eastAsiaTheme="minorEastAsia"/>
          <w:color w:val="000000"/>
          <w:lang w:val="en-US"/>
        </w:rPr>
        <w:tab/>
        <w:t xml:space="preserve">   </w:t>
      </w:r>
      <w:r>
        <w:rPr>
          <w:rFonts w:eastAsiaTheme="minorEastAsia"/>
          <w:lang w:val="en-US"/>
        </w:rPr>
        <w:t>equation 4</w:t>
      </w:r>
    </w:p>
    <w:p w14:paraId="59426A37" w14:textId="77777777" w:rsidR="00D63656" w:rsidRDefault="00D63656" w:rsidP="00D63656">
      <w:pPr>
        <w:rPr>
          <w:rFonts w:eastAsiaTheme="minorEastAsia"/>
          <w:color w:val="000000"/>
          <w:lang w:val="en-US"/>
        </w:rPr>
      </w:pPr>
      <w:r>
        <w:rPr>
          <w:lang w:val="en-US"/>
        </w:rPr>
        <w:t xml:space="preserve">Where, </w:t>
      </w:r>
      <w:proofErr w:type="spellStart"/>
      <w:r>
        <w:rPr>
          <w:lang w:val="en-US"/>
        </w:rPr>
        <w:t>Gw</w:t>
      </w:r>
      <w:r>
        <w:rPr>
          <w:vertAlign w:val="subscript"/>
          <w:lang w:val="en-US"/>
        </w:rPr>
        <w:t>i</w:t>
      </w:r>
      <w:proofErr w:type="spellEnd"/>
      <w:r>
        <w:rPr>
          <w:lang w:val="en-US"/>
        </w:rPr>
        <w:t xml:space="preserve"> and </w:t>
      </w:r>
      <w:proofErr w:type="spellStart"/>
      <w:r>
        <w:rPr>
          <w:lang w:val="en-US"/>
        </w:rPr>
        <w:t>VSWI</w:t>
      </w:r>
      <w:r>
        <w:rPr>
          <w:vertAlign w:val="subscript"/>
          <w:lang w:val="en-US"/>
        </w:rPr>
        <w:t>i</w:t>
      </w:r>
      <w:proofErr w:type="spellEnd"/>
      <w:r>
        <w:rPr>
          <w:lang w:val="en-US"/>
        </w:rPr>
        <w:t xml:space="preserve"> represent the groundwater level and VSWI temporal matched incidences respectively. X and C </w:t>
      </w:r>
      <w:r>
        <w:rPr>
          <w:rFonts w:eastAsiaTheme="minorEastAsia"/>
          <w:color w:val="000000"/>
          <w:lang w:val="en-US"/>
        </w:rPr>
        <w:t>represents slope and intercept coefficients</w:t>
      </w:r>
      <w:r w:rsidRPr="00365EB4">
        <w:rPr>
          <w:rFonts w:eastAsiaTheme="minorEastAsia"/>
          <w:color w:val="000000"/>
          <w:lang w:val="en-US"/>
        </w:rPr>
        <w:t xml:space="preserve"> </w:t>
      </w:r>
      <w:r>
        <w:rPr>
          <w:rFonts w:eastAsiaTheme="minorEastAsia"/>
          <w:color w:val="000000"/>
          <w:lang w:val="en-US"/>
        </w:rPr>
        <w:t xml:space="preserve">of the linear equation respectively while </w:t>
      </w:r>
      <w:r>
        <w:rPr>
          <w:lang w:val="en-US"/>
        </w:rPr>
        <w:t xml:space="preserve">and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m:t>
            </m:r>
          </m:e>
          <m:sub>
            <m:r>
              <w:rPr>
                <w:rFonts w:ascii="Cambria Math" w:eastAsiaTheme="minorEastAsia" w:hAnsi="Cambria Math"/>
                <w:color w:val="000000"/>
                <w:lang w:val="en-US"/>
              </w:rPr>
              <m:t>i</m:t>
            </m:r>
          </m:sub>
        </m:sSub>
      </m:oMath>
      <w:r>
        <w:rPr>
          <w:rFonts w:eastAsiaTheme="minorEastAsia"/>
          <w:color w:val="000000"/>
          <w:lang w:val="en-US"/>
        </w:rPr>
        <w:t>, represents the error term of the matched incidence.</w:t>
      </w:r>
    </w:p>
    <w:p w14:paraId="63F1B76A" w14:textId="77777777" w:rsidR="00D63656" w:rsidRDefault="00D63656" w:rsidP="00D63656">
      <w:pPr>
        <w:rPr>
          <w:lang w:val="en-US"/>
        </w:rPr>
      </w:pPr>
      <w:r>
        <w:rPr>
          <w:lang w:val="en-US"/>
        </w:rPr>
        <w:t xml:space="preserve">Slope and intercept of the linear regression equation </w:t>
      </w:r>
      <w:r w:rsidRPr="0037186F">
        <w:rPr>
          <w:lang w:val="en-US"/>
        </w:rPr>
        <w:t>were estimated using ordinary least squares regression</w:t>
      </w:r>
      <w:r>
        <w:rPr>
          <w:lang w:val="en-US"/>
        </w:rPr>
        <w:t xml:space="preserve"> by</w:t>
      </w:r>
      <w:r w:rsidRPr="0037186F">
        <w:rPr>
          <w:lang w:val="en-US"/>
        </w:rPr>
        <w:t xml:space="preserve"> minimiz</w:t>
      </w:r>
      <w:r>
        <w:rPr>
          <w:lang w:val="en-US"/>
        </w:rPr>
        <w:t>ing</w:t>
      </w:r>
      <w:r w:rsidRPr="0037186F">
        <w:rPr>
          <w:lang w:val="en-US"/>
        </w:rPr>
        <w:t xml:space="preserve"> the sum of squared differences between the observed and</w:t>
      </w:r>
      <w:r>
        <w:rPr>
          <w:lang w:val="en-US"/>
        </w:rPr>
        <w:t xml:space="preserve"> VSWI-</w:t>
      </w:r>
      <w:r w:rsidRPr="0037186F">
        <w:rPr>
          <w:lang w:val="en-US"/>
        </w:rPr>
        <w:t xml:space="preserve">predicted groundwater levels. </w:t>
      </w:r>
      <w:r w:rsidRPr="007322A8">
        <w:rPr>
          <w:lang w:val="en-US"/>
        </w:rPr>
        <w:t xml:space="preserve">Ordinary Least Squares (OLS) regression implemented through </w:t>
      </w:r>
      <w:proofErr w:type="spellStart"/>
      <w:r w:rsidRPr="007322A8">
        <w:rPr>
          <w:lang w:val="en-US"/>
        </w:rPr>
        <w:t>statsmodels</w:t>
      </w:r>
      <w:proofErr w:type="spellEnd"/>
      <w:r w:rsidRPr="007322A8">
        <w:rPr>
          <w:lang w:val="en-US"/>
        </w:rPr>
        <w:t xml:space="preserve"> in python was used for this task.</w:t>
      </w:r>
      <w:r>
        <w:rPr>
          <w:lang w:val="en-US"/>
        </w:rPr>
        <w:t xml:space="preserve"> Coefficient values that yield the minimum square errors were used to build a model to predict</w:t>
      </w:r>
      <w:r w:rsidRPr="0037186F">
        <w:rPr>
          <w:lang w:val="en-US"/>
        </w:rPr>
        <w:t xml:space="preserve"> groundwater levels based on </w:t>
      </w:r>
      <w:r>
        <w:rPr>
          <w:lang w:val="en-US"/>
        </w:rPr>
        <w:t>VSWI</w:t>
      </w:r>
      <w:r w:rsidRPr="0037186F">
        <w:rPr>
          <w:lang w:val="en-US"/>
        </w:rPr>
        <w:t xml:space="preserve"> observations.</w:t>
      </w:r>
    </w:p>
    <w:p w14:paraId="4B164BE0" w14:textId="77777777" w:rsidR="00D63656" w:rsidRDefault="00D63656" w:rsidP="00D63656">
      <w:pPr>
        <w:rPr>
          <w:lang w:val="en-US"/>
        </w:rPr>
      </w:pPr>
      <w:r>
        <w:rPr>
          <w:lang w:val="en-US"/>
        </w:rPr>
        <w:t>To evaluate the performance of the coefficients, accuracy metrics such as Pearson correlation score (r) and Root Mean Square Error (RMSE) were employed in this study. Correlation score informs about the direction and strength of the linear relationship if any while RMSE intel about the magnitude of the prediction deviation from observed ground water level. These metrics together provide a measure of the performance of linear regression and Sentinel-1 VSWI time series to interpret groundwater dynamics.</w:t>
      </w:r>
    </w:p>
    <w:p w14:paraId="3169BF92" w14:textId="77777777" w:rsidR="00D63656" w:rsidRDefault="00D63656" w:rsidP="00D63656">
      <w:pPr>
        <w:rPr>
          <w:lang w:val="en-US"/>
        </w:rPr>
      </w:pPr>
      <w:r>
        <w:rPr>
          <w:lang w:val="en-US"/>
        </w:rPr>
        <w:t xml:space="preserve">Pearson correlation (r) was computed using equation 5 below: </w:t>
      </w:r>
    </w:p>
    <w:p w14:paraId="40E70CCB" w14:textId="77777777" w:rsidR="00D63656" w:rsidRDefault="00D63656" w:rsidP="00D63656">
      <w:pPr>
        <w:jc w:val="center"/>
        <w:rPr>
          <w:rFonts w:eastAsiaTheme="minorEastAsia"/>
          <w:color w:val="000000"/>
          <w:lang w:val="en-US"/>
        </w:rPr>
      </w:pPr>
      <m:oMath>
        <m:r>
          <w:rPr>
            <w:rFonts w:ascii="Cambria Math" w:hAnsi="Cambria Math"/>
            <w:color w:val="000000"/>
            <w:lang w:val="en-US"/>
          </w:rPr>
          <m:t>r=</m:t>
        </m:r>
        <m:f>
          <m:fPr>
            <m:ctrlPr>
              <w:rPr>
                <w:rFonts w:ascii="Cambria Math" w:hAnsi="Cambria Math"/>
                <w:i/>
                <w:color w:val="000000"/>
                <w:lang w:val="en-US"/>
              </w:rPr>
            </m:ctrlPr>
          </m:fPr>
          <m:num>
            <m:r>
              <w:rPr>
                <w:rFonts w:ascii="Cambria Math" w:hAnsi="Cambria Math"/>
                <w:color w:val="000000"/>
                <w:lang w:val="en-US"/>
              </w:rPr>
              <m:t>n</m:t>
            </m:r>
            <m:nary>
              <m:naryPr>
                <m:chr m:val="∑"/>
                <m:limLoc m:val="undOvr"/>
                <m:subHide m:val="1"/>
                <m:supHide m:val="1"/>
                <m:ctrlPr>
                  <w:rPr>
                    <w:rFonts w:ascii="Cambria Math" w:hAnsi="Cambria Math"/>
                    <w:i/>
                    <w:color w:val="000000"/>
                    <w:lang w:val="en-US"/>
                  </w:rPr>
                </m:ctrlPr>
              </m:naryPr>
              <m:sub/>
              <m:sup/>
              <m:e>
                <m:r>
                  <w:rPr>
                    <w:rFonts w:ascii="Cambria Math" w:hAnsi="Cambria Math"/>
                    <w:color w:val="000000"/>
                    <w:lang w:val="en-US"/>
                  </w:rPr>
                  <m:t>XY</m:t>
                </m:r>
              </m:e>
            </m:nary>
            <m:r>
              <w:rPr>
                <w:rFonts w:ascii="Cambria Math" w:hAnsi="Cambria Math"/>
                <w:color w:val="000000"/>
                <w:lang w:val="en-US"/>
              </w:rPr>
              <m:t>-</m:t>
            </m:r>
            <m:nary>
              <m:naryPr>
                <m:chr m:val="∑"/>
                <m:limLoc m:val="undOvr"/>
                <m:subHide m:val="1"/>
                <m:supHide m:val="1"/>
                <m:ctrlPr>
                  <w:rPr>
                    <w:rFonts w:ascii="Cambria Math" w:hAnsi="Cambria Math"/>
                    <w:i/>
                    <w:color w:val="000000"/>
                    <w:lang w:val="en-US"/>
                  </w:rPr>
                </m:ctrlPr>
              </m:naryPr>
              <m:sub/>
              <m:sup/>
              <m:e>
                <m:r>
                  <w:rPr>
                    <w:rFonts w:ascii="Cambria Math" w:hAnsi="Cambria Math"/>
                    <w:color w:val="000000"/>
                    <w:lang w:val="en-US"/>
                  </w:rPr>
                  <m:t>Y</m:t>
                </m:r>
              </m:e>
            </m:nary>
            <m:nary>
              <m:naryPr>
                <m:chr m:val="∑"/>
                <m:limLoc m:val="undOvr"/>
                <m:subHide m:val="1"/>
                <m:supHide m:val="1"/>
                <m:ctrlPr>
                  <w:rPr>
                    <w:rFonts w:ascii="Cambria Math" w:hAnsi="Cambria Math"/>
                    <w:i/>
                    <w:color w:val="000000"/>
                    <w:lang w:val="en-US"/>
                  </w:rPr>
                </m:ctrlPr>
              </m:naryPr>
              <m:sub/>
              <m:sup/>
              <m:e>
                <m:r>
                  <w:rPr>
                    <w:rFonts w:ascii="Cambria Math" w:hAnsi="Cambria Math"/>
                    <w:color w:val="000000"/>
                    <w:lang w:val="en-US"/>
                  </w:rPr>
                  <m:t>X</m:t>
                </m:r>
              </m:e>
            </m:nary>
          </m:num>
          <m:den>
            <m:rad>
              <m:radPr>
                <m:degHide m:val="1"/>
                <m:ctrlPr>
                  <w:rPr>
                    <w:rFonts w:ascii="Cambria Math" w:hAnsi="Cambria Math"/>
                    <w:i/>
                    <w:color w:val="000000"/>
                    <w:lang w:val="en-US"/>
                  </w:rPr>
                </m:ctrlPr>
              </m:radPr>
              <m:deg/>
              <m:e>
                <m:sSup>
                  <m:sSupPr>
                    <m:ctrlPr>
                      <w:rPr>
                        <w:rFonts w:ascii="Cambria Math" w:hAnsi="Cambria Math"/>
                        <w:i/>
                        <w:color w:val="000000"/>
                        <w:lang w:val="en-US"/>
                      </w:rPr>
                    </m:ctrlPr>
                  </m:sSupPr>
                  <m:e>
                    <m:r>
                      <w:rPr>
                        <w:rFonts w:ascii="Cambria Math" w:hAnsi="Cambria Math"/>
                        <w:color w:val="000000"/>
                        <w:lang w:val="en-US"/>
                      </w:rPr>
                      <m:t>[n</m:t>
                    </m:r>
                    <m:nary>
                      <m:naryPr>
                        <m:chr m:val="∑"/>
                        <m:limLoc m:val="undOvr"/>
                        <m:subHide m:val="1"/>
                        <m:supHide m:val="1"/>
                        <m:ctrlPr>
                          <w:rPr>
                            <w:rFonts w:ascii="Cambria Math" w:hAnsi="Cambria Math"/>
                            <w:i/>
                            <w:color w:val="000000"/>
                            <w:lang w:val="en-US"/>
                          </w:rPr>
                        </m:ctrlPr>
                      </m:naryPr>
                      <m:sub/>
                      <m:sup/>
                      <m:e>
                        <m:sSup>
                          <m:sSupPr>
                            <m:ctrlPr>
                              <w:rPr>
                                <w:rFonts w:ascii="Cambria Math" w:hAnsi="Cambria Math"/>
                                <w:i/>
                                <w:color w:val="000000"/>
                                <w:lang w:val="en-US"/>
                              </w:rPr>
                            </m:ctrlPr>
                          </m:sSupPr>
                          <m:e>
                            <m:r>
                              <w:rPr>
                                <w:rFonts w:ascii="Cambria Math" w:hAnsi="Cambria Math"/>
                                <w:color w:val="000000"/>
                                <w:lang w:val="en-US"/>
                              </w:rPr>
                              <m:t>X</m:t>
                            </m:r>
                          </m:e>
                          <m:sup>
                            <m:r>
                              <w:rPr>
                                <w:rFonts w:ascii="Cambria Math" w:hAnsi="Cambria Math"/>
                                <w:color w:val="000000"/>
                                <w:lang w:val="en-US"/>
                              </w:rPr>
                              <m:t>2</m:t>
                            </m:r>
                          </m:sup>
                        </m:sSup>
                        <m:r>
                          <w:rPr>
                            <w:rFonts w:ascii="Cambria Math" w:hAnsi="Cambria Math"/>
                            <w:color w:val="000000"/>
                            <w:lang w:val="en-US"/>
                          </w:rPr>
                          <m:t>-</m:t>
                        </m:r>
                        <m:d>
                          <m:dPr>
                            <m:ctrlPr>
                              <w:rPr>
                                <w:rFonts w:ascii="Cambria Math" w:hAnsi="Cambria Math"/>
                                <w:i/>
                                <w:color w:val="000000"/>
                                <w:lang w:val="en-US"/>
                              </w:rPr>
                            </m:ctrlPr>
                          </m:dPr>
                          <m:e>
                            <m:nary>
                              <m:naryPr>
                                <m:chr m:val="∑"/>
                                <m:limLoc m:val="undOvr"/>
                                <m:subHide m:val="1"/>
                                <m:supHide m:val="1"/>
                                <m:ctrlPr>
                                  <w:rPr>
                                    <w:rFonts w:ascii="Cambria Math" w:hAnsi="Cambria Math"/>
                                    <w:i/>
                                    <w:color w:val="000000"/>
                                    <w:lang w:val="en-US"/>
                                  </w:rPr>
                                </m:ctrlPr>
                              </m:naryPr>
                              <m:sub/>
                              <m:sup/>
                              <m:e>
                                <m:r>
                                  <w:rPr>
                                    <w:rFonts w:ascii="Cambria Math" w:hAnsi="Cambria Math"/>
                                    <w:color w:val="000000"/>
                                    <w:lang w:val="en-US"/>
                                  </w:rPr>
                                  <m:t>X</m:t>
                                </m:r>
                              </m:e>
                            </m:nary>
                          </m:e>
                        </m:d>
                      </m:e>
                    </m:nary>
                  </m:e>
                  <m:sup>
                    <m:r>
                      <w:rPr>
                        <w:rFonts w:ascii="Cambria Math" w:hAnsi="Cambria Math"/>
                        <w:color w:val="000000"/>
                        <w:lang w:val="en-US"/>
                      </w:rPr>
                      <m:t>2</m:t>
                    </m:r>
                  </m:sup>
                </m:sSup>
                <m:r>
                  <w:rPr>
                    <w:rFonts w:ascii="Cambria Math" w:hAnsi="Cambria Math"/>
                    <w:color w:val="000000"/>
                    <w:lang w:val="en-US"/>
                  </w:rPr>
                  <m:t>]</m:t>
                </m:r>
                <m:sSup>
                  <m:sSupPr>
                    <m:ctrlPr>
                      <w:rPr>
                        <w:rFonts w:ascii="Cambria Math" w:hAnsi="Cambria Math"/>
                        <w:i/>
                        <w:color w:val="000000"/>
                        <w:lang w:val="en-US"/>
                      </w:rPr>
                    </m:ctrlPr>
                  </m:sSupPr>
                  <m:e>
                    <m:r>
                      <w:rPr>
                        <w:rFonts w:ascii="Cambria Math" w:hAnsi="Cambria Math"/>
                        <w:color w:val="000000"/>
                        <w:lang w:val="en-US"/>
                      </w:rPr>
                      <m:t>[n</m:t>
                    </m:r>
                    <m:nary>
                      <m:naryPr>
                        <m:chr m:val="∑"/>
                        <m:limLoc m:val="undOvr"/>
                        <m:subHide m:val="1"/>
                        <m:supHide m:val="1"/>
                        <m:ctrlPr>
                          <w:rPr>
                            <w:rFonts w:ascii="Cambria Math" w:hAnsi="Cambria Math"/>
                            <w:i/>
                            <w:color w:val="000000"/>
                            <w:lang w:val="en-US"/>
                          </w:rPr>
                        </m:ctrlPr>
                      </m:naryPr>
                      <m:sub/>
                      <m:sup/>
                      <m:e>
                        <m:sSup>
                          <m:sSupPr>
                            <m:ctrlPr>
                              <w:rPr>
                                <w:rFonts w:ascii="Cambria Math" w:hAnsi="Cambria Math"/>
                                <w:i/>
                                <w:color w:val="000000"/>
                                <w:lang w:val="en-US"/>
                              </w:rPr>
                            </m:ctrlPr>
                          </m:sSupPr>
                          <m:e>
                            <m:r>
                              <w:rPr>
                                <w:rFonts w:ascii="Cambria Math" w:hAnsi="Cambria Math"/>
                                <w:color w:val="000000"/>
                                <w:lang w:val="en-US"/>
                              </w:rPr>
                              <m:t>Y</m:t>
                            </m:r>
                          </m:e>
                          <m:sup>
                            <m:r>
                              <w:rPr>
                                <w:rFonts w:ascii="Cambria Math" w:hAnsi="Cambria Math"/>
                                <w:color w:val="000000"/>
                                <w:lang w:val="en-US"/>
                              </w:rPr>
                              <m:t>2</m:t>
                            </m:r>
                          </m:sup>
                        </m:sSup>
                        <m:r>
                          <w:rPr>
                            <w:rFonts w:ascii="Cambria Math" w:hAnsi="Cambria Math"/>
                            <w:color w:val="000000"/>
                            <w:lang w:val="en-US"/>
                          </w:rPr>
                          <m:t>-(</m:t>
                        </m:r>
                        <m:nary>
                          <m:naryPr>
                            <m:chr m:val="∑"/>
                            <m:limLoc m:val="undOvr"/>
                            <m:subHide m:val="1"/>
                            <m:supHide m:val="1"/>
                            <m:ctrlPr>
                              <w:rPr>
                                <w:rFonts w:ascii="Cambria Math" w:hAnsi="Cambria Math"/>
                                <w:i/>
                                <w:color w:val="000000"/>
                                <w:lang w:val="en-US"/>
                              </w:rPr>
                            </m:ctrlPr>
                          </m:naryPr>
                          <m:sub/>
                          <m:sup/>
                          <m:e>
                            <m:r>
                              <w:rPr>
                                <w:rFonts w:ascii="Cambria Math" w:hAnsi="Cambria Math"/>
                                <w:color w:val="000000"/>
                                <w:lang w:val="en-US"/>
                              </w:rPr>
                              <m:t>Y)</m:t>
                            </m:r>
                          </m:e>
                        </m:nary>
                      </m:e>
                    </m:nary>
                  </m:e>
                  <m:sup>
                    <m:r>
                      <w:rPr>
                        <w:rFonts w:ascii="Cambria Math" w:hAnsi="Cambria Math"/>
                        <w:color w:val="000000"/>
                        <w:lang w:val="en-US"/>
                      </w:rPr>
                      <m:t>2</m:t>
                    </m:r>
                  </m:sup>
                </m:sSup>
                <m:r>
                  <w:rPr>
                    <w:rFonts w:ascii="Cambria Math" w:hAnsi="Cambria Math"/>
                    <w:color w:val="000000"/>
                    <w:lang w:val="en-US"/>
                  </w:rPr>
                  <m:t>]</m:t>
                </m:r>
              </m:e>
            </m:rad>
          </m:den>
        </m:f>
        <m:r>
          <m:rPr>
            <m:sty m:val="p"/>
          </m:rPr>
          <w:rPr>
            <w:rFonts w:ascii="Cambria Math" w:eastAsiaTheme="minorEastAsia" w:hAnsi="Cambria Math"/>
            <w:color w:val="000000"/>
            <w:lang w:val="en-US"/>
          </w:rPr>
          <m:t xml:space="preserve">    </m:t>
        </m:r>
        <m:r>
          <w:rPr>
            <w:rFonts w:ascii="Cambria Math" w:eastAsiaTheme="minorEastAsia" w:hAnsi="Cambria Math"/>
            <w:color w:val="000000"/>
            <w:lang w:val="en-US"/>
          </w:rPr>
          <m:t xml:space="preserve">  </m:t>
        </m:r>
      </m:oMath>
      <w:r>
        <w:rPr>
          <w:rFonts w:eastAsiaTheme="minorEastAsia"/>
          <w:color w:val="000000"/>
          <w:lang w:val="en-US"/>
        </w:rPr>
        <w:tab/>
      </w:r>
      <w:r>
        <w:rPr>
          <w:rFonts w:eastAsiaTheme="minorEastAsia"/>
          <w:lang w:val="en-US"/>
        </w:rPr>
        <w:t>equation 5</w:t>
      </w:r>
    </w:p>
    <w:p w14:paraId="7AE2AFE5" w14:textId="77777777" w:rsidR="00D63656" w:rsidRDefault="00D63656" w:rsidP="00D63656">
      <w:pPr>
        <w:rPr>
          <w:rFonts w:eastAsiaTheme="minorEastAsia"/>
          <w:color w:val="000000"/>
          <w:lang w:val="en-US"/>
        </w:rPr>
      </w:pPr>
      <w:r>
        <w:rPr>
          <w:rFonts w:eastAsiaTheme="minorEastAsia"/>
          <w:color w:val="000000"/>
          <w:lang w:val="en-US"/>
        </w:rPr>
        <w:t xml:space="preserve">Where X and Y are respective VSWI and groundwater level incidences. n represents the total number of observations. </w:t>
      </w:r>
    </w:p>
    <w:p w14:paraId="6582D076" w14:textId="77777777" w:rsidR="00D63656" w:rsidRDefault="00D63656" w:rsidP="00D63656">
      <w:pPr>
        <w:rPr>
          <w:rFonts w:eastAsiaTheme="minorEastAsia"/>
          <w:color w:val="000000"/>
          <w:lang w:val="en-US"/>
        </w:rPr>
      </w:pPr>
      <w:r>
        <w:rPr>
          <w:rFonts w:eastAsiaTheme="minorEastAsia"/>
          <w:color w:val="000000"/>
          <w:lang w:val="en-US"/>
        </w:rPr>
        <w:t>RMSE was computed using equation 6 below:</w:t>
      </w:r>
    </w:p>
    <w:p w14:paraId="66842AD6" w14:textId="77777777" w:rsidR="00D63656" w:rsidRDefault="00D63656" w:rsidP="00D63656">
      <w:pPr>
        <w:jc w:val="center"/>
        <w:rPr>
          <w:rFonts w:eastAsiaTheme="minorEastAsia"/>
          <w:color w:val="000000"/>
          <w:lang w:val="en-US"/>
        </w:rPr>
      </w:pPr>
      <m:oMath>
        <m:r>
          <w:rPr>
            <w:rFonts w:ascii="Cambria Math" w:hAnsi="Cambria Math"/>
            <w:color w:val="000000"/>
            <w:lang w:val="en-US"/>
          </w:rPr>
          <m:t>RMSE=</m:t>
        </m:r>
        <m:rad>
          <m:radPr>
            <m:degHide m:val="1"/>
            <m:ctrlPr>
              <w:rPr>
                <w:rFonts w:ascii="Cambria Math" w:hAnsi="Cambria Math"/>
                <w:i/>
                <w:color w:val="000000"/>
                <w:lang w:val="en-US"/>
              </w:rPr>
            </m:ctrlPr>
          </m:radPr>
          <m:deg/>
          <m:e>
            <m:f>
              <m:fPr>
                <m:ctrlPr>
                  <w:rPr>
                    <w:rFonts w:ascii="Cambria Math" w:hAnsi="Cambria Math"/>
                    <w:i/>
                    <w:color w:val="000000"/>
                    <w:lang w:val="en-US"/>
                  </w:rPr>
                </m:ctrlPr>
              </m:fPr>
              <m:num>
                <m:nary>
                  <m:naryPr>
                    <m:chr m:val="∑"/>
                    <m:limLoc m:val="subSup"/>
                    <m:ctrlPr>
                      <w:rPr>
                        <w:rFonts w:ascii="Cambria Math" w:hAnsi="Cambria Math"/>
                        <w:i/>
                        <w:color w:val="000000"/>
                        <w:lang w:val="en-US"/>
                      </w:rPr>
                    </m:ctrlPr>
                  </m:naryPr>
                  <m:sub>
                    <m:r>
                      <w:rPr>
                        <w:rFonts w:ascii="Cambria Math" w:hAnsi="Cambria Math"/>
                        <w:color w:val="000000"/>
                        <w:lang w:val="en-US"/>
                      </w:rPr>
                      <m:t>i=1</m:t>
                    </m:r>
                  </m:sub>
                  <m:sup>
                    <m:r>
                      <w:rPr>
                        <w:rFonts w:ascii="Cambria Math" w:hAnsi="Cambria Math"/>
                        <w:color w:val="000000"/>
                        <w:lang w:val="en-US"/>
                      </w:rPr>
                      <m:t>n</m:t>
                    </m:r>
                  </m:sup>
                  <m:e>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Y</m:t>
                            </m:r>
                          </m:e>
                          <m:sub>
                            <m:r>
                              <w:rPr>
                                <w:rFonts w:ascii="Cambria Math" w:hAnsi="Cambria Math"/>
                                <w:color w:val="000000"/>
                                <w:lang w:val="en-US"/>
                              </w:rPr>
                              <m:t>i</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Ý</m:t>
                            </m:r>
                          </m:e>
                          <m:sub>
                            <m:r>
                              <w:rPr>
                                <w:rFonts w:ascii="Cambria Math" w:hAnsi="Cambria Math"/>
                                <w:color w:val="000000"/>
                                <w:lang w:val="en-US"/>
                              </w:rPr>
                              <m:t>i</m:t>
                            </m:r>
                          </m:sub>
                        </m:sSub>
                        <m:r>
                          <w:rPr>
                            <w:rFonts w:ascii="Cambria Math" w:hAnsi="Cambria Math"/>
                            <w:color w:val="000000"/>
                            <w:lang w:val="en-US"/>
                          </w:rPr>
                          <m:t>)</m:t>
                        </m:r>
                      </m:e>
                      <m:sup>
                        <m:r>
                          <w:rPr>
                            <w:rFonts w:ascii="Cambria Math" w:hAnsi="Cambria Math"/>
                            <w:color w:val="000000"/>
                            <w:lang w:val="en-US"/>
                          </w:rPr>
                          <m:t>2</m:t>
                        </m:r>
                      </m:sup>
                    </m:sSup>
                  </m:e>
                </m:nary>
              </m:num>
              <m:den>
                <m:r>
                  <w:rPr>
                    <w:rFonts w:ascii="Cambria Math" w:hAnsi="Cambria Math"/>
                    <w:color w:val="000000"/>
                    <w:lang w:val="en-US"/>
                  </w:rPr>
                  <m:t>n</m:t>
                </m:r>
              </m:den>
            </m:f>
          </m:e>
        </m:rad>
        <m:r>
          <m:rPr>
            <m:sty m:val="p"/>
          </m:rPr>
          <w:rPr>
            <w:rFonts w:ascii="Cambria Math" w:eastAsiaTheme="minorEastAsia" w:hAnsi="Cambria Math"/>
            <w:color w:val="000000"/>
            <w:lang w:val="en-US"/>
          </w:rPr>
          <m:t xml:space="preserve">    </m:t>
        </m:r>
        <m:r>
          <w:rPr>
            <w:rFonts w:ascii="Cambria Math" w:eastAsiaTheme="minorEastAsia" w:hAnsi="Cambria Math"/>
            <w:color w:val="000000"/>
            <w:lang w:val="en-US"/>
          </w:rPr>
          <m:t xml:space="preserve">  </m:t>
        </m:r>
      </m:oMath>
      <w:r>
        <w:rPr>
          <w:rFonts w:eastAsiaTheme="minorEastAsia"/>
          <w:color w:val="000000"/>
          <w:lang w:val="en-US"/>
        </w:rPr>
        <w:tab/>
      </w:r>
      <w:r>
        <w:rPr>
          <w:rFonts w:eastAsiaTheme="minorEastAsia"/>
          <w:lang w:val="en-US"/>
        </w:rPr>
        <w:t>equation 6</w:t>
      </w:r>
      <w:r>
        <w:rPr>
          <w:rFonts w:eastAsiaTheme="minorEastAsia"/>
          <w:color w:val="000000"/>
          <w:lang w:val="en-US"/>
        </w:rPr>
        <w:t xml:space="preserve">   </w:t>
      </w:r>
    </w:p>
    <w:p w14:paraId="776C4A20" w14:textId="77777777" w:rsidR="00D63656" w:rsidRDefault="00D63656" w:rsidP="00D63656">
      <w:pPr>
        <w:rPr>
          <w:rFonts w:eastAsiaTheme="minorEastAsia"/>
          <w:color w:val="000000"/>
          <w:lang w:val="en-US"/>
        </w:rPr>
      </w:pPr>
      <w:r>
        <w:rPr>
          <w:rFonts w:eastAsiaTheme="minorEastAsia"/>
          <w:color w:val="000000"/>
          <w:lang w:val="en-US"/>
        </w:rPr>
        <w:t xml:space="preserve">Where, </w:t>
      </w:r>
      <m:oMath>
        <m:r>
          <w:rPr>
            <w:rFonts w:ascii="Cambria Math" w:hAnsi="Cambria Math"/>
            <w:color w:val="000000"/>
            <w:lang w:val="en-US"/>
          </w:rPr>
          <m:t>X</m:t>
        </m:r>
      </m:oMath>
      <w:r>
        <w:rPr>
          <w:rFonts w:eastAsiaTheme="minorEastAsia"/>
          <w:color w:val="000000"/>
          <w:lang w:val="en-US"/>
        </w:rPr>
        <w:t xml:space="preserve"> and </w:t>
      </w:r>
      <m:oMath>
        <m:r>
          <w:rPr>
            <w:rFonts w:ascii="Cambria Math" w:hAnsi="Cambria Math"/>
            <w:color w:val="000000"/>
            <w:lang w:val="en-US"/>
          </w:rPr>
          <m:t>Y</m:t>
        </m:r>
      </m:oMath>
      <w:r>
        <w:rPr>
          <w:rFonts w:eastAsiaTheme="minorEastAsia"/>
          <w:color w:val="000000"/>
          <w:lang w:val="en-US"/>
        </w:rPr>
        <w:t xml:space="preserve"> represent the respective predicted and reference groundwater level or VSWI</w:t>
      </w:r>
      <w:r w:rsidRPr="0058461A">
        <w:rPr>
          <w:rFonts w:eastAsiaTheme="minorEastAsia"/>
          <w:color w:val="000000"/>
          <w:lang w:val="en-US"/>
        </w:rPr>
        <w:t xml:space="preserve"> </w:t>
      </w:r>
      <w:r>
        <w:rPr>
          <w:rFonts w:eastAsiaTheme="minorEastAsia"/>
          <w:color w:val="000000"/>
          <w:lang w:val="en-US"/>
        </w:rPr>
        <w:t>incidences.</w:t>
      </w:r>
    </w:p>
    <w:p w14:paraId="1064AD88" w14:textId="77777777" w:rsidR="00D63656" w:rsidRPr="009038BA" w:rsidRDefault="00D63656" w:rsidP="00D63656">
      <w:pPr>
        <w:rPr>
          <w:lang w:val="en-US"/>
        </w:rPr>
      </w:pPr>
      <w:r w:rsidRPr="009038BA">
        <w:rPr>
          <w:lang w:val="en-US"/>
        </w:rPr>
        <w:t xml:space="preserve">Additionally, the significance of the </w:t>
      </w:r>
      <w:r>
        <w:rPr>
          <w:lang w:val="en-US"/>
        </w:rPr>
        <w:t xml:space="preserve">slope coefficients </w:t>
      </w:r>
      <w:r w:rsidRPr="009038BA">
        <w:rPr>
          <w:lang w:val="en-US"/>
        </w:rPr>
        <w:t xml:space="preserve">was assessed using t-statistics and p-values. The t-statistic </w:t>
      </w:r>
      <w:r>
        <w:rPr>
          <w:lang w:val="en-US"/>
        </w:rPr>
        <w:t>was computed as</w:t>
      </w:r>
      <w:r w:rsidRPr="009038BA">
        <w:rPr>
          <w:lang w:val="en-US"/>
        </w:rPr>
        <w:t xml:space="preserve"> the ratio of the </w:t>
      </w:r>
      <w:r>
        <w:rPr>
          <w:lang w:val="en-US"/>
        </w:rPr>
        <w:t>slope</w:t>
      </w:r>
      <w:r w:rsidRPr="009038BA">
        <w:rPr>
          <w:lang w:val="en-US"/>
        </w:rPr>
        <w:t xml:space="preserve"> coefficient to </w:t>
      </w:r>
      <w:r>
        <w:rPr>
          <w:lang w:val="en-US"/>
        </w:rPr>
        <w:t xml:space="preserve">the </w:t>
      </w:r>
      <w:r w:rsidRPr="009038BA">
        <w:rPr>
          <w:lang w:val="en-US"/>
        </w:rPr>
        <w:t>standard error</w:t>
      </w:r>
      <w:r>
        <w:rPr>
          <w:lang w:val="en-US"/>
        </w:rPr>
        <w:t xml:space="preserve"> of slope</w:t>
      </w:r>
      <w:r w:rsidRPr="009038BA">
        <w:rPr>
          <w:lang w:val="en-US"/>
        </w:rPr>
        <w:t>, while the p-value indicates the probability of observing a t-statistic as extreme as the one computed from the data, assuming that there is no</w:t>
      </w:r>
      <w:r>
        <w:rPr>
          <w:lang w:val="en-US"/>
        </w:rPr>
        <w:t xml:space="preserve"> detected</w:t>
      </w:r>
      <w:r w:rsidRPr="009038BA">
        <w:rPr>
          <w:lang w:val="en-US"/>
        </w:rPr>
        <w:t xml:space="preserve"> relationship between </w:t>
      </w:r>
      <w:r>
        <w:rPr>
          <w:lang w:val="en-US"/>
        </w:rPr>
        <w:t xml:space="preserve">groundwater and VSWI, </w:t>
      </w:r>
      <w:r w:rsidRPr="009038BA">
        <w:rPr>
          <w:lang w:val="en-US"/>
        </w:rPr>
        <w:t xml:space="preserve">the </w:t>
      </w:r>
      <w:r>
        <w:rPr>
          <w:lang w:val="en-US"/>
        </w:rPr>
        <w:t xml:space="preserve">dependent and independent </w:t>
      </w:r>
      <w:r w:rsidRPr="009038BA">
        <w:rPr>
          <w:lang w:val="en-US"/>
        </w:rPr>
        <w:t>variables</w:t>
      </w:r>
      <w:r>
        <w:rPr>
          <w:lang w:val="en-US"/>
        </w:rPr>
        <w:t xml:space="preserve"> respectively</w:t>
      </w:r>
      <w:r w:rsidRPr="009038BA">
        <w:rPr>
          <w:lang w:val="en-US"/>
        </w:rPr>
        <w:t>. A low</w:t>
      </w:r>
      <w:r>
        <w:rPr>
          <w:lang w:val="en-US"/>
        </w:rPr>
        <w:t xml:space="preserve"> t-statistics value compared to the</w:t>
      </w:r>
      <w:r w:rsidRPr="009038BA">
        <w:rPr>
          <w:lang w:val="en-US"/>
        </w:rPr>
        <w:t xml:space="preserve"> p-value (&lt; 0.05) </w:t>
      </w:r>
      <w:r>
        <w:rPr>
          <w:lang w:val="en-US"/>
        </w:rPr>
        <w:t>was used to classify</w:t>
      </w:r>
      <w:r w:rsidRPr="009038BA">
        <w:rPr>
          <w:lang w:val="en-US"/>
        </w:rPr>
        <w:t xml:space="preserve"> </w:t>
      </w:r>
      <w:r>
        <w:rPr>
          <w:lang w:val="en-US"/>
        </w:rPr>
        <w:t xml:space="preserve">a </w:t>
      </w:r>
      <w:r w:rsidRPr="009038BA">
        <w:rPr>
          <w:lang w:val="en-US"/>
        </w:rPr>
        <w:t xml:space="preserve">statistically significant regression coefficient, </w:t>
      </w:r>
      <w:r>
        <w:rPr>
          <w:lang w:val="en-US"/>
        </w:rPr>
        <w:t>hence concluding</w:t>
      </w:r>
      <w:r w:rsidRPr="009038BA">
        <w:rPr>
          <w:lang w:val="en-US"/>
        </w:rPr>
        <w:t xml:space="preserve"> a meaningful relationship between </w:t>
      </w:r>
      <w:r>
        <w:rPr>
          <w:lang w:val="en-US"/>
        </w:rPr>
        <w:t>VSWI</w:t>
      </w:r>
      <w:r w:rsidRPr="009038BA">
        <w:rPr>
          <w:lang w:val="en-US"/>
        </w:rPr>
        <w:t xml:space="preserve"> and groundwater levels.</w:t>
      </w:r>
    </w:p>
    <w:p w14:paraId="56D7081B" w14:textId="77777777" w:rsidR="00D63656" w:rsidRPr="00D63656" w:rsidRDefault="00D63656">
      <w:pPr>
        <w:rPr>
          <w:lang w:val="en-US"/>
        </w:rPr>
      </w:pPr>
    </w:p>
    <w:sectPr w:rsidR="00D63656" w:rsidRPr="00D6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2526A"/>
    <w:multiLevelType w:val="hybridMultilevel"/>
    <w:tmpl w:val="0DF6F26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F602EC"/>
    <w:multiLevelType w:val="hybridMultilevel"/>
    <w:tmpl w:val="F6106DE6"/>
    <w:lvl w:ilvl="0" w:tplc="AA1C6B2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9228004">
    <w:abstractNumId w:val="1"/>
  </w:num>
  <w:num w:numId="2" w16cid:durableId="24708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56"/>
    <w:rsid w:val="004979D4"/>
    <w:rsid w:val="00CA4D56"/>
    <w:rsid w:val="00D63656"/>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A38445"/>
  <w15:chartTrackingRefBased/>
  <w15:docId w15:val="{173D4D49-14DF-41E7-A78C-15646E96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56"/>
    <w:pPr>
      <w:jc w:val="both"/>
    </w:pPr>
    <w:rPr>
      <w:rFonts w:ascii="Garamond" w:hAnsi="Garamond"/>
      <w:lang w:val="nl-NL"/>
    </w:rPr>
  </w:style>
  <w:style w:type="paragraph" w:styleId="Heading1">
    <w:name w:val="heading 1"/>
    <w:basedOn w:val="Normal"/>
    <w:next w:val="Normal"/>
    <w:link w:val="Heading1Char"/>
    <w:uiPriority w:val="9"/>
    <w:qFormat/>
    <w:rsid w:val="00D63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656"/>
    <w:rPr>
      <w:rFonts w:eastAsiaTheme="majorEastAsia" w:cstheme="majorBidi"/>
      <w:color w:val="272727" w:themeColor="text1" w:themeTint="D8"/>
    </w:rPr>
  </w:style>
  <w:style w:type="paragraph" w:styleId="Title">
    <w:name w:val="Title"/>
    <w:basedOn w:val="Normal"/>
    <w:next w:val="Normal"/>
    <w:link w:val="TitleChar"/>
    <w:uiPriority w:val="10"/>
    <w:qFormat/>
    <w:rsid w:val="00D63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656"/>
    <w:pPr>
      <w:spacing w:before="160"/>
      <w:jc w:val="center"/>
    </w:pPr>
    <w:rPr>
      <w:i/>
      <w:iCs/>
      <w:color w:val="404040" w:themeColor="text1" w:themeTint="BF"/>
    </w:rPr>
  </w:style>
  <w:style w:type="character" w:customStyle="1" w:styleId="QuoteChar">
    <w:name w:val="Quote Char"/>
    <w:basedOn w:val="DefaultParagraphFont"/>
    <w:link w:val="Quote"/>
    <w:uiPriority w:val="29"/>
    <w:rsid w:val="00D63656"/>
    <w:rPr>
      <w:i/>
      <w:iCs/>
      <w:color w:val="404040" w:themeColor="text1" w:themeTint="BF"/>
    </w:rPr>
  </w:style>
  <w:style w:type="paragraph" w:styleId="ListParagraph">
    <w:name w:val="List Paragraph"/>
    <w:basedOn w:val="Normal"/>
    <w:uiPriority w:val="34"/>
    <w:qFormat/>
    <w:rsid w:val="00D63656"/>
    <w:pPr>
      <w:ind w:left="720"/>
      <w:contextualSpacing/>
    </w:pPr>
  </w:style>
  <w:style w:type="character" w:styleId="IntenseEmphasis">
    <w:name w:val="Intense Emphasis"/>
    <w:basedOn w:val="DefaultParagraphFont"/>
    <w:uiPriority w:val="21"/>
    <w:qFormat/>
    <w:rsid w:val="00D63656"/>
    <w:rPr>
      <w:i/>
      <w:iCs/>
      <w:color w:val="0F4761" w:themeColor="accent1" w:themeShade="BF"/>
    </w:rPr>
  </w:style>
  <w:style w:type="paragraph" w:styleId="IntenseQuote">
    <w:name w:val="Intense Quote"/>
    <w:basedOn w:val="Normal"/>
    <w:next w:val="Normal"/>
    <w:link w:val="IntenseQuoteChar"/>
    <w:uiPriority w:val="30"/>
    <w:qFormat/>
    <w:rsid w:val="00D6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656"/>
    <w:rPr>
      <w:i/>
      <w:iCs/>
      <w:color w:val="0F4761" w:themeColor="accent1" w:themeShade="BF"/>
    </w:rPr>
  </w:style>
  <w:style w:type="character" w:styleId="IntenseReference">
    <w:name w:val="Intense Reference"/>
    <w:basedOn w:val="DefaultParagraphFont"/>
    <w:uiPriority w:val="32"/>
    <w:qFormat/>
    <w:rsid w:val="00D63656"/>
    <w:rPr>
      <w:b/>
      <w:bCs/>
      <w:smallCaps/>
      <w:color w:val="0F4761" w:themeColor="accent1" w:themeShade="BF"/>
      <w:spacing w:val="5"/>
    </w:rPr>
  </w:style>
  <w:style w:type="paragraph" w:styleId="Caption">
    <w:name w:val="caption"/>
    <w:basedOn w:val="Normal"/>
    <w:next w:val="Normal"/>
    <w:uiPriority w:val="35"/>
    <w:unhideWhenUsed/>
    <w:qFormat/>
    <w:rsid w:val="00D6365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 C.S. (Calvin, Student M-GEO-WO)</dc:creator>
  <cp:keywords/>
  <dc:description/>
  <cp:lastModifiedBy>Calvin Samwel</cp:lastModifiedBy>
  <cp:revision>1</cp:revision>
  <dcterms:created xsi:type="dcterms:W3CDTF">2024-07-19T12:20:00Z</dcterms:created>
  <dcterms:modified xsi:type="dcterms:W3CDTF">2024-07-19T12:32:00Z</dcterms:modified>
</cp:coreProperties>
</file>