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sz w:val="28"/>
        </w:rPr>
        <w:t>10. EXPECTED RESULTS</w:t>
      </w:r>
    </w:p>
    <w:p>
      <w:pPr>
        <w:spacing w:before="0" w:after="160" w:line="360" w:lineRule="auto"/>
        <w:jc w:val="both"/>
      </w:pPr>
      <w:r>
        <w:rPr>
          <w:rFonts w:ascii="Times New Roman" w:hAnsi="Times New Roman"/>
          <w:b w:val="0"/>
          <w:sz w:val="24"/>
        </w:rPr>
        <w:t>Based on the literature reviewed and the nature of the dataset, we expect the following outcomes from this project:</w:t>
      </w:r>
    </w:p>
    <w:p>
      <w:pPr>
        <w:spacing w:before="0" w:after="160" w:line="360" w:lineRule="auto"/>
        <w:jc w:val="both"/>
      </w:pPr>
      <w:r>
        <w:rPr>
          <w:rFonts w:ascii="Times New Roman" w:hAnsi="Times New Roman"/>
          <w:b w:val="0"/>
          <w:sz w:val="24"/>
        </w:rPr>
        <w:t>Random Forest is expected to deliver the best overall performance among the four models. Previous studies on the same DrivenData dataset have reported F1-scores between 0.67 and 0.74 for similar classification tasks (Adi et al., 2020; Poudyal &amp; Shakya, 2025). We anticipate our Random Forest model to achieve a macro-averaged F1-score in the range of 0.70 to 0.74 after hyperparameter tuning. XGBoost is expected to perform close to Random Forest, while Decision Tree and KNN are likely to fall behind due to their simpler learning mechanisms.</w:t>
      </w:r>
    </w:p>
    <w:p>
      <w:pPr>
        <w:spacing w:before="0" w:after="160" w:line="360" w:lineRule="auto"/>
        <w:jc w:val="both"/>
      </w:pPr>
      <w:r>
        <w:rPr>
          <w:rFonts w:ascii="Times New Roman" w:hAnsi="Times New Roman"/>
          <w:b w:val="0"/>
          <w:sz w:val="24"/>
        </w:rPr>
        <w:t>Grade 2 (medium damage) is expected to be the hardest class to predict accurately. This has been a consistent finding across all reviewed studies because Grade 2 buildings share overlapping features with both Grade 1 and Grade 3. We expect the models to perform best on Grade 1 and Grade 3, with Grade 2 pulling down the overall macro F1-score.</w:t>
      </w:r>
    </w:p>
    <w:p>
      <w:pPr>
        <w:spacing w:before="0" w:after="160" w:line="360" w:lineRule="auto"/>
        <w:jc w:val="both"/>
      </w:pPr>
      <w:r>
        <w:rPr>
          <w:rFonts w:ascii="Times New Roman" w:hAnsi="Times New Roman"/>
          <w:b w:val="0"/>
          <w:sz w:val="24"/>
        </w:rPr>
        <w:t>The table below summarizes the anticipated performance range for each model:</w:t>
      </w:r>
    </w:p>
    <w:tbl>
      <w:tblPr>
        <w:tblStyle w:val="TableGrid"/>
        <w:tblW w:type="auto" w:w="0"/>
        <w:tblLook w:firstColumn="1" w:firstRow="1" w:lastColumn="0" w:lastRow="0" w:noHBand="0" w:noVBand="1" w:val="04A0"/>
      </w:tblPr>
      <w:tblGrid>
        <w:gridCol w:w="2769"/>
        <w:gridCol w:w="2769"/>
        <w:gridCol w:w="2769"/>
      </w:tblGrid>
      <w:tr>
        <w:tc>
          <w:tcPr>
            <w:tcW w:type="dxa" w:w="2880"/>
          </w:tcPr>
          <w:p>
            <w:pPr>
              <w:spacing w:before="40" w:after="40"/>
            </w:pPr>
            <w:r/>
            <w:r>
              <w:rPr>
                <w:rFonts w:ascii="Times New Roman" w:hAnsi="Times New Roman"/>
                <w:b/>
                <w:sz w:val="22"/>
              </w:rPr>
              <w:t>Model</w:t>
            </w:r>
          </w:p>
        </w:tc>
        <w:tc>
          <w:tcPr>
            <w:tcW w:type="dxa" w:w="2592"/>
          </w:tcPr>
          <w:p>
            <w:pPr>
              <w:spacing w:before="40" w:after="40"/>
            </w:pPr>
            <w:r/>
            <w:r>
              <w:rPr>
                <w:rFonts w:ascii="Times New Roman" w:hAnsi="Times New Roman"/>
                <w:b/>
                <w:sz w:val="22"/>
              </w:rPr>
              <w:t>Expected F1-Score</w:t>
            </w:r>
          </w:p>
        </w:tc>
        <w:tc>
          <w:tcPr>
            <w:tcW w:type="dxa" w:w="2592"/>
          </w:tcPr>
          <w:p>
            <w:pPr>
              <w:spacing w:before="40" w:after="40"/>
            </w:pPr>
            <w:r/>
            <w:r>
              <w:rPr>
                <w:rFonts w:ascii="Times New Roman" w:hAnsi="Times New Roman"/>
                <w:b/>
                <w:sz w:val="22"/>
              </w:rPr>
              <w:t>Expected Accuracy</w:t>
            </w:r>
          </w:p>
        </w:tc>
      </w:tr>
      <w:tr>
        <w:tc>
          <w:tcPr>
            <w:tcW w:type="dxa" w:w="2880"/>
          </w:tcPr>
          <w:p>
            <w:pPr>
              <w:spacing w:before="40" w:after="40"/>
            </w:pPr>
            <w:r/>
            <w:r>
              <w:rPr>
                <w:rFonts w:ascii="Times New Roman" w:hAnsi="Times New Roman"/>
                <w:b w:val="0"/>
                <w:sz w:val="22"/>
              </w:rPr>
              <w:t>Decision Tree</w:t>
            </w:r>
          </w:p>
        </w:tc>
        <w:tc>
          <w:tcPr>
            <w:tcW w:type="dxa" w:w="2592"/>
          </w:tcPr>
          <w:p>
            <w:pPr>
              <w:spacing w:before="40" w:after="40"/>
            </w:pPr>
            <w:r/>
            <w:r>
              <w:rPr>
                <w:rFonts w:ascii="Times New Roman" w:hAnsi="Times New Roman"/>
                <w:b w:val="0"/>
                <w:sz w:val="22"/>
              </w:rPr>
              <w:t>0.60 – 0.65</w:t>
            </w:r>
          </w:p>
        </w:tc>
        <w:tc>
          <w:tcPr>
            <w:tcW w:type="dxa" w:w="2592"/>
          </w:tcPr>
          <w:p>
            <w:pPr>
              <w:spacing w:before="40" w:after="40"/>
            </w:pPr>
            <w:r/>
            <w:r>
              <w:rPr>
                <w:rFonts w:ascii="Times New Roman" w:hAnsi="Times New Roman"/>
                <w:b w:val="0"/>
                <w:sz w:val="22"/>
              </w:rPr>
              <w:t>65% – 70%</w:t>
            </w:r>
          </w:p>
        </w:tc>
      </w:tr>
      <w:tr>
        <w:tc>
          <w:tcPr>
            <w:tcW w:type="dxa" w:w="2880"/>
          </w:tcPr>
          <w:p>
            <w:pPr>
              <w:spacing w:before="40" w:after="40"/>
            </w:pPr>
            <w:r/>
            <w:r>
              <w:rPr>
                <w:rFonts w:ascii="Times New Roman" w:hAnsi="Times New Roman"/>
                <w:b w:val="0"/>
                <w:sz w:val="22"/>
              </w:rPr>
              <w:t>K-Nearest Neighbors</w:t>
            </w:r>
          </w:p>
        </w:tc>
        <w:tc>
          <w:tcPr>
            <w:tcW w:type="dxa" w:w="2592"/>
          </w:tcPr>
          <w:p>
            <w:pPr>
              <w:spacing w:before="40" w:after="40"/>
            </w:pPr>
            <w:r/>
            <w:r>
              <w:rPr>
                <w:rFonts w:ascii="Times New Roman" w:hAnsi="Times New Roman"/>
                <w:b w:val="0"/>
                <w:sz w:val="22"/>
              </w:rPr>
              <w:t>0.58 – 0.63</w:t>
            </w:r>
          </w:p>
        </w:tc>
        <w:tc>
          <w:tcPr>
            <w:tcW w:type="dxa" w:w="2592"/>
          </w:tcPr>
          <w:p>
            <w:pPr>
              <w:spacing w:before="40" w:after="40"/>
            </w:pPr>
            <w:r/>
            <w:r>
              <w:rPr>
                <w:rFonts w:ascii="Times New Roman" w:hAnsi="Times New Roman"/>
                <w:b w:val="0"/>
                <w:sz w:val="22"/>
              </w:rPr>
              <w:t>62% – 68%</w:t>
            </w:r>
          </w:p>
        </w:tc>
      </w:tr>
      <w:tr>
        <w:tc>
          <w:tcPr>
            <w:tcW w:type="dxa" w:w="2880"/>
          </w:tcPr>
          <w:p>
            <w:pPr>
              <w:spacing w:before="40" w:after="40"/>
            </w:pPr>
            <w:r/>
            <w:r>
              <w:rPr>
                <w:rFonts w:ascii="Times New Roman" w:hAnsi="Times New Roman"/>
                <w:b w:val="0"/>
                <w:sz w:val="22"/>
              </w:rPr>
              <w:t>Random Forest</w:t>
            </w:r>
          </w:p>
        </w:tc>
        <w:tc>
          <w:tcPr>
            <w:tcW w:type="dxa" w:w="2592"/>
          </w:tcPr>
          <w:p>
            <w:pPr>
              <w:spacing w:before="40" w:after="40"/>
            </w:pPr>
            <w:r/>
            <w:r>
              <w:rPr>
                <w:rFonts w:ascii="Times New Roman" w:hAnsi="Times New Roman"/>
                <w:b w:val="0"/>
                <w:sz w:val="22"/>
              </w:rPr>
              <w:t>0.70 – 0.74</w:t>
            </w:r>
          </w:p>
        </w:tc>
        <w:tc>
          <w:tcPr>
            <w:tcW w:type="dxa" w:w="2592"/>
          </w:tcPr>
          <w:p>
            <w:pPr>
              <w:spacing w:before="40" w:after="40"/>
            </w:pPr>
            <w:r/>
            <w:r>
              <w:rPr>
                <w:rFonts w:ascii="Times New Roman" w:hAnsi="Times New Roman"/>
                <w:b w:val="0"/>
                <w:sz w:val="22"/>
              </w:rPr>
              <w:t>72% – 78%</w:t>
            </w:r>
          </w:p>
        </w:tc>
      </w:tr>
      <w:tr>
        <w:tc>
          <w:tcPr>
            <w:tcW w:type="dxa" w:w="2880"/>
          </w:tcPr>
          <w:p>
            <w:pPr>
              <w:spacing w:before="40" w:after="40"/>
            </w:pPr>
            <w:r/>
            <w:r>
              <w:rPr>
                <w:rFonts w:ascii="Times New Roman" w:hAnsi="Times New Roman"/>
                <w:b w:val="0"/>
                <w:sz w:val="22"/>
              </w:rPr>
              <w:t>XGBoost</w:t>
            </w:r>
          </w:p>
        </w:tc>
        <w:tc>
          <w:tcPr>
            <w:tcW w:type="dxa" w:w="2592"/>
          </w:tcPr>
          <w:p>
            <w:pPr>
              <w:spacing w:before="40" w:after="40"/>
            </w:pPr>
            <w:r/>
            <w:r>
              <w:rPr>
                <w:rFonts w:ascii="Times New Roman" w:hAnsi="Times New Roman"/>
                <w:b w:val="0"/>
                <w:sz w:val="22"/>
              </w:rPr>
              <w:t>0.68 – 0.73</w:t>
            </w:r>
          </w:p>
        </w:tc>
        <w:tc>
          <w:tcPr>
            <w:tcW w:type="dxa" w:w="2592"/>
          </w:tcPr>
          <w:p>
            <w:pPr>
              <w:spacing w:before="40" w:after="40"/>
            </w:pPr>
            <w:r/>
            <w:r>
              <w:rPr>
                <w:rFonts w:ascii="Times New Roman" w:hAnsi="Times New Roman"/>
                <w:b w:val="0"/>
                <w:sz w:val="22"/>
              </w:rPr>
              <w:t>70% – 76%</w:t>
            </w:r>
          </w:p>
        </w:tc>
      </w:tr>
    </w:tbl>
    <w:p>
      <w:pPr>
        <w:spacing w:before="0" w:after="80" w:line="360" w:lineRule="auto"/>
        <w:jc w:val="both"/>
      </w:pPr>
      <w:r>
        <w:rPr>
          <w:rFonts w:ascii="Times New Roman" w:hAnsi="Times New Roman"/>
          <w:b w:val="0"/>
          <w:sz w:val="24"/>
        </w:rPr>
      </w:r>
    </w:p>
    <w:p>
      <w:pPr>
        <w:spacing w:before="0" w:after="160" w:line="360" w:lineRule="auto"/>
        <w:jc w:val="both"/>
      </w:pPr>
      <w:r>
        <w:rPr>
          <w:rFonts w:ascii="Times New Roman" w:hAnsi="Times New Roman"/>
          <w:b w:val="0"/>
          <w:sz w:val="24"/>
        </w:rPr>
        <w:t>On the deployment side, we expect the FastAPI web application to return predictions within 2 seconds for any valid input. The web form should correctly handle all building feature inputs and display the predicted damage grade in a clear and understandable format. The overall goal is to produce a working prototype that demonstrates how machine learning can be used for practical earthquake preparedness in Nepal.</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