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b/>
          <w:i w:val="0"/>
          <w:sz w:val="28"/>
        </w:rPr>
        <w:t>4. BACKGROUND STUDY / LITERATURE REVIEW</w:t>
      </w:r>
    </w:p>
    <w:p>
      <w:pPr>
        <w:spacing w:before="0" w:after="160" w:line="360" w:lineRule="auto"/>
        <w:jc w:val="both"/>
      </w:pPr>
      <w:r>
        <w:rPr>
          <w:rFonts w:ascii="Times New Roman" w:hAnsi="Times New Roman"/>
          <w:b w:val="0"/>
          <w:i w:val="0"/>
          <w:sz w:val="24"/>
        </w:rPr>
        <w:t>Earthquake damage prediction has become an active research area, especially after large-scale post-earthquake datasets became publicly available. Traditional vulnerability assessment relies on manual inspection, which is slow, expensive, and difficult to scale. This section reviews five studies that directly relate to the machine learning approach taken in this project.</w:t>
      </w:r>
    </w:p>
    <w:p>
      <w:pPr>
        <w:spacing w:before="0" w:after="160" w:line="360" w:lineRule="auto"/>
        <w:jc w:val="both"/>
      </w:pPr>
      <w:r>
        <w:rPr>
          <w:rFonts w:ascii="Times New Roman" w:hAnsi="Times New Roman"/>
          <w:b w:val="0"/>
          <w:i w:val="0"/>
          <w:sz w:val="24"/>
        </w:rPr>
        <w:t>Ghimire, Guéguen, Giffard-Roisin, and Schorlemmer (2022)</w:t>
      </w:r>
      <w:r>
        <w:rPr>
          <w:rFonts w:ascii="Times New Roman" w:hAnsi="Times New Roman"/>
          <w:b w:val="0"/>
          <w:i w:val="0"/>
          <w:sz w:val="24"/>
        </w:rPr>
        <w:t xml:space="preserve"> analyzed 762,106 buildings from the Nepal Building Damage Portfolio across 11 districts, combined with macro-seismic intensity values from the USGS ShakeMap. They tested six models and found that Random Forest Regression performed best, achieving an accuracy of 0.68 for three-class damage classification and 0.49 for the full five-grade scale. Their feature importance analysis showed mud-mortar stone construction material (32%) and macro-seismic intensity (31%) as the most significant predictors. Even with only four basic building features, the model maintained a reasonable accuracy of 0.64.</w:t>
      </w:r>
    </w:p>
    <w:p>
      <w:pPr>
        <w:spacing w:before="0" w:after="160" w:line="360" w:lineRule="auto"/>
        <w:jc w:val="both"/>
      </w:pPr>
      <w:r>
        <w:rPr>
          <w:rFonts w:ascii="Times New Roman" w:hAnsi="Times New Roman"/>
          <w:b w:val="0"/>
          <w:i w:val="0"/>
          <w:sz w:val="24"/>
        </w:rPr>
        <w:t>Bhatta and Dang (2023)</w:t>
      </w:r>
      <w:r>
        <w:rPr>
          <w:rFonts w:ascii="Times New Roman" w:hAnsi="Times New Roman"/>
          <w:b w:val="0"/>
          <w:i w:val="0"/>
          <w:sz w:val="24"/>
        </w:rPr>
        <w:t xml:space="preserve"> trained five models — KNN, Random Forest, Decision Tree, SVM, and ANN — on simulation data from 35 RC buildings and validated them on 67 real RC buildings damaged during the 2015 Nepal earthquake. Random Forest achieved the highest testing accuracy of 74.62%, followed by ANN (70.14%), SVM (68.65%), Decision Tree (64.17%), and KNN (62.68%). Construction years, plinth area, and peak ground acceleration were identified as the most important features.</w:t>
      </w:r>
    </w:p>
    <w:p>
      <w:pPr>
        <w:spacing w:before="0" w:after="160" w:line="360" w:lineRule="auto"/>
        <w:jc w:val="both"/>
      </w:pPr>
      <w:r>
        <w:rPr>
          <w:rFonts w:ascii="Times New Roman" w:hAnsi="Times New Roman"/>
          <w:b w:val="0"/>
          <w:i w:val="0"/>
          <w:sz w:val="24"/>
        </w:rPr>
        <w:t>Adi, Adishesha, Bharadwaj, and Narayan (2020)</w:t>
      </w:r>
      <w:r>
        <w:rPr>
          <w:rFonts w:ascii="Times New Roman" w:hAnsi="Times New Roman"/>
          <w:b w:val="0"/>
          <w:i w:val="0"/>
          <w:sz w:val="24"/>
        </w:rPr>
        <w:t xml:space="preserve"> worked with the same DrivenData Nepal earthquake dataset used in this project. Their Random Forest Classifier achieved an F1-score of 72.95%, which improved to 74.42% using Gradient Boosting with hyperparameter tuning. This study serves as a direct benchmark since we use the same dataset and target variable.</w:t>
      </w:r>
    </w:p>
    <w:p>
      <w:pPr>
        <w:spacing w:before="0" w:after="160" w:line="360" w:lineRule="auto"/>
        <w:jc w:val="both"/>
      </w:pPr>
      <w:r>
        <w:rPr>
          <w:rFonts w:ascii="Times New Roman" w:hAnsi="Times New Roman"/>
          <w:b w:val="0"/>
          <w:i w:val="0"/>
          <w:sz w:val="24"/>
        </w:rPr>
        <w:t>Poudyal and Shakya (2025)</w:t>
      </w:r>
      <w:r>
        <w:rPr>
          <w:rFonts w:ascii="Times New Roman" w:hAnsi="Times New Roman"/>
          <w:b w:val="0"/>
          <w:i w:val="0"/>
          <w:sz w:val="24"/>
        </w:rPr>
        <w:t xml:space="preserve"> also used the DrivenData dataset and compared resampling techniques for class imbalance. Random Forest with SMOTE achieved a macro F1-score of 0.67 and accuracy of 82.1%. Both Random Forest and Gradient Boosting achieved the highest ROC-AUC of 0.89. They found Grade 2 (medium damage) was the hardest class to predict across all models due to overlapping features.</w:t>
      </w:r>
    </w:p>
    <w:p>
      <w:pPr>
        <w:spacing w:before="0" w:after="160" w:line="360" w:lineRule="auto"/>
        <w:jc w:val="both"/>
      </w:pPr>
      <w:r>
        <w:rPr>
          <w:rFonts w:ascii="Times New Roman" w:hAnsi="Times New Roman"/>
          <w:b w:val="0"/>
          <w:i w:val="0"/>
          <w:sz w:val="24"/>
        </w:rPr>
        <w:t>Onur, Atici, Yeşilırmak, and Hancılar (2022)</w:t>
      </w:r>
      <w:r>
        <w:rPr>
          <w:rFonts w:ascii="Times New Roman" w:hAnsi="Times New Roman"/>
          <w:b w:val="0"/>
          <w:i w:val="0"/>
          <w:sz w:val="24"/>
        </w:rPr>
        <w:t xml:space="preserve"> studied 8,071 buildings damaged during the 2020 Elazığ earthquake (Mw 6.8) in Turkey. Random Forest achieved the best accuracy of 85% and F1-score of 68% after applying Tomek’s link under-sampling, confirming that Random Forest generalizes well across different seismic contexts.</w:t>
      </w:r>
    </w:p>
    <w:p>
      <w:pPr>
        <w:spacing w:before="0" w:after="160" w:line="360" w:lineRule="auto"/>
        <w:jc w:val="both"/>
      </w:pPr>
      <w:r>
        <w:rPr>
          <w:rFonts w:ascii="Times New Roman" w:hAnsi="Times New Roman"/>
          <w:b w:val="0"/>
          <w:i w:val="0"/>
          <w:sz w:val="24"/>
        </w:rPr>
        <w:t>These studies consistently show that ensemble methods like Random Forest and Gradient Boosting outperform simpler models, with F1-scores ranging from 0.67 to 0.74 on the Nepal dataset. Class imbalance remains a shared challenge. However, none of these studies produce a deployable tool for local authorities. This project addresses that gap by combining model evaluation with a FastAPI web application for practical earthquake preparedness planning.</w:t>
      </w:r>
    </w:p>
    <w:p>
      <w:pPr>
        <w:spacing w:before="320" w:after="200" w:line="360" w:lineRule="auto"/>
        <w:jc w:val="left"/>
      </w:pPr>
      <w:r>
        <w:rPr>
          <w:rFonts w:ascii="Times New Roman" w:hAnsi="Times New Roman"/>
          <w:b/>
          <w:i w:val="0"/>
          <w:sz w:val="28"/>
        </w:rPr>
        <w:t>References</w:t>
      </w:r>
    </w:p>
    <w:p>
      <w:pPr>
        <w:spacing w:before="0" w:after="120" w:line="360" w:lineRule="auto"/>
        <w:ind w:left="720" w:hanging="720"/>
        <w:jc w:val="both"/>
      </w:pPr>
      <w:r>
        <w:rPr>
          <w:rFonts w:ascii="Times New Roman" w:hAnsi="Times New Roman"/>
          <w:sz w:val="22"/>
        </w:rPr>
        <w:t xml:space="preserve">Adi, S. P., Adishesha, V. B., Bharadwaj, K. V., &amp; Narayan, A. (2020). Earthquake damage prediction using Random Forest and Gradient Boosting Classifier. </w:t>
      </w:r>
      <w:r>
        <w:rPr>
          <w:rFonts w:ascii="Times New Roman" w:hAnsi="Times New Roman"/>
          <w:i/>
          <w:sz w:val="22"/>
        </w:rPr>
        <w:t>American Journal of Biological and Environmental Statistics, 6</w:t>
      </w:r>
      <w:r>
        <w:rPr>
          <w:rFonts w:ascii="Times New Roman" w:hAnsi="Times New Roman"/>
          <w:sz w:val="22"/>
        </w:rPr>
        <w:t>(3), 58–63. https://doi.org/10.11648/j.ajbes.20200603.14</w:t>
      </w:r>
    </w:p>
    <w:p>
      <w:pPr>
        <w:spacing w:before="0" w:after="120" w:line="360" w:lineRule="auto"/>
        <w:ind w:left="720" w:hanging="720"/>
        <w:jc w:val="both"/>
      </w:pPr>
      <w:r>
        <w:rPr>
          <w:rFonts w:ascii="Times New Roman" w:hAnsi="Times New Roman"/>
          <w:sz w:val="22"/>
        </w:rPr>
        <w:t xml:space="preserve">Bhatta, S., &amp; Dang, J. (2023). Seismic damage prediction of RC buildings using machine learning. </w:t>
      </w:r>
      <w:r>
        <w:rPr>
          <w:rFonts w:ascii="Times New Roman" w:hAnsi="Times New Roman"/>
          <w:i/>
          <w:sz w:val="22"/>
        </w:rPr>
        <w:t>Earthquake Engineering &amp; Structural Dynamics, 52</w:t>
      </w:r>
      <w:r>
        <w:rPr>
          <w:rFonts w:ascii="Times New Roman" w:hAnsi="Times New Roman"/>
          <w:sz w:val="22"/>
        </w:rPr>
        <w:t>(11), 3504–3527. https://doi.org/10.1002/eqe.3907</w:t>
      </w:r>
    </w:p>
    <w:p>
      <w:pPr>
        <w:spacing w:before="0" w:after="120" w:line="360" w:lineRule="auto"/>
        <w:ind w:left="720" w:hanging="720"/>
        <w:jc w:val="both"/>
      </w:pPr>
      <w:r>
        <w:rPr>
          <w:rFonts w:ascii="Times New Roman" w:hAnsi="Times New Roman"/>
          <w:sz w:val="22"/>
        </w:rPr>
        <w:t xml:space="preserve">Ghimire, S., Guéguen, P., Giffard-Roisin, S., &amp; Schorlemmer, D. (2022). Testing machine learning models for seismic damage prediction at a regional scale using building-damage dataset compiled after the 2015 Gorkha Nepal earthquake. </w:t>
      </w:r>
      <w:r>
        <w:rPr>
          <w:rFonts w:ascii="Times New Roman" w:hAnsi="Times New Roman"/>
          <w:i/>
          <w:sz w:val="22"/>
        </w:rPr>
        <w:t>Earthquake Spectra, 38</w:t>
      </w:r>
      <w:r>
        <w:rPr>
          <w:rFonts w:ascii="Times New Roman" w:hAnsi="Times New Roman"/>
          <w:sz w:val="22"/>
        </w:rPr>
        <w:t>(4), 2970–2993. https://doi.org/10.1177/87552930221106495</w:t>
      </w:r>
    </w:p>
    <w:p>
      <w:pPr>
        <w:spacing w:before="0" w:after="120" w:line="360" w:lineRule="auto"/>
        <w:ind w:left="720" w:hanging="720"/>
        <w:jc w:val="both"/>
      </w:pPr>
      <w:r>
        <w:rPr>
          <w:rFonts w:ascii="Times New Roman" w:hAnsi="Times New Roman"/>
          <w:sz w:val="22"/>
        </w:rPr>
        <w:t xml:space="preserve">Onur, U., Atici, A. T., Yeşilırmak, F. C., &amp; Hancılar, U. (2022). Classifying and predicting earthquake damage by using machine learning after the 2020 Elazığ, Turkey, earthquake. In </w:t>
      </w:r>
      <w:r>
        <w:rPr>
          <w:rFonts w:ascii="Times New Roman" w:hAnsi="Times New Roman"/>
          <w:i/>
          <w:sz w:val="22"/>
        </w:rPr>
        <w:t>Proceedings of the 3rd European Conference on Earthquake Engineering &amp; Seismology (3ECEES)</w:t>
      </w:r>
      <w:r>
        <w:rPr>
          <w:rFonts w:ascii="Times New Roman" w:hAnsi="Times New Roman"/>
          <w:sz w:val="22"/>
        </w:rPr>
        <w:t>, Bucharest, Romania.</w:t>
      </w:r>
    </w:p>
    <w:p>
      <w:pPr>
        <w:spacing w:before="0" w:after="120" w:line="360" w:lineRule="auto"/>
        <w:ind w:left="720" w:hanging="720"/>
        <w:jc w:val="both"/>
      </w:pPr>
      <w:r>
        <w:rPr>
          <w:rFonts w:ascii="Times New Roman" w:hAnsi="Times New Roman"/>
          <w:sz w:val="22"/>
        </w:rPr>
        <w:t xml:space="preserve">Poudyal, B., &amp; Shakya, M. (2025). Enhancing earthquake preparedness in Nepal through machine learning-based damage prediction models. </w:t>
      </w:r>
      <w:r>
        <w:rPr>
          <w:rFonts w:ascii="Times New Roman" w:hAnsi="Times New Roman"/>
          <w:i/>
          <w:sz w:val="22"/>
        </w:rPr>
        <w:t>Journal of Future Artificial Intelligence and Technologies, 2</w:t>
      </w:r>
      <w:r>
        <w:rPr>
          <w:rFonts w:ascii="Times New Roman" w:hAnsi="Times New Roman"/>
          <w:sz w:val="22"/>
        </w:rPr>
        <w:t>(3), 479–492.</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