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rFonts w:ascii="Calibri" w:hAnsi="Calibri" w:eastAsia="Microsoft YaHei"/>
          <w:b/>
          <w:color w:val="2E74B5"/>
          <w:sz w:val="44"/>
        </w:rPr>
        <w:t>UAW SDD2.0 Skill 化方案说明与操作指南</w:t>
      </w:r>
    </w:p>
    <w:p>
      <w:pPr>
        <w:jc w:val="center"/>
      </w:pPr>
      <w:r>
        <w:rPr>
          <w:rFonts w:ascii="Calibri" w:hAnsi="Calibri" w:eastAsia="Microsoft YaHei"/>
          <w:color w:val="5B6770"/>
          <w:sz w:val="24"/>
        </w:rPr>
        <w:t>面向公司内网 AI Coding 的端到端工程流程、过程资产与操作手册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项目</w:t>
            </w:r>
          </w:p>
        </w:tc>
        <w:tc>
          <w:tcPr>
            <w:tcW w:type="dxa" w:w="72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内容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适用范围</w:t>
            </w:r>
          </w:p>
        </w:tc>
        <w:tc>
          <w:tcPr>
            <w:tcW w:type="dxa" w:w="72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UAW 后端需求从人工简要设计到代码实现、代码评审、单元测试和归档的 SDD2.0 标准流程。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Skill 构成</w:t>
            </w:r>
          </w:p>
        </w:tc>
        <w:tc>
          <w:tcPr>
            <w:tcW w:type="dxa" w:w="72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uaw-sdd-ai-coding、uaw-code-review、uaw-unit-test。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过程资产根目录</w:t>
            </w:r>
          </w:p>
        </w:tc>
        <w:tc>
          <w:tcPr>
            <w:tcW w:type="dxa" w:w="72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sdd2-features/&lt;sprint&gt;/&lt;feature-name&gt;/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文档定位</w:t>
            </w:r>
          </w:p>
        </w:tc>
        <w:tc>
          <w:tcPr>
            <w:tcW w:type="dxa" w:w="72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说明书、操作指南、审核手册和归档说明合并版。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更新日期</w:t>
            </w:r>
          </w:p>
        </w:tc>
        <w:tc>
          <w:tcPr>
            <w:tcW w:type="dxa" w:w="72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2026-06-17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500"/>
        <w:gridCol w:w="7860"/>
      </w:tblGrid>
      <w:tr>
        <w:trPr>
          <w:tblHeader w:val="true"/>
        </w:trPr>
        <w:tc>
          <w:tcPr>
            <w:tcW w:type="dxa" w:w="1500"/>
            <w:shd w:fill="EAF5EF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提示</w:t>
            </w:r>
          </w:p>
        </w:tc>
        <w:tc>
          <w:tcPr>
            <w:tcW w:type="dxa" w:w="7860"/>
            <w:shd w:fill="EAF5EF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说明</w:t>
            </w:r>
          </w:p>
        </w:tc>
      </w:tr>
      <w:tr>
        <w:tc>
          <w:tcPr>
            <w:tcW w:type="dxa" w:w="1500"/>
            <w:vAlign w:val="center"/>
            <w:shd w:fill="EAF5EF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阅读建议</w:t>
            </w:r>
          </w:p>
        </w:tc>
        <w:tc>
          <w:tcPr>
            <w:tcW w:type="dxa" w:w="7860"/>
            <w:vAlign w:val="center"/>
            <w:shd w:fill="EAF5EF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第一次使用时按第 5、6、8、9 章顺序阅读；日常执行时可直接使用第 20 章检查清单。文档中的模板字段和场景样例只用于说明结构，不作为默认业务规则。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/>
          <w:color w:val="2E74B5"/>
        </w:rPr>
        <w:t>目录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1. 方案简介与适用范围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2. 核心原则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3. SDD2.0 Skill 工程构成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4. 运行时过程资料结构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5. 从 0 开始使用 SDD2.0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6. 人工简要设计模板与填写指南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7. 端到端流程图与阶段说明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8. 过程资产逐项说明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9. 过程资料章节要求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10. 人工审核门禁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11. 三个 Skill 职责与调用关系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12. Code Review Skill 使用说明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13. Unit Test Skill 使用说明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14. 典型场景指南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15. 常见错误与处理方式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16. 方案优势、限制与适用边界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17. 归档与审计要求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18. 下一步演进建议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19. 文件清单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20. 操作检查清单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/>
          <w:color w:val="2E74B5"/>
        </w:rPr>
        <w:t>1. 方案简介与适用范围</w:t>
      </w:r>
    </w:p>
    <w:p>
      <w:r>
        <w:rPr>
          <w:rFonts w:ascii="Calibri" w:hAnsi="Calibri" w:eastAsia="Microsoft YaHei"/>
          <w:b w:val="0"/>
        </w:rPr>
        <w:t>SDD2.0 是面向公司内网 AI Coding 场景的结构化交付流程。它把需求理解、方案生成、人工审核、代码实现、代码评审、单元测试和归档审计串成一个可追踪的工程链路。</w:t>
      </w:r>
    </w:p>
    <w:p>
      <w:r>
        <w:rPr>
          <w:rFonts w:ascii="Calibri" w:hAnsi="Calibri" w:eastAsia="Microsoft YaHei"/>
          <w:b w:val="0"/>
        </w:rPr>
        <w:t>SDD2.0 的入口不是让开发直接填写 proposal-input.md，而是让开发提供人工简要设计。Skill 在必填字段完整后，自动组装 proposal-input.md，并按 spec、design、tasks、implementation、Code Review、Auto-fix、Unit Test Summary、Archive 的顺序推进。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3900"/>
        <w:gridCol w:w="3660"/>
      </w:tblGrid>
      <w:tr>
        <w:trPr>
          <w:tblHeader w:val="true"/>
        </w:trPr>
        <w:tc>
          <w:tcPr>
            <w:tcW w:type="dxa" w:w="18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适用对象</w:t>
            </w:r>
          </w:p>
        </w:tc>
        <w:tc>
          <w:tcPr>
            <w:tcW w:type="dxa" w:w="39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使用方式</w:t>
            </w:r>
          </w:p>
        </w:tc>
        <w:tc>
          <w:tcPr>
            <w:tcW w:type="dxa" w:w="36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主要收益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开发人员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按模板输出人工简要设计，逐阶段审核 SDD 产物和代码。</w:t>
            </w:r>
          </w:p>
        </w:tc>
        <w:tc>
          <w:tcPr>
            <w:tcW w:type="dxa" w:w="36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减少需求理解偏差，避免 AI 自行扩大范围。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Tech Lead / Reviewer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审核 spec、design、tasks、Phase Review、Code Review Findings 和 Archive。</w:t>
            </w:r>
          </w:p>
        </w:tc>
        <w:tc>
          <w:tcPr>
            <w:tcW w:type="dxa" w:w="36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让质量门禁前移，并留下可审计依据。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内网 AI 平台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以 Skill 方式加载 SDD、Code Review、Unit Test 能力。</w:t>
            </w:r>
          </w:p>
        </w:tc>
        <w:tc>
          <w:tcPr>
            <w:tcW w:type="dxa" w:w="36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将提示词体系升级为可复用、可调用、可治理的流程能力。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项目管理 / 审计角色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查看过程资产和 Archive 结果。</w:t>
            </w:r>
          </w:p>
        </w:tc>
        <w:tc>
          <w:tcPr>
            <w:tcW w:type="dxa" w:w="36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确认需求、设计、实现、测试和风险是否闭环。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500"/>
        <w:gridCol w:w="7860"/>
      </w:tblGrid>
      <w:tr>
        <w:trPr>
          <w:tblHeader w:val="true"/>
        </w:trPr>
        <w:tc>
          <w:tcPr>
            <w:tcW w:type="dxa" w:w="1500"/>
            <w:shd w:fill="FFF7E6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提示</w:t>
            </w:r>
          </w:p>
        </w:tc>
        <w:tc>
          <w:tcPr>
            <w:tcW w:type="dxa" w:w="7860"/>
            <w:shd w:fill="FFF7E6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说明</w:t>
            </w:r>
          </w:p>
        </w:tc>
      </w:tr>
      <w:tr>
        <w:tc>
          <w:tcPr>
            <w:tcW w:type="dxa" w:w="1500"/>
            <w:vAlign w:val="center"/>
            <w:shd w:fill="FFF7E6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定位边界</w:t>
            </w:r>
          </w:p>
        </w:tc>
        <w:tc>
          <w:tcPr>
            <w:tcW w:type="dxa" w:w="7860"/>
            <w:vAlign w:val="center"/>
            <w:shd w:fill="FFF7E6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SDD2.0 是工程流程和质量门禁，不是业务需求库。Skill 文件中的模板、说明和示例不得被 AI 当作默认业务内容。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/>
          <w:color w:val="2E74B5"/>
        </w:rPr>
        <w:t>2. 核心原则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700"/>
        <w:gridCol w:w="3900"/>
        <w:gridCol w:w="3760"/>
      </w:tblGrid>
      <w:tr>
        <w:trPr>
          <w:tblHeader w:val="true"/>
        </w:trPr>
        <w:tc>
          <w:tcPr>
            <w:tcW w:type="dxa" w:w="17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原则</w:t>
            </w:r>
          </w:p>
        </w:tc>
        <w:tc>
          <w:tcPr>
            <w:tcW w:type="dxa" w:w="39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正式规则</w:t>
            </w:r>
          </w:p>
        </w:tc>
        <w:tc>
          <w:tcPr>
            <w:tcW w:type="dxa" w:w="37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执行含义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唯一启动入口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人工简要设计是用户侧启动入口。</w:t>
            </w:r>
          </w:p>
        </w:tc>
        <w:tc>
          <w:tcPr>
            <w:tcW w:type="dxa" w:w="3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开发不直接手填 proposal-input.md；Skill 负责内部组装。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模板不是需求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模板字段、占位符、示例文本不得复制成真实需求。</w:t>
            </w:r>
          </w:p>
        </w:tc>
        <w:tc>
          <w:tcPr>
            <w:tcW w:type="dxa" w:w="3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功能名、API、字段、目录名必须来自当前已确认输入。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当前代码为基线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enhancement / refactor 必须先识别现有接口、类、方法和模型。</w:t>
            </w:r>
          </w:p>
        </w:tc>
        <w:tc>
          <w:tcPr>
            <w:tcW w:type="dxa" w:w="3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小改动不得扩展成新工单、新流程或新表。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人工审核门禁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spec、design、tasks、Phase Review、Archive 都必须审核。</w:t>
            </w:r>
          </w:p>
        </w:tc>
        <w:tc>
          <w:tcPr>
            <w:tcW w:type="dxa" w:w="3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未通过审核不得进入下一阶段。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质量闸门自动触发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tasks 实现后固定执行 Code Review → Auto-fix → Unit Test。</w:t>
            </w:r>
          </w:p>
        </w:tc>
        <w:tc>
          <w:tcPr>
            <w:tcW w:type="dxa" w:w="3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Code Review 先发现设计偏差和范围扩张，Auto-fix 后再补齐测试。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过程可追溯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核心资产保留 Process Status、Audit Trail、Review Record。</w:t>
            </w:r>
          </w:p>
        </w:tc>
        <w:tc>
          <w:tcPr>
            <w:tcW w:type="dxa" w:w="3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归档时能追踪每个阶段的输入、输出、结论和风险。</w:t>
            </w:r>
          </w:p>
        </w:tc>
      </w:tr>
    </w:tbl>
    <w:p/>
    <w:p>
      <w:pPr>
        <w:pStyle w:val="ListBullet"/>
      </w:pPr>
      <w:r>
        <w:rPr>
          <w:rFonts w:ascii="Calibri" w:hAnsi="Calibri" w:eastAsia="Microsoft YaHei"/>
        </w:rPr>
        <w:t>当用户只要求既有查询返回新增字段时，SDD 范围必须保持在响应模型、映射逻辑和测试上，不得生成新工单或新提交流程。</w:t>
      </w:r>
    </w:p>
    <w:p>
      <w:pPr>
        <w:pStyle w:val="ListBullet"/>
      </w:pPr>
      <w:r>
        <w:rPr>
          <w:rFonts w:ascii="Calibri" w:hAnsi="Calibri" w:eastAsia="Microsoft YaHei"/>
        </w:rPr>
        <w:t>当缺少必填字段时，Skill 必须在 AI 窗口请求补齐，不得从示例、历史 demo 或模板占位符中推断。</w:t>
      </w:r>
    </w:p>
    <w:p>
      <w:pPr>
        <w:pStyle w:val="ListBullet"/>
      </w:pPr>
      <w:r>
        <w:rPr>
          <w:rFonts w:ascii="Calibri" w:hAnsi="Calibri" w:eastAsia="Microsoft YaHei"/>
        </w:rPr>
        <w:t>当 Skill 参考资料之间出现冲突时，以 uaw-sdd-ai-coding/SKILL.md 和 references/sdd2-workflow.md 的 SDD2.0 合同为准。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</w:rPr>
        <w:t>3. SDD2.0 Skill 工程构成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d2_skill_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color w:val="5B6770"/>
          <w:sz w:val="18"/>
        </w:rPr>
        <w:t>图 1：SDD2.0 三个 Skill 的工程构成</w:t>
      </w:r>
    </w:p>
    <w:p>
      <w:r>
        <w:rPr>
          <w:rFonts w:ascii="Calibri" w:hAnsi="Calibri" w:eastAsia="Microsoft YaHei"/>
          <w:b w:val="0"/>
        </w:rPr>
        <w:t>SDD2.0 被拆分为三个 Skill。总控 Skill 负责流程推进，Code Review 和 Unit Test 作为独立 Skill 存在，既可以被 SDD 自动调用，也可以在流程外单独使用。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00"/>
        <w:gridCol w:w="3200"/>
        <w:gridCol w:w="2500"/>
        <w:gridCol w:w="1760"/>
      </w:tblGrid>
      <w:tr>
        <w:trPr>
          <w:tblHeader w:val="true"/>
        </w:trPr>
        <w:tc>
          <w:tcPr>
            <w:tcW w:type="dxa" w:w="19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Skill</w:t>
            </w:r>
          </w:p>
        </w:tc>
        <w:tc>
          <w:tcPr>
            <w:tcW w:type="dxa" w:w="32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职责</w:t>
            </w:r>
          </w:p>
        </w:tc>
        <w:tc>
          <w:tcPr>
            <w:tcW w:type="dxa" w:w="25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主要输入</w:t>
            </w:r>
          </w:p>
        </w:tc>
        <w:tc>
          <w:tcPr>
            <w:tcW w:type="dxa" w:w="17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主要输出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uaw-sdd-ai-coding</w:t>
            </w:r>
          </w:p>
        </w:tc>
        <w:tc>
          <w:tcPr>
            <w:tcW w:type="dxa" w:w="3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总控 SDD 流程，从人工简要设计推进到归档。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人工简要设计、代码工程、过程资产、人工审核结论。</w:t>
            </w:r>
          </w:p>
        </w:tc>
        <w:tc>
          <w:tcPr>
            <w:tcW w:type="dxa" w:w="1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proposal-input、spec、design、tasks、archive，并触发质量 Skill。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uaw-code-review</w:t>
            </w:r>
          </w:p>
        </w:tc>
        <w:tc>
          <w:tcPr>
            <w:tcW w:type="dxa" w:w="3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执行 UAW 代码评审。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SDD 模式来自总控上下文；Standalone 模式来自 Git range 或工作区快照。</w:t>
            </w:r>
          </w:p>
        </w:tc>
        <w:tc>
          <w:tcPr>
            <w:tcW w:type="dxa" w:w="1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SDD 模式输出 code-review-findings.md；Standalone 模式输出 HTML 报告。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uaw-unit-test</w:t>
            </w:r>
          </w:p>
        </w:tc>
        <w:tc>
          <w:tcPr>
            <w:tcW w:type="dxa" w:w="3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生成、修复或总结 Java 单元测试。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SDD 模式来自过程资产和代码变更；Standalone 模式来自项目根目录、测试目标和执行入口。</w:t>
            </w:r>
          </w:p>
        </w:tc>
        <w:tc>
          <w:tcPr>
            <w:tcW w:type="dxa" w:w="1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unit-test-summary.md、测试建议、验证结果。</w:t>
            </w:r>
          </w:p>
        </w:tc>
      </w:tr>
    </w:tbl>
    <w:p/>
    <w:p>
      <w:pPr>
        <w:pStyle w:val="Heading2"/>
      </w:pPr>
      <w:r>
        <w:rPr>
          <w:rFonts w:ascii="Calibri" w:hAnsi="Calibri" w:eastAsia="Microsoft YaHei"/>
          <w:b/>
          <w:color w:val="2E74B5"/>
        </w:rPr>
        <w:t>3.1 目录结构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skills/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uaw-sdd-ai-coding/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SKILL.md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references/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input-examples.md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sdd2-workflow.md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process-control.md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context/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templates/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rules/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uaw-code-review/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SKILL.md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references/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input-examples.md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code-review-rules.md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templates/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uaw-unit-test/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SKILL.md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references/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input-examples.md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testing-profile-routing.md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java/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templates/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3600"/>
        <w:gridCol w:w="3560"/>
      </w:tblGrid>
      <w:tr>
        <w:trPr>
          <w:tblHeader w:val="true"/>
        </w:trPr>
        <w:tc>
          <w:tcPr>
            <w:tcW w:type="dxa" w:w="22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结构元素</w:t>
            </w:r>
          </w:p>
        </w:tc>
        <w:tc>
          <w:tcPr>
            <w:tcW w:type="dxa" w:w="36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作用</w:t>
            </w:r>
          </w:p>
        </w:tc>
        <w:tc>
          <w:tcPr>
            <w:tcW w:type="dxa" w:w="35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使用边界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SKILL.md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定义触发条件、核心合同、必读引用和流程约束。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必须保持简洁；不放具体业务案例作为默认规则。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references/input-examples.md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维护人工输入结构模板。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只能说明字段结构，不能提供默认业务需求。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references/templates/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维护 proposal/spec/design/tasks/archive 等内部产物模板。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模板用于生成结构，不代表真实业务值。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references/rules/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维护后端、模型、测试或评审规则。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规则描述通用工程约束，业务特例应在需求中确认。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references/context/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维护路由索引、术语字典、交易字典等上下文。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作为辅助识别资料，不得覆盖当前需求和当前代码。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/>
          <w:color w:val="2E74B5"/>
        </w:rPr>
        <w:t>4. 运行时过程资料结构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804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d2_flow_asse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color w:val="5B6770"/>
          <w:sz w:val="18"/>
        </w:rPr>
        <w:t>图 2：运行时功能资产结构与过程产物</w:t>
      </w:r>
    </w:p>
    <w:p>
      <w:r>
        <w:rPr>
          <w:rFonts w:ascii="Calibri" w:hAnsi="Calibri" w:eastAsia="Microsoft YaHei"/>
          <w:b w:val="0"/>
        </w:rPr>
        <w:t>SDD2.x 使用稳定的过程资产根目录，不随 minor 版本变化而变化。即使后续升级到 SDD2.1，仍写入 sdd2-features，除非未来明确做 major version 迁移。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sdd2-features/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&lt;sprint&gt;/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&lt;feature-name&gt;/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brief-design.md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proposal-input.md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spec.md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design.md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tasks.md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code-review-findings.md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auto-fix-summary.md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unit-test-summary.md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 xml:space="preserve">      archive.md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00"/>
        <w:gridCol w:w="4200"/>
        <w:gridCol w:w="3260"/>
      </w:tblGrid>
      <w:tr>
        <w:trPr>
          <w:tblHeader w:val="true"/>
        </w:trPr>
        <w:tc>
          <w:tcPr>
            <w:tcW w:type="dxa" w:w="19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命名项</w:t>
            </w:r>
          </w:p>
        </w:tc>
        <w:tc>
          <w:tcPr>
            <w:tcW w:type="dxa" w:w="42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规则</w:t>
            </w:r>
          </w:p>
        </w:tc>
        <w:tc>
          <w:tcPr>
            <w:tcW w:type="dxa" w:w="32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禁止事项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&lt;sprint&gt;</w:t>
            </w:r>
          </w:p>
        </w:tc>
        <w:tc>
          <w:tcPr>
            <w:tcW w:type="dxa" w:w="4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来自当前人工简要设计中的 Sprint 字段。</w:t>
            </w:r>
          </w:p>
        </w:tc>
        <w:tc>
          <w:tcPr>
            <w:tcW w:type="dxa" w:w="32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不得从模板样例或历史目录复制。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&lt;feature-name&gt;</w:t>
            </w:r>
          </w:p>
        </w:tc>
        <w:tc>
          <w:tcPr>
            <w:tcW w:type="dxa" w:w="4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来自当前人工简要设计中的 Feature Name。</w:t>
            </w:r>
          </w:p>
        </w:tc>
        <w:tc>
          <w:tcPr>
            <w:tcW w:type="dxa" w:w="32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缺失或过泛时必须请求确认，不得自动套用历史 demo 名称。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sdd2-features</w:t>
            </w:r>
          </w:p>
        </w:tc>
        <w:tc>
          <w:tcPr>
            <w:tcW w:type="dxa" w:w="4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代表 SDD2 主版本线。</w:t>
            </w:r>
          </w:p>
        </w:tc>
        <w:tc>
          <w:tcPr>
            <w:tcW w:type="dxa" w:w="32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不得因为 SDD2.1 直接创建 sdd2.1-features。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过程资产文件</w:t>
            </w:r>
          </w:p>
        </w:tc>
        <w:tc>
          <w:tcPr>
            <w:tcW w:type="dxa" w:w="4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按固定文件名生成，便于机器读取和审计。</w:t>
            </w:r>
          </w:p>
        </w:tc>
        <w:tc>
          <w:tcPr>
            <w:tcW w:type="dxa" w:w="32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不得用随意命名替代核心文件。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/>
          <w:color w:val="2E74B5"/>
        </w:rPr>
        <w:t>5. 从 0 开始使用 SDD2.0</w:t>
      </w:r>
    </w:p>
    <w:p>
      <w:r>
        <w:rPr>
          <w:rFonts w:ascii="Calibri" w:hAnsi="Calibri" w:eastAsia="Microsoft YaHei"/>
          <w:b w:val="0"/>
        </w:rPr>
        <w:t>开发人员拿到 BA 需求后，先基于自己的理解写人工简要设计。人工简要设计必须表达真实需求、当前代码影响面、明确的禁止变更和待确认问题。随后将人工简要设计输入内网 AI，并指定使用 uaw-sdd-ai-coding Skill。</w:t>
      </w:r>
    </w:p>
    <w:p>
      <w:pPr>
        <w:pStyle w:val="ListNumber"/>
      </w:pPr>
      <w:r>
        <w:rPr>
          <w:rFonts w:ascii="Calibri" w:hAnsi="Calibri" w:eastAsia="Microsoft YaHei"/>
        </w:rPr>
        <w:t>开发阅读 BA 需求和当前代码，形成个人理解。</w:t>
      </w:r>
    </w:p>
    <w:p>
      <w:pPr>
        <w:pStyle w:val="ListNumber"/>
      </w:pPr>
      <w:r>
        <w:rPr>
          <w:rFonts w:ascii="Calibri" w:hAnsi="Calibri" w:eastAsia="Microsoft YaHei"/>
        </w:rPr>
        <w:t>开发按第 6 章模板填写人工简要设计。</w:t>
      </w:r>
    </w:p>
    <w:p>
      <w:pPr>
        <w:pStyle w:val="ListNumber"/>
      </w:pPr>
      <w:r>
        <w:rPr>
          <w:rFonts w:ascii="Calibri" w:hAnsi="Calibri" w:eastAsia="Microsoft YaHei"/>
        </w:rPr>
        <w:t>AI 读取 uaw-sdd-ai-coding/references/input-examples.md，校验必填字段是否齐全。</w:t>
      </w:r>
    </w:p>
    <w:p>
      <w:pPr>
        <w:pStyle w:val="ListNumber"/>
      </w:pPr>
      <w:r>
        <w:rPr>
          <w:rFonts w:ascii="Calibri" w:hAnsi="Calibri" w:eastAsia="Microsoft YaHei"/>
        </w:rPr>
        <w:t>若缺少必填字段，AI 只提示补齐缺失字段，补齐前不得继续。</w:t>
      </w:r>
    </w:p>
    <w:p>
      <w:pPr>
        <w:pStyle w:val="ListNumber"/>
      </w:pPr>
      <w:r>
        <w:rPr>
          <w:rFonts w:ascii="Calibri" w:hAnsi="Calibri" w:eastAsia="Microsoft YaHei"/>
        </w:rPr>
        <w:t>字段齐全后，AI 将简要设计保存为 brief-design.md，并组装 proposal-input.md。</w:t>
      </w:r>
    </w:p>
    <w:p>
      <w:pPr>
        <w:pStyle w:val="ListNumber"/>
      </w:pPr>
      <w:r>
        <w:rPr>
          <w:rFonts w:ascii="Calibri" w:hAnsi="Calibri" w:eastAsia="Microsoft YaHei"/>
        </w:rPr>
        <w:t>AI 依次生成 spec、design、tasks，每一步等待人工审核。</w:t>
      </w:r>
    </w:p>
    <w:p>
      <w:pPr>
        <w:pStyle w:val="ListNumber"/>
      </w:pPr>
      <w:r>
        <w:rPr>
          <w:rFonts w:ascii="Calibri" w:hAnsi="Calibri" w:eastAsia="Microsoft YaHei"/>
        </w:rPr>
        <w:t>tasks 审核通过后，AI 按 Phase 实施代码，每个 Phase 完成后记录 Phase Review。</w:t>
      </w:r>
    </w:p>
    <w:p>
      <w:pPr>
        <w:pStyle w:val="ListNumber"/>
      </w:pPr>
      <w:r>
        <w:rPr>
          <w:rFonts w:ascii="Calibri" w:hAnsi="Calibri" w:eastAsia="Microsoft YaHei"/>
        </w:rPr>
        <w:t>代码完成后自动进入 Code Review、Auto-fix、Unit Test Summary 和 Archive。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500"/>
        <w:gridCol w:w="7860"/>
      </w:tblGrid>
      <w:tr>
        <w:trPr>
          <w:tblHeader w:val="true"/>
        </w:trPr>
        <w:tc>
          <w:tcPr>
            <w:tcW w:type="dxa" w:w="1500"/>
            <w:shd w:fill="EAF5EF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提示</w:t>
            </w:r>
          </w:p>
        </w:tc>
        <w:tc>
          <w:tcPr>
            <w:tcW w:type="dxa" w:w="7860"/>
            <w:shd w:fill="EAF5EF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说明</w:t>
            </w:r>
          </w:p>
        </w:tc>
      </w:tr>
      <w:tr>
        <w:tc>
          <w:tcPr>
            <w:tcW w:type="dxa" w:w="1500"/>
            <w:vAlign w:val="center"/>
            <w:shd w:fill="EAF5EF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启动要求</w:t>
            </w:r>
          </w:p>
        </w:tc>
        <w:tc>
          <w:tcPr>
            <w:tcW w:type="dxa" w:w="7860"/>
            <w:vAlign w:val="center"/>
            <w:shd w:fill="EAF5EF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开发只需要提供无法稳定从代码自动识别的信息，例如真实目标、业务边界、禁止变更、已确认事实和待确认问题。构建工具、测试框架、变更文件等信息应由 Skill 自动扫描。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/>
          <w:color w:val="2E74B5"/>
        </w:rPr>
        <w:t>6. 人工简要设计模板与填写指南</w:t>
      </w:r>
    </w:p>
    <w:p>
      <w:r>
        <w:rPr>
          <w:rFonts w:ascii="Calibri" w:hAnsi="Calibri" w:eastAsia="Microsoft YaHei"/>
          <w:b w:val="0"/>
        </w:rPr>
        <w:t>以下模板是结构模板，不是业务样例。尖括号内容必须替换为当前真实需求。字段名保持统一，有利于 Skill 解析，也为未来 SDD2.1 从 BA 需求自动解析人工简要设计做准备。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# Brief Design（人工简要设计）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Feature Name（功能名称）：&lt;actual-feature-name-in-kebab-case&gt;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Feature Type（功能类型）：&lt;query | submit | edit | enhancement | refactor | fix&gt;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Module（所属模块）：&lt;actual-module-or-package&gt;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Sprint（迭代）：&lt;actual-sprint&gt;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Priority（优先级）：&lt;P0 | P1 | P2&gt;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Goal（一句话目标）：&lt;one-sentence-actual-goal&gt;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API（接口）：&lt;HTTP method and path, existing API, method, or class affected by this change&gt;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Request Params（入参）：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- &lt;paramName&gt;：&lt;description, required-or-optional, added-or-existing&gt;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Response Params（出参）：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- &lt;fieldName&gt;：&lt;description, added-or-changed-or-existing&gt;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Business Logic（业务逻辑）：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1. &lt;actual logic step or delta&gt;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2. &lt;actual logic step or delta&gt;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Change Scope（变更范围）：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&lt;actual scope only, such as API, Service, Mapper, Model, Test, Config, Script, Docs&gt;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Forbidden Changes（禁止变更）：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- &lt;out-of-scope item or constraint&gt;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Related Impact（关联逻辑与影响面）：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&lt;actual related logic, dependency, compatibility impact, validation impact, or none&gt;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Confirmed Facts（已确认信息）：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- &lt;confirmed fact from BA requirement, code inspection, or team confirmation&gt;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Assumptions（推断信息）：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- &lt;assumption that requires later validation&gt;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Open Questions（待确认问题）：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- &lt;question that must be confirmed before or during SDD review&gt;</w:t>
      </w:r>
    </w:p>
    <w:p>
      <w:r>
        <w:br w:type="page"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700"/>
        <w:gridCol w:w="2100"/>
        <w:gridCol w:w="3000"/>
        <w:gridCol w:w="2560"/>
      </w:tblGrid>
      <w:tr>
        <w:trPr>
          <w:tblHeader w:val="true"/>
        </w:trPr>
        <w:tc>
          <w:tcPr>
            <w:tcW w:type="dxa" w:w="17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字段</w:t>
            </w:r>
          </w:p>
        </w:tc>
        <w:tc>
          <w:tcPr>
            <w:tcW w:type="dxa" w:w="21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用途</w:t>
            </w:r>
          </w:p>
        </w:tc>
        <w:tc>
          <w:tcPr>
            <w:tcW w:type="dxa" w:w="30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填写要点</w:t>
            </w:r>
          </w:p>
        </w:tc>
        <w:tc>
          <w:tcPr>
            <w:tcW w:type="dxa" w:w="25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常见错误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Feature Name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决定过程资产目录名和功能标识。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使用当前需求的短横线英文名。</w:t>
            </w:r>
          </w:p>
        </w:tc>
        <w:tc>
          <w:tcPr>
            <w:tcW w:type="dxa" w:w="2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复制模板或历史 demo 名称。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Feature Type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帮助 Skill 判断流程类型和风险。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query、submit、edit、enhancement、refactor、fix 六选一。</w:t>
            </w:r>
          </w:p>
        </w:tc>
        <w:tc>
          <w:tcPr>
            <w:tcW w:type="dxa" w:w="2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把小查询增强写成 submit。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Module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定位代码扫描范围。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写真实模块、包或系统域。</w:t>
            </w:r>
          </w:p>
        </w:tc>
        <w:tc>
          <w:tcPr>
            <w:tcW w:type="dxa" w:w="2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只写宽泛的 system 或 backend。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Goal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约束需求目标。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一句话说明最终业务结果。</w:t>
            </w:r>
          </w:p>
        </w:tc>
        <w:tc>
          <w:tcPr>
            <w:tcW w:type="dxa" w:w="2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写成实现步骤或泛泛说明。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Change Scope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限制代码改动边界。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列出 API、Service、Mapper、Model、Test 等真实范围。</w:t>
            </w:r>
          </w:p>
        </w:tc>
        <w:tc>
          <w:tcPr>
            <w:tcW w:type="dxa" w:w="2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漏写 Test 或把范围写得过大。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Forbidden Changes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防止 AI 范围扩张。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明确不可改 API、流程、表、外部调用或无关模块。</w:t>
            </w:r>
          </w:p>
        </w:tc>
        <w:tc>
          <w:tcPr>
            <w:tcW w:type="dxa" w:w="2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写“无”但实际存在边界。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Open Questions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保留待确认事项。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写会影响设计或验收的问题。</w:t>
            </w:r>
          </w:p>
        </w:tc>
        <w:tc>
          <w:tcPr>
            <w:tcW w:type="dxa" w:w="2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让 AI 自行补全未知业务规则。</w:t>
            </w:r>
          </w:p>
        </w:tc>
      </w:tr>
    </w:tbl>
    <w:p/>
    <w:p>
      <w:pPr>
        <w:pStyle w:val="Heading2"/>
      </w:pPr>
      <w:r>
        <w:rPr>
          <w:rFonts w:ascii="Calibri" w:hAnsi="Calibri" w:eastAsia="Microsoft YaHei"/>
          <w:b/>
          <w:color w:val="2E74B5"/>
        </w:rPr>
        <w:t>6.1 四类常见 Brief Design 写法差异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4000"/>
        <w:gridCol w:w="3160"/>
      </w:tblGrid>
      <w:tr>
        <w:trPr>
          <w:tblHeader w:val="true"/>
        </w:trPr>
        <w:tc>
          <w:tcPr>
            <w:tcW w:type="dxa" w:w="22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场景</w:t>
            </w:r>
          </w:p>
        </w:tc>
        <w:tc>
          <w:tcPr>
            <w:tcW w:type="dxa" w:w="40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Brief Design 应强调</w:t>
            </w:r>
          </w:p>
        </w:tc>
        <w:tc>
          <w:tcPr>
            <w:tcW w:type="dxa" w:w="31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禁止扩张点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既有查询新增返回字段</w:t>
            </w:r>
          </w:p>
        </w:tc>
        <w:tc>
          <w:tcPr>
            <w:tcW w:type="dxa" w:w="40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现有 GET/API、响应 DTO、映射逻辑、测试断言。</w:t>
            </w:r>
          </w:p>
        </w:tc>
        <w:tc>
          <w:tcPr>
            <w:tcW w:type="dxa" w:w="3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不得新增工单、提交接口、表或 repository 方法。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新增查询接口</w:t>
            </w:r>
          </w:p>
        </w:tc>
        <w:tc>
          <w:tcPr>
            <w:tcW w:type="dxa" w:w="40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查询条件、返回字段、数据来源、权限和空结果行为。</w:t>
            </w:r>
          </w:p>
        </w:tc>
        <w:tc>
          <w:tcPr>
            <w:tcW w:type="dxa" w:w="3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不得引入提交状态流或写操作。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新增提交工单</w:t>
            </w:r>
          </w:p>
        </w:tc>
        <w:tc>
          <w:tcPr>
            <w:tcW w:type="dxa" w:w="40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表单字段、校验规则、状态流、下游提交、失败处理。</w:t>
            </w:r>
          </w:p>
        </w:tc>
        <w:tc>
          <w:tcPr>
            <w:tcW w:type="dxa" w:w="3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不得修改无关查询或其他工单。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修复 bug</w:t>
            </w:r>
          </w:p>
        </w:tc>
        <w:tc>
          <w:tcPr>
            <w:tcW w:type="dxa" w:w="40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现象、复现步骤、根因推断、允许修改范围、回归测试。</w:t>
            </w:r>
          </w:p>
        </w:tc>
        <w:tc>
          <w:tcPr>
            <w:tcW w:type="dxa" w:w="3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不得顺带重构无关逻辑。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/>
          <w:color w:val="2E74B5"/>
        </w:rPr>
        <w:t>7. 端到端流程图与阶段说明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804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d2_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color w:val="5B6770"/>
          <w:sz w:val="18"/>
        </w:rPr>
        <w:t>图 3：角色协作与资产流转时序图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500"/>
        <w:gridCol w:w="1900"/>
        <w:gridCol w:w="2500"/>
        <w:gridCol w:w="1900"/>
        <w:gridCol w:w="1560"/>
      </w:tblGrid>
      <w:tr>
        <w:trPr>
          <w:tblHeader w:val="true"/>
        </w:trPr>
        <w:tc>
          <w:tcPr>
            <w:tcW w:type="dxa" w:w="15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阶段</w:t>
            </w:r>
          </w:p>
        </w:tc>
        <w:tc>
          <w:tcPr>
            <w:tcW w:type="dxa" w:w="19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输入</w:t>
            </w:r>
          </w:p>
        </w:tc>
        <w:tc>
          <w:tcPr>
            <w:tcW w:type="dxa" w:w="25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动作</w:t>
            </w:r>
          </w:p>
        </w:tc>
        <w:tc>
          <w:tcPr>
            <w:tcW w:type="dxa" w:w="19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输出</w:t>
            </w:r>
          </w:p>
        </w:tc>
        <w:tc>
          <w:tcPr>
            <w:tcW w:type="dxa" w:w="15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门禁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Brief Design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BA 需求、开发理解、当前代码。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开发按模板表达真实增量。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brief-design.md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必填字段齐全。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Proposal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brief-design.md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Skill 组装内部启动资产。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proposal-input.md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不得由开发手填。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Spec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proposal-input.md、代码上下文。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定义范围、需求、验收标准。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spec.md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人工审核通过。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Design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spec.md、当前代码。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确定落点、接口、模型、流程和风险。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design.md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人工审核通过。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Tasks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design.md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拆分 Phase 和任务。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tasks.md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人工审核通过。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Implementation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tasks.md、代码工程。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按 Phase 改代码和测试。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代码 diff、Phase Review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每个 Phase 通过。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Code Review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SDD 资产和代码 diff。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自动评审范围、设计一致性和质量风险。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code-review-findings.md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无阻塞问题或可 Auto-fix。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Auto-fix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code-review-findings.md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按 findings 修复。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auto-fix-summary.md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修复完成并复核。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Unit Test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代码、设计、tasks、findings。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生成或验证测试。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unit-test-summary.md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测试结果可归档。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Archive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所有过程资产。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同步状态并归档。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archive.md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最终人工审核通过。</w:t>
            </w:r>
          </w:p>
        </w:tc>
      </w:tr>
    </w:tbl>
    <w:p/>
    <w:p>
      <w:r>
        <w:rPr>
          <w:rFonts w:ascii="Calibri" w:hAnsi="Calibri" w:eastAsia="Microsoft YaHei"/>
          <w:b w:val="0"/>
        </w:rPr>
        <w:t>固定顺序是 Code Review → Auto-fix → Unit Test → Archive。这样可以先发现设计偏差和范围扩张，再修复实现，最后让测试围绕修复后的正确实现建立。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</w:rPr>
        <w:t>8. 过程资产逐项说明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</w:rPr>
        <w:t>brief-design.md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项目</w:t>
            </w:r>
          </w:p>
        </w:tc>
        <w:tc>
          <w:tcPr>
            <w:tcW w:type="dxa" w:w="75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说明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作用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保存用户侧人工简要设计，是 SDD2.0 的入口资产。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生成时机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由开发输入，Skill 校验后落盘。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必须包含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必填字段、真实增量、禁止变更、已确认事实、推断和待确认问题。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审核重点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是否表达当前真实需求，是否有模板内容混入，是否边界明确。</w:t>
            </w:r>
          </w:p>
        </w:tc>
      </w:tr>
    </w:tbl>
    <w:p/>
    <w:p>
      <w:pPr>
        <w:pStyle w:val="Heading2"/>
      </w:pPr>
      <w:r>
        <w:rPr>
          <w:rFonts w:ascii="Calibri" w:hAnsi="Calibri" w:eastAsia="Microsoft YaHei"/>
          <w:b/>
          <w:color w:val="2E74B5"/>
        </w:rPr>
        <w:t>proposal-input.md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项目</w:t>
            </w:r>
          </w:p>
        </w:tc>
        <w:tc>
          <w:tcPr>
            <w:tcW w:type="dxa" w:w="75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说明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作用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Skill 内部组装的流程启动资产。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生成时机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由 uaw-sdd-ai-coding 从 brief-design.md 生成。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必须包含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基本信息、当前需求、范围、禁止变更、流程状态和审计记录。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审核重点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不得要求开发手填；不得出现模板默认业务值。</w:t>
            </w:r>
          </w:p>
        </w:tc>
      </w:tr>
    </w:tbl>
    <w:p/>
    <w:p>
      <w:pPr>
        <w:pStyle w:val="Heading2"/>
      </w:pPr>
      <w:r>
        <w:rPr>
          <w:rFonts w:ascii="Calibri" w:hAnsi="Calibri" w:eastAsia="Microsoft YaHei"/>
          <w:b/>
          <w:color w:val="2E74B5"/>
        </w:rPr>
        <w:t>spec.md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项目</w:t>
            </w:r>
          </w:p>
        </w:tc>
        <w:tc>
          <w:tcPr>
            <w:tcW w:type="dxa" w:w="75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说明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作用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定义需求范围、功能要求和验收标准。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生成时机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proposal-input.md 通过后生成。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必须包含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In Scope、Out of Scope、功能需求、非功能需求、验收标准。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审核重点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范围是否正确，验收标准是否可测，非范围是否明确。</w:t>
            </w:r>
          </w:p>
        </w:tc>
      </w:tr>
    </w:tbl>
    <w:p/>
    <w:p>
      <w:pPr>
        <w:pStyle w:val="Heading2"/>
      </w:pPr>
      <w:r>
        <w:rPr>
          <w:rFonts w:ascii="Calibri" w:hAnsi="Calibri" w:eastAsia="Microsoft YaHei"/>
          <w:b/>
          <w:color w:val="2E74B5"/>
        </w:rPr>
        <w:t>design.md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项目</w:t>
            </w:r>
          </w:p>
        </w:tc>
        <w:tc>
          <w:tcPr>
            <w:tcW w:type="dxa" w:w="75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说明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作用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定义代码落点、模型、流程和技术方案。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生成时机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spec.md 人工审核通过后生成。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必须包含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现有流程、目标设计、文件级改动、风险控制、测试设计。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审核重点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是否基于当前代码，是否最小改动，是否覆盖影响面。</w:t>
            </w:r>
          </w:p>
        </w:tc>
      </w:tr>
    </w:tbl>
    <w:p/>
    <w:p>
      <w:pPr>
        <w:pStyle w:val="Heading2"/>
      </w:pPr>
      <w:r>
        <w:rPr>
          <w:rFonts w:ascii="Calibri" w:hAnsi="Calibri" w:eastAsia="Microsoft YaHei"/>
          <w:b/>
          <w:color w:val="2E74B5"/>
        </w:rPr>
        <w:t>tasks.md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项目</w:t>
            </w:r>
          </w:p>
        </w:tc>
        <w:tc>
          <w:tcPr>
            <w:tcW w:type="dxa" w:w="75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说明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作用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把设计拆成可执行 Phase。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生成时机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design.md 人工审核通过后生成。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必须包含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Phase Plan、Task Breakdown、Constraints、Phase Review、Process Status。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审核重点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任务是否能落地，Phase 是否可审核，是否禁止越界。</w:t>
            </w:r>
          </w:p>
        </w:tc>
      </w:tr>
    </w:tbl>
    <w:p/>
    <w:p>
      <w:pPr>
        <w:pStyle w:val="Heading2"/>
      </w:pPr>
      <w:r>
        <w:rPr>
          <w:rFonts w:ascii="Calibri" w:hAnsi="Calibri" w:eastAsia="Microsoft YaHei"/>
          <w:b/>
          <w:color w:val="2E74B5"/>
        </w:rPr>
        <w:t>code-review-findings.md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项目</w:t>
            </w:r>
          </w:p>
        </w:tc>
        <w:tc>
          <w:tcPr>
            <w:tcW w:type="dxa" w:w="75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说明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作用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SDD 模式代码评审产物。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生成时机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tasks 实现完成后自动触发 uaw-code-review。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必须包含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评审范围、必查项、Findings、Auto-fix 交接、Unit Test 交接。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审核重点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是否发现范围扩张、设计不一致、逻辑漏洞和测试缺口。</w:t>
            </w:r>
          </w:p>
        </w:tc>
      </w:tr>
    </w:tbl>
    <w:p/>
    <w:p>
      <w:pPr>
        <w:pStyle w:val="Heading2"/>
      </w:pPr>
      <w:r>
        <w:rPr>
          <w:rFonts w:ascii="Calibri" w:hAnsi="Calibri" w:eastAsia="Microsoft YaHei"/>
          <w:b/>
          <w:color w:val="2E74B5"/>
        </w:rPr>
        <w:t>auto-fix-summary.md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项目</w:t>
            </w:r>
          </w:p>
        </w:tc>
        <w:tc>
          <w:tcPr>
            <w:tcW w:type="dxa" w:w="75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说明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作用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记录 Review-driven Auto-fix 结果。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生成时机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Code Review 有 findings 后生成。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必须包含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Finding 修复结果、修改文件、验证结果、剩余问题。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审核重点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修复是否只在允许范围内，是否闭环每个 finding。</w:t>
            </w:r>
          </w:p>
        </w:tc>
      </w:tr>
    </w:tbl>
    <w:p/>
    <w:p>
      <w:pPr>
        <w:pStyle w:val="Heading2"/>
      </w:pPr>
      <w:r>
        <w:rPr>
          <w:rFonts w:ascii="Calibri" w:hAnsi="Calibri" w:eastAsia="Microsoft YaHei"/>
          <w:b/>
          <w:color w:val="2E74B5"/>
        </w:rPr>
        <w:t>unit-test-summary.md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项目</w:t>
            </w:r>
          </w:p>
        </w:tc>
        <w:tc>
          <w:tcPr>
            <w:tcW w:type="dxa" w:w="75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说明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作用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记录单元测试策略和验证结果。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生成时机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Auto-fix 后由 uaw-unit-test 生成。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必须包含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测试 Profile、检测信息、测试文件、覆盖场景、结果和风险。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审核重点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测试是否真实执行或合理记录替代验证，结果是否支持归档。</w:t>
            </w:r>
          </w:p>
        </w:tc>
      </w:tr>
    </w:tbl>
    <w:p/>
    <w:p>
      <w:pPr>
        <w:pStyle w:val="Heading2"/>
      </w:pPr>
      <w:r>
        <w:rPr>
          <w:rFonts w:ascii="Calibri" w:hAnsi="Calibri" w:eastAsia="Microsoft YaHei"/>
          <w:b/>
          <w:color w:val="2E74B5"/>
        </w:rPr>
        <w:t>archive.md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项目</w:t>
            </w:r>
          </w:p>
        </w:tc>
        <w:tc>
          <w:tcPr>
            <w:tcW w:type="dxa" w:w="75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说明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作用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最终归档资产。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生成时机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Code Review、Auto-fix、Unit Test Summary 完成后生成。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必须包含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交付总结、资产清单、代码变更、评审结果、测试结果、剩余风险。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审核重点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是否同步所有状态，是否有未闭环阻塞问题。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/>
          <w:color w:val="2E74B5"/>
        </w:rPr>
        <w:t>9. 过程资料章节要求</w:t>
      </w:r>
    </w:p>
    <w:p>
      <w:r>
        <w:rPr>
          <w:rFonts w:ascii="Calibri" w:hAnsi="Calibri" w:eastAsia="Microsoft YaHei"/>
          <w:b w:val="0"/>
        </w:rPr>
        <w:t>过程资料结构同时服务机器读取、人工审核和归档审计。章节名称和状态记录应尽量稳定，便于后续工具扫描。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2500"/>
        <w:gridCol w:w="4660"/>
      </w:tblGrid>
      <w:tr>
        <w:trPr>
          <w:tblHeader w:val="true"/>
        </w:trPr>
        <w:tc>
          <w:tcPr>
            <w:tcW w:type="dxa" w:w="22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章节</w:t>
            </w:r>
          </w:p>
        </w:tc>
        <w:tc>
          <w:tcPr>
            <w:tcW w:type="dxa" w:w="25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适用资产</w:t>
            </w:r>
          </w:p>
        </w:tc>
        <w:tc>
          <w:tcPr>
            <w:tcW w:type="dxa" w:w="46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要求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Process Status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proposal、spec、design、tasks、archive</w:t>
            </w:r>
          </w:p>
        </w:tc>
        <w:tc>
          <w:tcPr>
            <w:tcW w:type="dxa" w:w="46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记录 Current Stage、Stage Status、Last Completed Step、Next Required Step、Blocked Reason。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Process Audit Trail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核心资产</w:t>
            </w:r>
          </w:p>
        </w:tc>
        <w:tc>
          <w:tcPr>
            <w:tcW w:type="dxa" w:w="46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记录关键阶段流转，不记录无价值流水账。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Review Record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brief、spec、design、tasks、archive</w:t>
            </w:r>
          </w:p>
        </w:tc>
        <w:tc>
          <w:tcPr>
            <w:tcW w:type="dxa" w:w="46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记录审核阶段、角色、时间、结论、意见、修复项和是否允许下一步。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Phase Review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tasks</w:t>
            </w:r>
          </w:p>
        </w:tc>
        <w:tc>
          <w:tcPr>
            <w:tcW w:type="dxa" w:w="46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每个实际执行 Phase 完成后必须记录。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Findings 明细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code-review-findings</w:t>
            </w:r>
          </w:p>
        </w:tc>
        <w:tc>
          <w:tcPr>
            <w:tcW w:type="dxa" w:w="46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按问题编号、严重程度、文件、依据、风险和修复建议记录。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Coverage Summary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unit-test-summary</w:t>
            </w:r>
          </w:p>
        </w:tc>
        <w:tc>
          <w:tcPr>
            <w:tcW w:type="dxa" w:w="46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说明覆盖场景、未覆盖范围和原因。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/>
          <w:color w:val="2E74B5"/>
        </w:rPr>
        <w:t>10. 人工审核门禁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00"/>
        <w:gridCol w:w="3900"/>
        <w:gridCol w:w="3560"/>
      </w:tblGrid>
      <w:tr>
        <w:trPr>
          <w:tblHeader w:val="true"/>
        </w:trPr>
        <w:tc>
          <w:tcPr>
            <w:tcW w:type="dxa" w:w="19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审核点</w:t>
            </w:r>
          </w:p>
        </w:tc>
        <w:tc>
          <w:tcPr>
            <w:tcW w:type="dxa" w:w="39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通过标准</w:t>
            </w:r>
          </w:p>
        </w:tc>
        <w:tc>
          <w:tcPr>
            <w:tcW w:type="dxa" w:w="35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驳回或有条件通过场景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spec 审核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范围、非范围、验收标准清晰。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需求不完整、验收不可测、范围过大。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design 审核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基于当前代码，落点合理，风险可控。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未读现有代码、设计与 spec 不一致、影响面遗漏。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tasks 审核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Phase 可执行、可审核、边界清楚。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任务拆分过粗、缺测试、缺 Phase Review。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Phase Review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当前 Phase 任务完成且未越界。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代码实现偏离 tasks 或引入无关改动。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Code Review 审核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无 P0/P1 或阻塞性 P2，Findings 已交接。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存在范围扩张、设计偏差、安全或逻辑缺陷。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Unit Test Summary 审核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验证方式、执行入口、结果和风险记录完整。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未执行且无替代验证，或覆盖关键场景不足。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Archive 审核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状态同步完成，资产齐全，无阻塞风险。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资产缺失、状态未同步、风险未说明。</w:t>
            </w:r>
          </w:p>
        </w:tc>
      </w:tr>
    </w:tbl>
    <w:p/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Review Stage（审核阶段）：&lt;spec | design | tasks | phase-review | implementation | code-review | unit-test-summary | archive&gt;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Review Result（审核结论）：&lt;通过 | 有条件通过 | 驳回 | 不适用&gt;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Review Comments（审核意见）：&lt;基于当前资产的审核意见&gt;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Required Fixes（需要修复）：&lt;修复项或无&gt;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Next Stage Allowed（是否允许进入下一阶段）：&lt;yes | no | conditional&gt;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</w:rPr>
        <w:t>11. 三个 Skill 职责与调用关系</w:t>
      </w:r>
    </w:p>
    <w:p>
      <w:r>
        <w:rPr>
          <w:rFonts w:ascii="Calibri" w:hAnsi="Calibri" w:eastAsia="Microsoft YaHei"/>
          <w:b w:val="0"/>
        </w:rPr>
        <w:t>SDD2.0 将总控流程、代码评审和单元测试拆为独立 Skill。这样既能在完整 SDD 流程内自动调用，也能在日常开发中单独使用 Code Review 或 Unit Test。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2200"/>
        <w:gridCol w:w="2200"/>
        <w:gridCol w:w="2760"/>
      </w:tblGrid>
      <w:tr>
        <w:trPr>
          <w:tblHeader w:val="true"/>
        </w:trPr>
        <w:tc>
          <w:tcPr>
            <w:tcW w:type="dxa" w:w="22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调用场景</w:t>
            </w:r>
          </w:p>
        </w:tc>
        <w:tc>
          <w:tcPr>
            <w:tcW w:type="dxa" w:w="22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调用方</w:t>
            </w:r>
          </w:p>
        </w:tc>
        <w:tc>
          <w:tcPr>
            <w:tcW w:type="dxa" w:w="22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被调用 Skill</w:t>
            </w:r>
          </w:p>
        </w:tc>
        <w:tc>
          <w:tcPr>
            <w:tcW w:type="dxa" w:w="27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用户是否需要再次输入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SDD 主流程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uaw-sdd-ai-coding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uaw-code-review</w:t>
            </w:r>
          </w:p>
        </w:tc>
        <w:tc>
          <w:tcPr>
            <w:tcW w:type="dxa" w:w="2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不需要，SDD 上下文自动提供。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SDD 主流程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uaw-sdd-ai-coding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uaw-unit-test</w:t>
            </w:r>
          </w:p>
        </w:tc>
        <w:tc>
          <w:tcPr>
            <w:tcW w:type="dxa" w:w="2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不需要，代码和过程资产自动提供。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独立代码评审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用户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uaw-code-review</w:t>
            </w:r>
          </w:p>
        </w:tc>
        <w:tc>
          <w:tcPr>
            <w:tcW w:type="dxa" w:w="2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需要提供 Git range 或 worktree snapshot。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独立单元测试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用户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uaw-unit-test</w:t>
            </w:r>
          </w:p>
        </w:tc>
        <w:tc>
          <w:tcPr>
            <w:tcW w:type="dxa" w:w="2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只提供项目根目录、测试目标、验证方式和执行入口。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/>
          <w:color w:val="2E74B5"/>
        </w:rPr>
        <w:t>12. Code Review Skill 使用说明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</w:rPr>
        <w:t>12.1 SDD 模式</w:t>
      </w:r>
    </w:p>
    <w:p>
      <w:pPr>
        <w:pStyle w:val="ListBullet"/>
      </w:pPr>
      <w:r>
        <w:rPr>
          <w:rFonts w:ascii="Calibri" w:hAnsi="Calibri" w:eastAsia="Microsoft YaHei"/>
        </w:rPr>
        <w:t>由 uaw-sdd-ai-coding 在 tasks 实现完成后自动触发。</w:t>
      </w:r>
    </w:p>
    <w:p>
      <w:pPr>
        <w:pStyle w:val="ListBullet"/>
      </w:pPr>
      <w:r>
        <w:rPr>
          <w:rFonts w:ascii="Calibri" w:hAnsi="Calibri" w:eastAsia="Microsoft YaHei"/>
        </w:rPr>
        <w:t>输入来自当前 feature directory、proposal-input、spec、design、tasks 和代码变更。</w:t>
      </w:r>
    </w:p>
    <w:p>
      <w:pPr>
        <w:pStyle w:val="ListBullet"/>
      </w:pPr>
      <w:r>
        <w:rPr>
          <w:rFonts w:ascii="Calibri" w:hAnsi="Calibri" w:eastAsia="Microsoft YaHei"/>
        </w:rPr>
        <w:t>只生成 code-review-findings.md，不生成 HTML 报告。</w:t>
      </w:r>
    </w:p>
    <w:p>
      <w:pPr>
        <w:pStyle w:val="ListBullet"/>
      </w:pPr>
      <w:r>
        <w:rPr>
          <w:rFonts w:ascii="Calibri" w:hAnsi="Calibri" w:eastAsia="Microsoft YaHei"/>
        </w:rPr>
        <w:t>Findings 必须进入 Review-driven Auto-fix。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</w:rPr>
        <w:t>12.2 Standalone 模式</w:t>
      </w:r>
    </w:p>
    <w:p>
      <w:pPr>
        <w:pStyle w:val="ListBullet"/>
      </w:pPr>
      <w:r>
        <w:rPr>
          <w:rFonts w:ascii="Calibri" w:hAnsi="Calibri" w:eastAsia="Microsoft YaHei"/>
        </w:rPr>
        <w:t>适用于脱离 SDD 流程的日常代码评审。</w:t>
      </w:r>
    </w:p>
    <w:p>
      <w:pPr>
        <w:pStyle w:val="ListBullet"/>
      </w:pPr>
      <w:r>
        <w:rPr>
          <w:rFonts w:ascii="Calibri" w:hAnsi="Calibri" w:eastAsia="Microsoft YaHei"/>
        </w:rPr>
        <w:t>Git range 模式需要基准分支、目标分支、是否排除 merge commit 和输出目录。</w:t>
      </w:r>
    </w:p>
    <w:p>
      <w:pPr>
        <w:pStyle w:val="ListBullet"/>
      </w:pPr>
      <w:r>
        <w:rPr>
          <w:rFonts w:ascii="Calibri" w:hAnsi="Calibri" w:eastAsia="Microsoft YaHei"/>
        </w:rPr>
        <w:t>Worktree snapshot 模式适合未提交代码或指定目录快照。</w:t>
      </w:r>
    </w:p>
    <w:p>
      <w:pPr>
        <w:pStyle w:val="ListBullet"/>
      </w:pPr>
      <w:r>
        <w:rPr>
          <w:rFonts w:ascii="Calibri" w:hAnsi="Calibri" w:eastAsia="Microsoft YaHei"/>
        </w:rPr>
        <w:t>Standalone 模式生成 HTML 报告；代码修复需要用户单独授权。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</w:rPr>
        <w:t>13. Unit Test Skill 使用说明</w:t>
      </w:r>
    </w:p>
    <w:p>
      <w:r>
        <w:rPr>
          <w:rFonts w:ascii="Calibri" w:hAnsi="Calibri" w:eastAsia="Microsoft YaHei"/>
          <w:b w:val="0"/>
        </w:rPr>
        <w:t>Unit Test Skill 在 SDD 模式下从过程资产和代码变更自动获取上下文；在 Standalone 模式下只要求最小必要输入，构建工具、Java 版本、Spring Boot 版本、测试框架和变更文件应由 Skill 扫描识别。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Project Root（项目根目录）：&lt;path-to-java-project&gt;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Test Target（测试目标）：&lt;current change or named class/method&gt;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Validation Method（验证方式）：&lt;IDE | Wrapper | Local CLI | CI | Script | Manual | Other&gt;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Actual Test Entry（实际执行入口）：&lt;command, IDE configuration, CI job, script, or manual steps&gt;</w:t>
      </w:r>
    </w:p>
    <w:p>
      <w:pPr>
        <w:pStyle w:val="CodeBlock"/>
      </w:pPr>
      <w:r>
        <w:rPr>
          <w:rFonts w:ascii="Consolas" w:hAnsi="Consolas" w:eastAsia="Microsoft YaHei"/>
          <w:color w:val="263238"/>
          <w:sz w:val="18"/>
        </w:rPr>
        <w:t>Special Notes（补充说明）：&lt;optional notes that cannot be scanned&gt;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2600"/>
        <w:gridCol w:w="4460"/>
      </w:tblGrid>
      <w:tr>
        <w:trPr>
          <w:tblHeader w:val="true"/>
        </w:trPr>
        <w:tc>
          <w:tcPr>
            <w:tcW w:type="dxa" w:w="23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自动识别项</w:t>
            </w:r>
          </w:p>
        </w:tc>
        <w:tc>
          <w:tcPr>
            <w:tcW w:type="dxa" w:w="26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记录位置</w:t>
            </w:r>
          </w:p>
        </w:tc>
        <w:tc>
          <w:tcPr>
            <w:tcW w:type="dxa" w:w="44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说明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Build Tool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unit-test-summary.md</w:t>
            </w:r>
          </w:p>
        </w:tc>
        <w:tc>
          <w:tcPr>
            <w:tcW w:type="dxa" w:w="4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Maven、Gradle、Wrapper 或其他。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Java Version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unit-test-summary.md</w:t>
            </w:r>
          </w:p>
        </w:tc>
        <w:tc>
          <w:tcPr>
            <w:tcW w:type="dxa" w:w="4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从 pom、gradle 或工程配置识别。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Spring Boot Version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unit-test-summary.md</w:t>
            </w:r>
          </w:p>
        </w:tc>
        <w:tc>
          <w:tcPr>
            <w:tcW w:type="dxa" w:w="4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适用于 Spring Boot 工程。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Test Framework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unit-test-summary.md</w:t>
            </w:r>
          </w:p>
        </w:tc>
        <w:tc>
          <w:tcPr>
            <w:tcW w:type="dxa" w:w="4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JUnit4、JUnit5、Legacy Mockito 等。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Changed Files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unit-test-summary.md</w:t>
            </w:r>
          </w:p>
        </w:tc>
        <w:tc>
          <w:tcPr>
            <w:tcW w:type="dxa" w:w="4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来自 SDD tasks、git diff 或工作区快照。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Existing Test Style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unit-test-summary.md</w:t>
            </w:r>
          </w:p>
        </w:tc>
        <w:tc>
          <w:tcPr>
            <w:tcW w:type="dxa" w:w="4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优先沿用现有测试风格。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/>
          <w:color w:val="2E74B5"/>
        </w:rPr>
        <w:t>14. 典型场景指南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00"/>
        <w:gridCol w:w="4800"/>
        <w:gridCol w:w="2660"/>
      </w:tblGrid>
      <w:tr>
        <w:trPr>
          <w:tblHeader w:val="true"/>
        </w:trPr>
        <w:tc>
          <w:tcPr>
            <w:tcW w:type="dxa" w:w="19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场景</w:t>
            </w:r>
          </w:p>
        </w:tc>
        <w:tc>
          <w:tcPr>
            <w:tcW w:type="dxa" w:w="48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推荐处理</w:t>
            </w:r>
          </w:p>
        </w:tc>
        <w:tc>
          <w:tcPr>
            <w:tcW w:type="dxa" w:w="26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审核重点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既有查询新增字段</w:t>
            </w:r>
          </w:p>
        </w:tc>
        <w:tc>
          <w:tcPr>
            <w:tcW w:type="dxa" w:w="4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先定位现有 Controller、Service、DTO、Mapper；只改响应模型、映射和测试。</w:t>
            </w:r>
          </w:p>
        </w:tc>
        <w:tc>
          <w:tcPr>
            <w:tcW w:type="dxa" w:w="26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是否误新增提交流程或持久化字段。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新增查询接口</w:t>
            </w:r>
          </w:p>
        </w:tc>
        <w:tc>
          <w:tcPr>
            <w:tcW w:type="dxa" w:w="4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定义查询条件、返回对象、权限、空结果和异常行为。</w:t>
            </w:r>
          </w:p>
        </w:tc>
        <w:tc>
          <w:tcPr>
            <w:tcW w:type="dxa" w:w="26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是否无意引入写操作或状态流。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新增提交工单</w:t>
            </w:r>
          </w:p>
        </w:tc>
        <w:tc>
          <w:tcPr>
            <w:tcW w:type="dxa" w:w="4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定义表单字段、校验、状态、下游提交、失败处理和幂等规则。</w:t>
            </w:r>
          </w:p>
        </w:tc>
        <w:tc>
          <w:tcPr>
            <w:tcW w:type="dxa" w:w="26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是否影响其他工单或现有查询。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修改既有逻辑</w:t>
            </w:r>
          </w:p>
        </w:tc>
        <w:tc>
          <w:tcPr>
            <w:tcW w:type="dxa" w:w="4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明确原逻辑、目标逻辑、兼容影响和回归测试。</w:t>
            </w:r>
          </w:p>
        </w:tc>
        <w:tc>
          <w:tcPr>
            <w:tcW w:type="dxa" w:w="26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是否绕过已有工具类或公共约定。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修复 bug</w:t>
            </w:r>
          </w:p>
        </w:tc>
        <w:tc>
          <w:tcPr>
            <w:tcW w:type="dxa" w:w="4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记录现象、复现、根因、修复边界和回归用例。</w:t>
            </w:r>
          </w:p>
        </w:tc>
        <w:tc>
          <w:tcPr>
            <w:tcW w:type="dxa" w:w="26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是否混入重构或无关优化。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500"/>
        <w:gridCol w:w="7860"/>
      </w:tblGrid>
      <w:tr>
        <w:trPr>
          <w:tblHeader w:val="true"/>
        </w:trPr>
        <w:tc>
          <w:tcPr>
            <w:tcW w:type="dxa" w:w="1500"/>
            <w:shd w:fill="FFF7E6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提示</w:t>
            </w:r>
          </w:p>
        </w:tc>
        <w:tc>
          <w:tcPr>
            <w:tcW w:type="dxa" w:w="7860"/>
            <w:shd w:fill="FFF7E6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说明</w:t>
            </w:r>
          </w:p>
        </w:tc>
      </w:tr>
      <w:tr>
        <w:tc>
          <w:tcPr>
            <w:tcW w:type="dxa" w:w="1500"/>
            <w:vAlign w:val="center"/>
            <w:shd w:fill="FFF7E6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最小增强示例边界</w:t>
            </w:r>
          </w:p>
        </w:tc>
        <w:tc>
          <w:tcPr>
            <w:tcW w:type="dxa" w:w="7860"/>
            <w:vAlign w:val="center"/>
            <w:shd w:fill="FFF7E6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若需求是“只在原查询接口返回一个字段”，Brief Design 必须表达为 enhancement/query 的最小增量，并把“禁止新增工单、禁止新增表、禁止修改无关模块”写入 Forbidden Changes。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/>
          <w:color w:val="2E74B5"/>
        </w:rPr>
        <w:t>15. 常见错误与处理方式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00"/>
        <w:gridCol w:w="3500"/>
        <w:gridCol w:w="3960"/>
      </w:tblGrid>
      <w:tr>
        <w:trPr>
          <w:tblHeader w:val="true"/>
        </w:trPr>
        <w:tc>
          <w:tcPr>
            <w:tcW w:type="dxa" w:w="19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错误</w:t>
            </w:r>
          </w:p>
        </w:tc>
        <w:tc>
          <w:tcPr>
            <w:tcW w:type="dxa" w:w="35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表现</w:t>
            </w:r>
          </w:p>
        </w:tc>
        <w:tc>
          <w:tcPr>
            <w:tcW w:type="dxa" w:w="39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处理方式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模板被当成需求</w:t>
            </w:r>
          </w:p>
        </w:tc>
        <w:tc>
          <w:tcPr>
            <w:tcW w:type="dxa" w:w="3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目录名、API、字段来自 input-examples。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停止生成，回到 Brief Design 补齐真实字段。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范围扩张</w:t>
            </w:r>
          </w:p>
        </w:tc>
        <w:tc>
          <w:tcPr>
            <w:tcW w:type="dxa" w:w="3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小改动变成新流程、新表或新模块。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Code Review 标记 Scope Deviation，Auto-fix 回收范围。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未读当前代码</w:t>
            </w:r>
          </w:p>
        </w:tc>
        <w:tc>
          <w:tcPr>
            <w:tcW w:type="dxa" w:w="3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design 与真实类/方法不一致。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要求重新扫描现有代码后再生成 design。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跳过审核</w:t>
            </w:r>
          </w:p>
        </w:tc>
        <w:tc>
          <w:tcPr>
            <w:tcW w:type="dxa" w:w="3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spec/design/tasks 未确认即写代码。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流程回退到缺失审核点。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Auto-fix 未闭环</w:t>
            </w:r>
          </w:p>
        </w:tc>
        <w:tc>
          <w:tcPr>
            <w:tcW w:type="dxa" w:w="3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Findings 仍 pending 但进入测试。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禁止 Unit Test 和 Archive，先补 auto-fix-summary。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测试记录不实</w:t>
            </w:r>
          </w:p>
        </w:tc>
        <w:tc>
          <w:tcPr>
            <w:tcW w:type="dxa" w:w="3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写了 pass 但没有执行依据。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记录真实验证入口；未执行则说明原因和替代验证。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Archive 状态未同步</w:t>
            </w:r>
          </w:p>
        </w:tc>
        <w:tc>
          <w:tcPr>
            <w:tcW w:type="dxa" w:w="3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前置资产仍显示 pending。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补充 Process Status 和 Audit Trail 后再归档。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/>
          <w:color w:val="2E74B5"/>
        </w:rPr>
        <w:t>16. 方案优势、限制与适用边界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</w:rPr>
        <w:t>16.1 方案优势</w:t>
      </w:r>
    </w:p>
    <w:p>
      <w:pPr>
        <w:pStyle w:val="ListBullet"/>
      </w:pPr>
      <w:r>
        <w:rPr>
          <w:rFonts w:ascii="Calibri" w:hAnsi="Calibri" w:eastAsia="Microsoft YaHei"/>
        </w:rPr>
        <w:t>把 AI Coding 从一次性提示词执行升级为可治理流程。</w:t>
      </w:r>
    </w:p>
    <w:p>
      <w:pPr>
        <w:pStyle w:val="ListBullet"/>
      </w:pPr>
      <w:r>
        <w:rPr>
          <w:rFonts w:ascii="Calibri" w:hAnsi="Calibri" w:eastAsia="Microsoft YaHei"/>
        </w:rPr>
        <w:t>通过人工审核门禁控制需求理解、设计和实现边界。</w:t>
      </w:r>
    </w:p>
    <w:p>
      <w:pPr>
        <w:pStyle w:val="ListBullet"/>
      </w:pPr>
      <w:r>
        <w:rPr>
          <w:rFonts w:ascii="Calibri" w:hAnsi="Calibri" w:eastAsia="Microsoft YaHei"/>
        </w:rPr>
        <w:t>通过独立 Code Review Skill 捕捉范围扩张、设计不一致和质量风险。</w:t>
      </w:r>
    </w:p>
    <w:p>
      <w:pPr>
        <w:pStyle w:val="ListBullet"/>
      </w:pPr>
      <w:r>
        <w:rPr>
          <w:rFonts w:ascii="Calibri" w:hAnsi="Calibri" w:eastAsia="Microsoft YaHei"/>
        </w:rPr>
        <w:t>通过独立 Unit Test Skill 统一记录测试策略、执行入口和结果。</w:t>
      </w:r>
    </w:p>
    <w:p>
      <w:pPr>
        <w:pStyle w:val="ListBullet"/>
      </w:pPr>
      <w:r>
        <w:rPr>
          <w:rFonts w:ascii="Calibri" w:hAnsi="Calibri" w:eastAsia="Microsoft YaHei"/>
        </w:rPr>
        <w:t>过程资产可归档，可支持后续审计、复盘和能力升级。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</w:rPr>
        <w:t>16.2 限制与适用边界</w:t>
      </w:r>
    </w:p>
    <w:p>
      <w:pPr>
        <w:pStyle w:val="ListBullet"/>
      </w:pPr>
      <w:r>
        <w:rPr>
          <w:rFonts w:ascii="Calibri" w:hAnsi="Calibri" w:eastAsia="Microsoft YaHei"/>
        </w:rPr>
        <w:t>SDD2.0 不能替代真实业务确认；未知规则必须记录为待确认问题。</w:t>
      </w:r>
    </w:p>
    <w:p>
      <w:pPr>
        <w:pStyle w:val="ListBullet"/>
      </w:pPr>
      <w:r>
        <w:rPr>
          <w:rFonts w:ascii="Calibri" w:hAnsi="Calibri" w:eastAsia="Microsoft YaHei"/>
        </w:rPr>
        <w:t>当前代码上下文质量会直接影响 design 和 tasks 的准确度。</w:t>
      </w:r>
    </w:p>
    <w:p>
      <w:pPr>
        <w:pStyle w:val="ListBullet"/>
      </w:pPr>
      <w:r>
        <w:rPr>
          <w:rFonts w:ascii="Calibri" w:hAnsi="Calibri" w:eastAsia="Microsoft YaHei"/>
        </w:rPr>
        <w:t>跨系统、强依赖真实数据或外部审批的需求仍需要人工确认和环境验证。</w:t>
      </w:r>
    </w:p>
    <w:p>
      <w:pPr>
        <w:pStyle w:val="ListBullet"/>
      </w:pPr>
      <w:r>
        <w:rPr>
          <w:rFonts w:ascii="Calibri" w:hAnsi="Calibri" w:eastAsia="Microsoft YaHei"/>
        </w:rPr>
        <w:t>Standalone Code Review 和 Unit Test 不能自动替代 SDD 主流程的阶段审核。</w:t>
      </w:r>
    </w:p>
    <w:p>
      <w:pPr>
        <w:pStyle w:val="ListBullet"/>
      </w:pPr>
      <w:r>
        <w:rPr>
          <w:rFonts w:ascii="Calibri" w:hAnsi="Calibri" w:eastAsia="Microsoft YaHei"/>
        </w:rPr>
        <w:t>若项目存在特殊框架、内部工具类或统一序列化规范，应在简要设计或 design 审核中明确。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</w:rPr>
        <w:t>17. 归档与审计要求</w:t>
      </w:r>
    </w:p>
    <w:p>
      <w:r>
        <w:rPr>
          <w:rFonts w:ascii="Calibri" w:hAnsi="Calibri" w:eastAsia="Microsoft YaHei"/>
          <w:b w:val="0"/>
        </w:rPr>
        <w:t>Archive 不是简单收尾文件，而是确认流程结束的审计入口。Archive 生成前必须确认所有过程资产最终状态同步，Code Review、Auto-fix、Unit Test Summary 均已完成。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归档检查项</w:t>
            </w:r>
          </w:p>
        </w:tc>
        <w:tc>
          <w:tcPr>
            <w:tcW w:type="dxa" w:w="68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通过标准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资产齐全</w:t>
            </w:r>
          </w:p>
        </w:tc>
        <w:tc>
          <w:tcPr>
            <w:tcW w:type="dxa" w:w="68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9 个过程资产均存在。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状态同步</w:t>
            </w:r>
          </w:p>
        </w:tc>
        <w:tc>
          <w:tcPr>
            <w:tcW w:type="dxa" w:w="68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proposal、spec、design、tasks 均不再停留在旧阶段状态。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评审闭环</w:t>
            </w:r>
          </w:p>
        </w:tc>
        <w:tc>
          <w:tcPr>
            <w:tcW w:type="dxa" w:w="68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所有人工审核和 Phase Review 有明确结论。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Code Review 闭环</w:t>
            </w:r>
          </w:p>
        </w:tc>
        <w:tc>
          <w:tcPr>
            <w:tcW w:type="dxa" w:w="68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无未修复 P0/P1 或阻塞性 P2。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Auto-fix 闭环</w:t>
            </w:r>
          </w:p>
        </w:tc>
        <w:tc>
          <w:tcPr>
            <w:tcW w:type="dxa" w:w="68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每个 finding 有 fixed、accepted risk 或 not applicable 结论。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Unit Test 闭环</w:t>
            </w:r>
          </w:p>
        </w:tc>
        <w:tc>
          <w:tcPr>
            <w:tcW w:type="dxa" w:w="68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验证入口、结果、风险和未覆盖范围记录完整。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剩余风险</w:t>
            </w:r>
          </w:p>
        </w:tc>
        <w:tc>
          <w:tcPr>
            <w:tcW w:type="dxa" w:w="68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待确认问题和真实项目风险单独列出。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/>
          <w:color w:val="2E74B5"/>
        </w:rPr>
        <w:t>18. 下一步演进建议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200"/>
        <w:gridCol w:w="3600"/>
        <w:gridCol w:w="4560"/>
      </w:tblGrid>
      <w:tr>
        <w:trPr>
          <w:tblHeader w:val="true"/>
        </w:trPr>
        <w:tc>
          <w:tcPr>
            <w:tcW w:type="dxa" w:w="12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优先级</w:t>
            </w:r>
          </w:p>
        </w:tc>
        <w:tc>
          <w:tcPr>
            <w:tcW w:type="dxa" w:w="36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建议</w:t>
            </w:r>
          </w:p>
        </w:tc>
        <w:tc>
          <w:tcPr>
            <w:tcW w:type="dxa" w:w="45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说明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P0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把 SDD2.0 作为标准 Skill 流程稳定运行。</w:t>
            </w:r>
          </w:p>
        </w:tc>
        <w:tc>
          <w:tcPr>
            <w:tcW w:type="dxa" w:w="4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先用不同类型真实需求验证稳定性。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P1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沉淀典型场景 Brief Design 样例库。</w:t>
            </w:r>
          </w:p>
        </w:tc>
        <w:tc>
          <w:tcPr>
            <w:tcW w:type="dxa" w:w="4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样例必须明确标注为参考，不能进入规则文件成为默认需求。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P2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规划 SDD2.1：BA 需求自动解析为人工简要设计。</w:t>
            </w:r>
          </w:p>
        </w:tc>
        <w:tc>
          <w:tcPr>
            <w:tcW w:type="dxa" w:w="4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先建立字段标准、需求范围选择和人工审核机制。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/>
          <w:color w:val="2E74B5"/>
        </w:rPr>
        <w:t>19. 文件清单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00"/>
        <w:gridCol w:w="3900"/>
        <w:gridCol w:w="3560"/>
      </w:tblGrid>
      <w:tr>
        <w:trPr>
          <w:tblHeader w:val="true"/>
        </w:trPr>
        <w:tc>
          <w:tcPr>
            <w:tcW w:type="dxa" w:w="19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类别</w:t>
            </w:r>
          </w:p>
        </w:tc>
        <w:tc>
          <w:tcPr>
            <w:tcW w:type="dxa" w:w="39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路径</w:t>
            </w:r>
          </w:p>
        </w:tc>
        <w:tc>
          <w:tcPr>
            <w:tcW w:type="dxa" w:w="35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作用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总控 Skill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skills/uaw-sdd-ai-coding/SKILL.md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定义 SDD2.0 主流程合同。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SDD 工作流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skills/uaw-sdd-ai-coding/references/sdd2-workflow.md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定义入口、目录、阶段流和自动 Skill 调用。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流程控制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skills/uaw-sdd-ai-coding/references/process-control.md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定义状态、审核、验证和归档规则。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输入模板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skills/uaw-sdd-ai-coding/references/input-examples.md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定义人工简要设计和审核输入结构。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Code Review Skill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skills/uaw-code-review/SKILL.md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定义 SDD/Standalone 评审模式。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Unit Test Skill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skills/uaw-unit-test/SKILL.md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定义测试生成、验证和 summary 输出。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过程资产根目录</w:t>
            </w:r>
          </w:p>
        </w:tc>
        <w:tc>
          <w:tcPr>
            <w:tcW w:type="dxa" w:w="3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sdd2-features/&lt;sprint&gt;/&lt;feature-name&gt;/</w:t>
            </w:r>
          </w:p>
        </w:tc>
        <w:tc>
          <w:tcPr>
            <w:tcW w:type="dxa" w:w="35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保存功能级 SDD 运行产物。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/>
          <w:color w:val="2E74B5"/>
        </w:rPr>
        <w:t>20. 操作检查清单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700"/>
        <w:gridCol w:w="6760"/>
        <w:gridCol w:w="900"/>
      </w:tblGrid>
      <w:tr>
        <w:trPr>
          <w:tblHeader w:val="true"/>
        </w:trPr>
        <w:tc>
          <w:tcPr>
            <w:tcW w:type="dxa" w:w="17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阶段</w:t>
            </w:r>
          </w:p>
        </w:tc>
        <w:tc>
          <w:tcPr>
            <w:tcW w:type="dxa" w:w="676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检查项</w:t>
            </w:r>
          </w:p>
        </w:tc>
        <w:tc>
          <w:tcPr>
            <w:tcW w:type="dxa" w:w="900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color w:val="1F2933"/>
              </w:rPr>
              <w:t>结果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启动前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人工简要设计必填字段齐全。</w:t>
            </w:r>
          </w:p>
        </w:tc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□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启动前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Feature Name 来自当前需求，不来自模板或历史 demo。</w:t>
            </w:r>
          </w:p>
        </w:tc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□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启动前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Forbidden Changes 已明确写出。</w:t>
            </w:r>
          </w:p>
        </w:tc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□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Spec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范围、非范围、验收标准清晰。</w:t>
            </w:r>
          </w:p>
        </w:tc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□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Design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已读取当前代码，设计落点与现有结构一致。</w:t>
            </w:r>
          </w:p>
        </w:tc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□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Tasks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Phase 可执行、可审核，包含测试任务。</w:t>
            </w:r>
          </w:p>
        </w:tc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□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Implementation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每个 Phase 完成后记录 Phase Review。</w:t>
            </w:r>
          </w:p>
        </w:tc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□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Code Review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SDD 模式只生成 code-review-findings.md。</w:t>
            </w:r>
          </w:p>
        </w:tc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□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Auto-fix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每个 Finding 都有处理结论。</w:t>
            </w:r>
          </w:p>
        </w:tc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□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Unit Test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记录真实验证方式、入口、结果和风险。</w:t>
            </w:r>
          </w:p>
        </w:tc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□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Archive</w:t>
            </w:r>
          </w:p>
        </w:tc>
        <w:tc>
          <w:tcPr>
            <w:tcW w:type="dxa" w:w="6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9 个过程资产齐全，状态同步完成。</w:t>
            </w:r>
          </w:p>
        </w:tc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sz w:val="20"/>
              </w:rPr>
              <w:t>□</w:t>
            </w:r>
          </w:p>
        </w:tc>
      </w:tr>
    </w:tbl>
    <w:p/>
    <w:p>
      <w:r>
        <w:rPr>
          <w:rFonts w:ascii="Calibri" w:hAnsi="Calibri" w:eastAsia="Microsoft YaHei"/>
          <w:b w:val="0"/>
        </w:rPr>
        <w:t>本指南中的示例、模板和检查项用于规范输入和审核，不构成具体业务需求。实际执行时，所有业务字段、接口路径、目录名和实现范围必须来自当前已确认需求和当前代码基线。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5B6770"/>
        <w:sz w:val="18"/>
      </w:rPr>
      <w:t>SDD2.0 | Internal AI Coding Operating Guide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B6770"/>
        <w:sz w:val="18"/>
      </w:rPr>
      <w:t>UAW SDD2.0 Skill 化方案说明与操作指南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20" w:line="252" w:lineRule="auto"/>
    </w:pPr>
    <w:rPr>
      <w:rFonts w:ascii="Consolas" w:hAnsi="Consolas" w:eastAsia="Microsoft Ya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