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FF47C" w14:textId="77777777" w:rsidR="005C066F" w:rsidRDefault="001E14FD" w:rsidP="00246FB3">
      <w:pPr>
        <w:pStyle w:val="I3M-ConferenceHeading-Italic"/>
      </w:pPr>
      <w:r>
        <w:rPr>
          <w:noProof/>
        </w:rPr>
        <w:drawing>
          <wp:anchor distT="0" distB="0" distL="0" distR="0" simplePos="0" relativeHeight="251654656" behindDoc="0" locked="0" layoutInCell="1" allowOverlap="1" wp14:anchorId="51E8C9AC" wp14:editId="3CDE409B">
            <wp:simplePos x="0" y="0"/>
            <wp:positionH relativeFrom="page">
              <wp:posOffset>691337</wp:posOffset>
            </wp:positionH>
            <wp:positionV relativeFrom="paragraph">
              <wp:posOffset>60732</wp:posOffset>
            </wp:positionV>
            <wp:extent cx="543439" cy="7245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43439" cy="724585"/>
                    </a:xfrm>
                    <a:prstGeom prst="rect">
                      <a:avLst/>
                    </a:prstGeom>
                  </pic:spPr>
                </pic:pic>
              </a:graphicData>
            </a:graphic>
          </wp:anchor>
        </w:drawing>
      </w:r>
      <w:r>
        <w:t>32</w:t>
      </w:r>
      <w:proofErr w:type="spellStart"/>
      <w:r>
        <w:rPr>
          <w:position w:val="6"/>
          <w:sz w:val="12"/>
        </w:rPr>
        <w:t>nd</w:t>
      </w:r>
      <w:proofErr w:type="spellEnd"/>
      <w:r>
        <w:rPr>
          <w:position w:val="6"/>
          <w:sz w:val="12"/>
        </w:rPr>
        <w:t xml:space="preserve"> </w:t>
      </w:r>
      <w:r>
        <w:t>European Modeling &amp; Simulation Symposium</w:t>
      </w:r>
    </w:p>
    <w:p w14:paraId="4E830C24" w14:textId="26C77105" w:rsidR="005C066F" w:rsidRDefault="006B1189" w:rsidP="00246FB3">
      <w:pPr>
        <w:pStyle w:val="I3M-ConferenceHeading-Regular"/>
      </w:pPr>
      <w:r>
        <w:rPr>
          <w:sz w:val="22"/>
        </w:rPr>
        <w:pict w14:anchorId="2767AFB6">
          <v:line id="_x0000_s1031" alt="" style="position:absolute;left:0;text-align:left;z-index:251644928;mso-wrap-edited:f;mso-width-percent:0;mso-height-percent:0;mso-position-horizontal-relative:page;mso-width-percent:0;mso-height-percent:0" from="126.15pt,19.05pt" to="612pt,19.05pt" strokecolor="#d8d8d8" strokeweight=".70308mm">
            <w10:wrap anchorx="page"/>
          </v:line>
        </w:pict>
      </w:r>
      <w:r w:rsidR="001E14FD">
        <w:t>17</w:t>
      </w:r>
      <w:proofErr w:type="spellStart"/>
      <w:r w:rsidR="001E14FD">
        <w:rPr>
          <w:position w:val="6"/>
          <w:sz w:val="12"/>
        </w:rPr>
        <w:t>th</w:t>
      </w:r>
      <w:proofErr w:type="spellEnd"/>
      <w:r w:rsidR="001E14FD">
        <w:rPr>
          <w:position w:val="6"/>
          <w:sz w:val="12"/>
        </w:rPr>
        <w:t xml:space="preserve"> </w:t>
      </w:r>
      <w:r w:rsidR="001E14FD">
        <w:t>International Multidisciplinary Modeling &amp; Simulation Multiconference</w:t>
      </w:r>
    </w:p>
    <w:p w14:paraId="1475ABC7" w14:textId="77777777" w:rsidR="005C066F" w:rsidRDefault="005C066F">
      <w:pPr>
        <w:pStyle w:val="BodyText"/>
        <w:spacing w:before="1"/>
        <w:rPr>
          <w:sz w:val="23"/>
        </w:rPr>
      </w:pPr>
    </w:p>
    <w:p w14:paraId="36B71D61" w14:textId="43DE6FDC" w:rsidR="00246FB3" w:rsidRPr="00E93028" w:rsidRDefault="008C4201" w:rsidP="00E93028">
      <w:pPr>
        <w:pStyle w:val="I3M-CopyrightHeading"/>
      </w:pPr>
      <w:r w:rsidRPr="008C4201">
        <w:t>2724-0029</w:t>
      </w:r>
      <w:r>
        <w:t xml:space="preserve"> </w:t>
      </w:r>
      <w:r w:rsidR="001E14FD" w:rsidRPr="00246FB3">
        <w:t>© 2020 The Authors</w:t>
      </w:r>
      <w:r w:rsidR="001E14FD">
        <w:t>.</w:t>
      </w:r>
    </w:p>
    <w:p w14:paraId="014BBDF3" w14:textId="2B640240" w:rsidR="005C066F" w:rsidRDefault="001E14FD" w:rsidP="00246FB3">
      <w:pPr>
        <w:pStyle w:val="I3M-DOIHeading"/>
        <w:ind w:right="3767"/>
      </w:pPr>
      <w:proofErr w:type="spellStart"/>
      <w:r>
        <w:t>doi</w:t>
      </w:r>
      <w:proofErr w:type="spellEnd"/>
      <w:r>
        <w:t xml:space="preserve">: </w:t>
      </w:r>
      <w:proofErr w:type="spellStart"/>
      <w:proofErr w:type="gramStart"/>
      <w:r>
        <w:t>xx.xxxx</w:t>
      </w:r>
      <w:proofErr w:type="spellEnd"/>
      <w:proofErr w:type="gramEnd"/>
      <w:r>
        <w:t>/</w:t>
      </w:r>
      <w:proofErr w:type="spellStart"/>
      <w:r>
        <w:t>xxxx</w:t>
      </w:r>
      <w:proofErr w:type="spellEnd"/>
    </w:p>
    <w:p w14:paraId="46538EBA" w14:textId="118C8401" w:rsidR="005C066F" w:rsidRDefault="00874C2F" w:rsidP="00001458">
      <w:pPr>
        <w:pStyle w:val="I3M-Paper-Title"/>
      </w:pPr>
      <w:r>
        <w:t xml:space="preserve">Which Trading Agent is Best? </w:t>
      </w:r>
      <w:r w:rsidR="00DF2BC8">
        <w:t>Using a</w:t>
      </w:r>
      <w:r>
        <w:t xml:space="preserve"> Threaded Parallel Simulation of a Financial Market Change</w:t>
      </w:r>
      <w:r w:rsidR="00DF2BC8">
        <w:t>s</w:t>
      </w:r>
      <w:r>
        <w:t xml:space="preserve"> the </w:t>
      </w:r>
      <w:r w:rsidR="00730230">
        <w:t>Pecking</w:t>
      </w:r>
      <w:r w:rsidR="00053809">
        <w:t>-</w:t>
      </w:r>
      <w:r w:rsidR="00730230">
        <w:t>Order</w:t>
      </w:r>
      <w:r>
        <w:t>.</w:t>
      </w:r>
    </w:p>
    <w:p w14:paraId="0E974539" w14:textId="41B4A2A4" w:rsidR="005C066F" w:rsidRDefault="00874C2F" w:rsidP="00246FB3">
      <w:pPr>
        <w:pStyle w:val="I3M-Author"/>
        <w:rPr>
          <w:sz w:val="21"/>
        </w:rPr>
      </w:pPr>
      <w:r>
        <w:t>Michael Rollins</w:t>
      </w:r>
      <w:r w:rsidR="001E14FD">
        <w:rPr>
          <w:position w:val="9"/>
          <w:sz w:val="21"/>
        </w:rPr>
        <w:t>1</w:t>
      </w:r>
      <w:r>
        <w:t xml:space="preserve"> and</w:t>
      </w:r>
      <w:r w:rsidR="001E14FD">
        <w:t xml:space="preserve"> </w:t>
      </w:r>
      <w:r>
        <w:t>Dave Cliff</w:t>
      </w:r>
      <w:proofErr w:type="gramStart"/>
      <w:r>
        <w:rPr>
          <w:position w:val="9"/>
          <w:sz w:val="21"/>
        </w:rPr>
        <w:t>1,</w:t>
      </w:r>
      <w:r>
        <w:rPr>
          <w:position w:val="7"/>
          <w:sz w:val="21"/>
        </w:rPr>
        <w:t>*</w:t>
      </w:r>
      <w:proofErr w:type="gramEnd"/>
    </w:p>
    <w:p w14:paraId="5C475267" w14:textId="6545C769" w:rsidR="005C066F" w:rsidRDefault="001E14FD" w:rsidP="00246FB3">
      <w:pPr>
        <w:pStyle w:val="I3M-Affiliation"/>
      </w:pPr>
      <w:r>
        <w:rPr>
          <w:position w:val="8"/>
          <w:sz w:val="14"/>
        </w:rPr>
        <w:t>1</w:t>
      </w:r>
      <w:r w:rsidR="00874C2F">
        <w:t>Department of Computer Science, The University of Bristol</w:t>
      </w:r>
      <w:r>
        <w:t xml:space="preserve">, </w:t>
      </w:r>
      <w:r w:rsidR="00874C2F">
        <w:t>Woodland Road</w:t>
      </w:r>
      <w:r>
        <w:t xml:space="preserve">, </w:t>
      </w:r>
      <w:r w:rsidR="00874C2F">
        <w:t>Bristol</w:t>
      </w:r>
      <w:r>
        <w:t xml:space="preserve">, </w:t>
      </w:r>
      <w:r w:rsidR="00874C2F">
        <w:t>BS8 1UB</w:t>
      </w:r>
      <w:r>
        <w:t xml:space="preserve">, </w:t>
      </w:r>
      <w:r w:rsidR="00874C2F">
        <w:t>UK</w:t>
      </w:r>
    </w:p>
    <w:p w14:paraId="742C3512" w14:textId="6CB9DD97" w:rsidR="005C066F" w:rsidRDefault="006B1189" w:rsidP="00690F61">
      <w:pPr>
        <w:pStyle w:val="I3M-Corresponding-Author"/>
      </w:pPr>
      <w:r>
        <w:pict w14:anchorId="32E2C382">
          <v:line id="_x0000_s1030" alt="" style="position:absolute;z-index:251645952;mso-wrap-edited:f;mso-width-percent:0;mso-height-percent:0;mso-position-horizontal-relative:page;mso-width-percent:0;mso-height-percent:0" from="53.8pt,28.95pt" to="612pt,28.95pt" strokecolor="#c99" strokeweight="1.0544mm">
            <w10:wrap anchorx="page"/>
          </v:line>
        </w:pict>
      </w:r>
      <w:r w:rsidR="001E14FD">
        <w:rPr>
          <w:position w:val="5"/>
          <w:sz w:val="12"/>
        </w:rPr>
        <w:t>*</w:t>
      </w:r>
      <w:r w:rsidR="001E14FD">
        <w:t>C</w:t>
      </w:r>
      <w:r w:rsidR="001E14FD" w:rsidRPr="00246FB3">
        <w:rPr>
          <w:rStyle w:val="I3M-Corresponding-AuthorCarattere"/>
        </w:rPr>
        <w:t>orrespondi</w:t>
      </w:r>
      <w:r w:rsidR="001E14FD">
        <w:t xml:space="preserve">ng author. Email address: </w:t>
      </w:r>
      <w:hyperlink r:id="rId8" w:history="1">
        <w:r w:rsidR="00874C2F" w:rsidRPr="003E38C4">
          <w:rPr>
            <w:rStyle w:val="Hyperlink"/>
          </w:rPr>
          <w:t>csdtc@bristol.ac.uk</w:t>
        </w:r>
      </w:hyperlink>
    </w:p>
    <w:p w14:paraId="5EFCF83C" w14:textId="77777777" w:rsidR="005C066F" w:rsidRDefault="005C066F">
      <w:pPr>
        <w:pStyle w:val="BodyText"/>
        <w:rPr>
          <w:sz w:val="20"/>
        </w:rPr>
      </w:pPr>
    </w:p>
    <w:p w14:paraId="29CC0A03" w14:textId="77777777" w:rsidR="005C066F" w:rsidRDefault="005C066F">
      <w:pPr>
        <w:pStyle w:val="BodyText"/>
        <w:spacing w:before="2"/>
        <w:rPr>
          <w:sz w:val="14"/>
        </w:rPr>
      </w:pPr>
    </w:p>
    <w:p w14:paraId="13A8E45E" w14:textId="77777777" w:rsidR="005C066F" w:rsidRDefault="001E14FD" w:rsidP="00F241BC">
      <w:pPr>
        <w:pStyle w:val="I3M-Abstract-Title"/>
      </w:pPr>
      <w:r>
        <w:t>Abstract</w:t>
      </w:r>
    </w:p>
    <w:p w14:paraId="514DA45E" w14:textId="524B1C25" w:rsidR="005C066F" w:rsidRDefault="00444261" w:rsidP="00E93028">
      <w:pPr>
        <w:pStyle w:val="I3M-Abstract"/>
      </w:pPr>
      <w:r>
        <w:t>This paper presents n</w:t>
      </w:r>
      <w:r w:rsidR="009261C8">
        <w:t>ovel</w:t>
      </w:r>
      <w:r>
        <w:t xml:space="preserve"> results</w:t>
      </w:r>
      <w:r w:rsidR="00F1521E">
        <w:t xml:space="preserve">, </w:t>
      </w:r>
      <w:r>
        <w:t xml:space="preserve">generated </w:t>
      </w:r>
      <w:r w:rsidR="009261C8">
        <w:t xml:space="preserve">from a new </w:t>
      </w:r>
      <w:r w:rsidR="00F1521E">
        <w:t>simulation model of a contemporary financial market, that cast serious doubt on the previously widely accepted view of the relative performance of various well-known public-domain automated</w:t>
      </w:r>
      <w:r w:rsidR="005F46ED">
        <w:t>-</w:t>
      </w:r>
      <w:r w:rsidR="00F1521E">
        <w:t>trading</w:t>
      </w:r>
      <w:r w:rsidR="005F46ED">
        <w:t xml:space="preserve"> algorithms</w:t>
      </w:r>
      <w:r w:rsidR="00F1521E">
        <w:t>. Put simply, we show here that</w:t>
      </w:r>
      <w:r>
        <w:t xml:space="preserve"> if you use a more realistic market simulator, then </w:t>
      </w:r>
      <w:r w:rsidR="00F1521E">
        <w:t xml:space="preserve">trading algorithms previously thought to be the best-performing are </w:t>
      </w:r>
      <w:r>
        <w:t xml:space="preserve">shown to be </w:t>
      </w:r>
      <w:r w:rsidR="00F1521E">
        <w:t xml:space="preserve">not as good as people think they are, and </w:t>
      </w:r>
      <w:r>
        <w:t xml:space="preserve">some </w:t>
      </w:r>
      <w:r w:rsidR="00F1521E">
        <w:t xml:space="preserve">algorithms previously thought to be poor performers can </w:t>
      </w:r>
      <w:r>
        <w:t>be seen to do</w:t>
      </w:r>
      <w:r w:rsidR="00F1521E">
        <w:t xml:space="preserve"> surprisingly well. </w:t>
      </w:r>
      <w:r>
        <w:t>A</w:t>
      </w:r>
      <w:r w:rsidR="00F1521E">
        <w:t>utomated trading is now entirely commonplace in most of the world's major financial markets: adaptive algorithmic trading systems operate largely autonomously, interacting with other traders (either other automated systems, or humans) via an electronic exchange platform.</w:t>
      </w:r>
      <w:r w:rsidR="001E14FD">
        <w:t xml:space="preserve"> </w:t>
      </w:r>
      <w:r w:rsidR="00F1521E">
        <w:t>Various public-domain trading algorithms have been proposed over the past 25 years in a kind of arms</w:t>
      </w:r>
      <w:r w:rsidR="009261C8">
        <w:t>-</w:t>
      </w:r>
      <w:r w:rsidR="00F1521E">
        <w:t>race, w</w:t>
      </w:r>
      <w:r w:rsidR="00854173">
        <w:t xml:space="preserve">here </w:t>
      </w:r>
      <w:r w:rsidR="00F1521E">
        <w:t xml:space="preserve">each new </w:t>
      </w:r>
      <w:r>
        <w:t xml:space="preserve">trading </w:t>
      </w:r>
      <w:r w:rsidR="00F1521E">
        <w:t xml:space="preserve">algorithm </w:t>
      </w:r>
      <w:r w:rsidR="00854173">
        <w:t>was compared to</w:t>
      </w:r>
      <w:r w:rsidR="00F1521E">
        <w:t xml:space="preserve"> the</w:t>
      </w:r>
      <w:r w:rsidR="00C35347">
        <w:t xml:space="preserve"> </w:t>
      </w:r>
      <w:r w:rsidR="00F1521E">
        <w:t>previous best</w:t>
      </w:r>
      <w:r>
        <w:t xml:space="preserve">, </w:t>
      </w:r>
      <w:r w:rsidR="009261C8">
        <w:t>thereby establishing a "pecking order", i.e. a partial</w:t>
      </w:r>
      <w:r w:rsidR="00470CA0">
        <w:t>ly-</w:t>
      </w:r>
      <w:r w:rsidR="009261C8">
        <w:t>order</w:t>
      </w:r>
      <w:r w:rsidR="00470CA0">
        <w:t>ed dominance hierarchy</w:t>
      </w:r>
      <w:r w:rsidR="009261C8">
        <w:t xml:space="preserve"> from best to worst of the various trading algorithms. Many of</w:t>
      </w:r>
      <w:r>
        <w:t xml:space="preserve"> these algorithms were developed, tested, and evaluated</w:t>
      </w:r>
      <w:r w:rsidR="009261C8">
        <w:t xml:space="preserve"> </w:t>
      </w:r>
      <w:r>
        <w:t xml:space="preserve">using simple minimal </w:t>
      </w:r>
      <w:r w:rsidR="00854173">
        <w:t xml:space="preserve">simulations of financial </w:t>
      </w:r>
      <w:r>
        <w:t>market</w:t>
      </w:r>
      <w:r w:rsidR="00854173">
        <w:t>s</w:t>
      </w:r>
      <w:r>
        <w:t xml:space="preserve"> that only </w:t>
      </w:r>
      <w:r w:rsidR="00854173">
        <w:t xml:space="preserve">very </w:t>
      </w:r>
      <w:r>
        <w:t xml:space="preserve">weakly approximated the fact that real markets involve many different trading systems operating asynchronously and in parallel. In this paper we take a long-established </w:t>
      </w:r>
      <w:r w:rsidR="009A4015">
        <w:t xml:space="preserve">public-domain </w:t>
      </w:r>
      <w:r>
        <w:t>market simulator called BSE</w:t>
      </w:r>
      <w:r w:rsidR="009A4015">
        <w:t xml:space="preserve"> </w:t>
      </w:r>
      <w:r>
        <w:t xml:space="preserve">and run a set of experiments </w:t>
      </w:r>
      <w:r w:rsidR="009A4015">
        <w:t xml:space="preserve">on BSE </w:t>
      </w:r>
      <w:r>
        <w:t xml:space="preserve">to </w:t>
      </w:r>
      <w:r w:rsidR="009A4015">
        <w:t xml:space="preserve">create </w:t>
      </w:r>
      <w:r>
        <w:t xml:space="preserve">benchmark </w:t>
      </w:r>
      <w:r w:rsidR="009A4015">
        <w:t xml:space="preserve">results from </w:t>
      </w:r>
      <w:r>
        <w:t xml:space="preserve">several well-known trading algorithms. BSE incorporates a very simple time-sliced approach to simulating parallelism, which has </w:t>
      </w:r>
      <w:r w:rsidR="009A4015">
        <w:t xml:space="preserve">obvious known </w:t>
      </w:r>
      <w:r>
        <w:t xml:space="preserve">weaknesses. We then alter and extend BSE to make it </w:t>
      </w:r>
      <w:r w:rsidRPr="00444261">
        <w:rPr>
          <w:i/>
          <w:iCs/>
        </w:rPr>
        <w:t>threaded</w:t>
      </w:r>
      <w:r>
        <w:t>, so that different trader algorithms operate asynchronously and in parallel</w:t>
      </w:r>
      <w:r w:rsidR="009A4015">
        <w:t xml:space="preserve">: we call this simulator </w:t>
      </w:r>
      <w:r w:rsidR="009A4015" w:rsidRPr="009A4015">
        <w:rPr>
          <w:i/>
          <w:iCs/>
        </w:rPr>
        <w:t>Threaded-BSE</w:t>
      </w:r>
      <w:r w:rsidR="009A4015">
        <w:t xml:space="preserve"> (TBSE). We then</w:t>
      </w:r>
      <w:r>
        <w:t xml:space="preserve"> </w:t>
      </w:r>
      <w:r w:rsidR="009261C8">
        <w:t>re-run the trader experiments</w:t>
      </w:r>
      <w:r w:rsidR="009A4015">
        <w:t xml:space="preserve"> on TBSE</w:t>
      </w:r>
      <w:r w:rsidR="00E4047A">
        <w:t xml:space="preserve"> </w:t>
      </w:r>
      <w:r w:rsidR="009261C8">
        <w:t xml:space="preserve">and </w:t>
      </w:r>
      <w:r>
        <w:t xml:space="preserve">compare the </w:t>
      </w:r>
      <w:r w:rsidR="009A4015">
        <w:t xml:space="preserve">TBSE </w:t>
      </w:r>
      <w:r w:rsidR="009261C8">
        <w:t>results to our earlier benchmark results</w:t>
      </w:r>
      <w:r w:rsidR="00C35347">
        <w:t xml:space="preserve"> from BSE</w:t>
      </w:r>
      <w:r>
        <w:t xml:space="preserve">. Our comparison shows that </w:t>
      </w:r>
      <w:r w:rsidR="009261C8">
        <w:t xml:space="preserve">the dominance hierarchy in our more realistic experiments is different from the one given by the original simple simulator. We conclude that simulated parallelism matters a lot, and that earlier results from simple simulations </w:t>
      </w:r>
      <w:r w:rsidR="00D97BFF">
        <w:t xml:space="preserve">comparing different trader algorithms </w:t>
      </w:r>
      <w:r w:rsidR="009261C8">
        <w:t xml:space="preserve">are no longer to be </w:t>
      </w:r>
      <w:r w:rsidR="001344BE">
        <w:t xml:space="preserve">entirely </w:t>
      </w:r>
      <w:r w:rsidR="009261C8">
        <w:t xml:space="preserve">trusted. </w:t>
      </w:r>
    </w:p>
    <w:p w14:paraId="2AA78929" w14:textId="3D958D42" w:rsidR="005C066F" w:rsidRDefault="006B1189" w:rsidP="00E93028">
      <w:pPr>
        <w:pStyle w:val="I3M-Keywords"/>
      </w:pPr>
      <w:r>
        <w:rPr>
          <w:b/>
          <w:bCs/>
          <w:sz w:val="22"/>
        </w:rPr>
        <w:pict w14:anchorId="6220C7FB">
          <v:line id="_x0000_s1029" alt="" style="position:absolute;z-index:251646976;mso-wrap-edited:f;mso-width-percent:0;mso-height-percent:0;mso-position-horizontal-relative:page;mso-width-percent:0;mso-height-percent:0" from="53.8pt,29.7pt" to="612pt,29.7pt" strokecolor="#c99" strokeweight="1.0544mm">
            <w10:wrap anchorx="page"/>
          </v:line>
        </w:pict>
      </w:r>
      <w:r w:rsidR="001E14FD" w:rsidRPr="00F241BC">
        <w:rPr>
          <w:b/>
          <w:bCs/>
        </w:rPr>
        <w:t>Keywords:</w:t>
      </w:r>
      <w:r w:rsidR="001E14FD">
        <w:t xml:space="preserve"> </w:t>
      </w:r>
      <w:r w:rsidR="00602071">
        <w:t>Financial Markets</w:t>
      </w:r>
      <w:r w:rsidR="001E14FD">
        <w:t xml:space="preserve">; </w:t>
      </w:r>
      <w:r w:rsidR="00602071">
        <w:t>Market Simulators; Trading Agents; Simulation Methods.</w:t>
      </w:r>
      <w:r w:rsidR="001E14FD">
        <w:t xml:space="preserve"> </w:t>
      </w:r>
    </w:p>
    <w:p w14:paraId="2D58EEE0" w14:textId="77777777" w:rsidR="00945B3F" w:rsidRDefault="00945B3F" w:rsidP="00E93028">
      <w:pPr>
        <w:pStyle w:val="I3M-Keywords"/>
      </w:pPr>
    </w:p>
    <w:p w14:paraId="7845A9A8" w14:textId="77777777" w:rsidR="005C066F" w:rsidRDefault="005C066F">
      <w:pPr>
        <w:pStyle w:val="BodyText"/>
        <w:rPr>
          <w:sz w:val="20"/>
        </w:rPr>
      </w:pPr>
    </w:p>
    <w:p w14:paraId="238A81FA" w14:textId="77777777" w:rsidR="005C066F" w:rsidRDefault="005C066F">
      <w:pPr>
        <w:pStyle w:val="BodyText"/>
        <w:spacing w:before="6"/>
        <w:rPr>
          <w:sz w:val="13"/>
        </w:rPr>
      </w:pPr>
    </w:p>
    <w:p w14:paraId="13A915AF" w14:textId="77777777" w:rsidR="005C066F" w:rsidRDefault="005C066F">
      <w:pPr>
        <w:rPr>
          <w:sz w:val="13"/>
        </w:rPr>
        <w:sectPr w:rsidR="005C066F" w:rsidSect="00E402C7">
          <w:headerReference w:type="even" r:id="rId9"/>
          <w:headerReference w:type="default" r:id="rId10"/>
          <w:footerReference w:type="first" r:id="rId11"/>
          <w:type w:val="continuous"/>
          <w:pgSz w:w="12240" w:h="15840"/>
          <w:pgMar w:top="1321" w:right="1077" w:bottom="1038" w:left="1077" w:header="720" w:footer="720" w:gutter="0"/>
          <w:cols w:space="720"/>
          <w:titlePg/>
          <w:docGrid w:linePitch="299"/>
        </w:sectPr>
      </w:pPr>
    </w:p>
    <w:p w14:paraId="58B1A773" w14:textId="77777777" w:rsidR="005C066F" w:rsidRPr="00246FB3" w:rsidRDefault="001E14FD" w:rsidP="00E579DE">
      <w:pPr>
        <w:pStyle w:val="I3M-Section-Headings"/>
      </w:pPr>
      <w:bookmarkStart w:id="2" w:name="How_to_use_this_template"/>
      <w:bookmarkEnd w:id="2"/>
      <w:r w:rsidRPr="00246FB3">
        <w:t xml:space="preserve">How to use this </w:t>
      </w:r>
      <w:r w:rsidRPr="00E579DE">
        <w:t>template</w:t>
      </w:r>
    </w:p>
    <w:p w14:paraId="6E2CE4C0" w14:textId="2A93253B" w:rsidR="00D579AB" w:rsidRDefault="001E14FD" w:rsidP="00D82C97">
      <w:pPr>
        <w:pStyle w:val="I3M-BodyText-AfterHeading"/>
      </w:pPr>
      <w:r>
        <w:rPr>
          <w:w w:val="97"/>
        </w:rPr>
        <w:t>This</w:t>
      </w:r>
      <w:r>
        <w:t xml:space="preserve"> </w:t>
      </w:r>
      <w:r>
        <w:rPr>
          <w:w w:val="98"/>
        </w:rPr>
        <w:t>is</w:t>
      </w:r>
      <w:r>
        <w:t xml:space="preserve"> </w:t>
      </w:r>
      <w:r>
        <w:rPr>
          <w:w w:val="98"/>
        </w:rPr>
        <w:t>the</w:t>
      </w:r>
      <w:r w:rsidR="00F241BC">
        <w:t xml:space="preserve"> Word </w:t>
      </w:r>
      <w:r>
        <w:rPr>
          <w:w w:val="98"/>
        </w:rPr>
        <w:t>template</w:t>
      </w:r>
      <w:r>
        <w:t xml:space="preserve"> </w:t>
      </w:r>
      <w:r>
        <w:rPr>
          <w:w w:val="96"/>
        </w:rPr>
        <w:t>for</w:t>
      </w:r>
      <w:r>
        <w:t xml:space="preserve"> </w:t>
      </w:r>
      <w:r w:rsidR="00F241BC">
        <w:rPr>
          <w:w w:val="98"/>
        </w:rPr>
        <w:t>I3M</w:t>
      </w:r>
      <w:r>
        <w:t xml:space="preserve"> </w:t>
      </w:r>
      <w:r>
        <w:rPr>
          <w:w w:val="97"/>
        </w:rPr>
        <w:t>conference</w:t>
      </w:r>
      <w:r>
        <w:t xml:space="preserve"> </w:t>
      </w:r>
      <w:r>
        <w:rPr>
          <w:w w:val="97"/>
        </w:rPr>
        <w:t xml:space="preserve">paper </w:t>
      </w:r>
      <w:r>
        <w:t>submissions.</w:t>
      </w:r>
      <w:r w:rsidR="00E579DE">
        <w:t xml:space="preserve"> </w:t>
      </w:r>
      <w:r>
        <w:t>Please note that whilst this template provides a preview of the typeset manuscript for submission, it will not necessarily be the final publication layout.</w:t>
      </w:r>
      <w:r w:rsidR="00D579AB">
        <w:t xml:space="preserve"> </w:t>
      </w:r>
    </w:p>
    <w:p w14:paraId="57645E97" w14:textId="103F2947" w:rsidR="005C066F" w:rsidRPr="00D579AB" w:rsidRDefault="00D579AB" w:rsidP="00D579AB">
      <w:pPr>
        <w:pStyle w:val="I3M-BodyText-Bold"/>
      </w:pPr>
      <w:r w:rsidRPr="00D579AB">
        <w:t>Please use the document I3M styles to prepare your manuscript.</w:t>
      </w:r>
    </w:p>
    <w:p w14:paraId="408DB467" w14:textId="3DD3025C" w:rsidR="005C066F" w:rsidRPr="00ED4171" w:rsidRDefault="00F241BC" w:rsidP="00ED4171">
      <w:pPr>
        <w:pStyle w:val="I3M-BodyText"/>
      </w:pPr>
      <w:r>
        <w:t xml:space="preserve">When preparing your </w:t>
      </w:r>
      <w:r w:rsidRPr="00D579AB">
        <w:t>manuscript</w:t>
      </w:r>
      <w:r>
        <w:t>, be sure to change in the page headings the name of the conference you are submitting your paper to</w:t>
      </w:r>
      <w:r w:rsidR="001E14FD">
        <w:t>.</w:t>
      </w:r>
    </w:p>
    <w:p w14:paraId="6C98D467" w14:textId="2E290651" w:rsidR="005C066F" w:rsidRDefault="001E14FD" w:rsidP="00246FB3">
      <w:pPr>
        <w:pStyle w:val="I3M-BodyText"/>
      </w:pPr>
      <w:r>
        <w:t xml:space="preserve">Use later sections starting with ‘Introduction’ </w:t>
      </w:r>
      <w:r>
        <w:rPr>
          <w:spacing w:val="-6"/>
        </w:rPr>
        <w:t xml:space="preserve">on </w:t>
      </w:r>
      <w:r>
        <w:t xml:space="preserve">page </w:t>
      </w:r>
      <w:hyperlink w:anchor="_bookmark2" w:history="1">
        <w:r>
          <w:t xml:space="preserve">2 </w:t>
        </w:r>
      </w:hyperlink>
      <w:r>
        <w:t xml:space="preserve">to write your manuscript. The remainder of </w:t>
      </w:r>
      <w:r>
        <w:rPr>
          <w:spacing w:val="-3"/>
        </w:rPr>
        <w:t xml:space="preserve">this </w:t>
      </w:r>
      <w:proofErr w:type="gramStart"/>
      <w:r>
        <w:rPr>
          <w:w w:val="102"/>
        </w:rPr>
        <w:t>current</w:t>
      </w:r>
      <w:r>
        <w:t xml:space="preserve"> </w:t>
      </w:r>
      <w:r>
        <w:rPr>
          <w:spacing w:val="-13"/>
        </w:rPr>
        <w:t xml:space="preserve"> </w:t>
      </w:r>
      <w:r>
        <w:rPr>
          <w:w w:val="101"/>
        </w:rPr>
        <w:t>section</w:t>
      </w:r>
      <w:proofErr w:type="gramEnd"/>
      <w:r>
        <w:t xml:space="preserve"> </w:t>
      </w:r>
      <w:r>
        <w:rPr>
          <w:spacing w:val="-13"/>
        </w:rPr>
        <w:t xml:space="preserve"> </w:t>
      </w:r>
      <w:r>
        <w:rPr>
          <w:w w:val="104"/>
        </w:rPr>
        <w:t>will</w:t>
      </w:r>
      <w:r>
        <w:t xml:space="preserve"> </w:t>
      </w:r>
      <w:r>
        <w:rPr>
          <w:spacing w:val="-13"/>
        </w:rPr>
        <w:t xml:space="preserve"> </w:t>
      </w:r>
      <w:r>
        <w:rPr>
          <w:w w:val="101"/>
        </w:rPr>
        <w:t>provide</w:t>
      </w:r>
      <w:r>
        <w:t xml:space="preserve"> </w:t>
      </w:r>
      <w:r>
        <w:rPr>
          <w:spacing w:val="-13"/>
        </w:rPr>
        <w:t xml:space="preserve"> </w:t>
      </w:r>
      <w:r>
        <w:rPr>
          <w:w w:val="101"/>
        </w:rPr>
        <w:t>some</w:t>
      </w:r>
      <w:r>
        <w:t xml:space="preserve"> </w:t>
      </w:r>
      <w:r>
        <w:rPr>
          <w:spacing w:val="-13"/>
        </w:rPr>
        <w:t xml:space="preserve"> </w:t>
      </w:r>
      <w:r w:rsidR="00F241BC">
        <w:rPr>
          <w:w w:val="102"/>
        </w:rPr>
        <w:t xml:space="preserve">information </w:t>
      </w:r>
      <w:r>
        <w:t>for</w:t>
      </w:r>
      <w:r>
        <w:rPr>
          <w:spacing w:val="18"/>
        </w:rPr>
        <w:t xml:space="preserve"> </w:t>
      </w:r>
      <w:r>
        <w:t>various</w:t>
      </w:r>
      <w:r>
        <w:rPr>
          <w:spacing w:val="18"/>
        </w:rPr>
        <w:t xml:space="preserve"> </w:t>
      </w:r>
      <w:r>
        <w:t>elements</w:t>
      </w:r>
      <w:r>
        <w:rPr>
          <w:spacing w:val="18"/>
        </w:rPr>
        <w:t xml:space="preserve"> </w:t>
      </w:r>
      <w:r>
        <w:t>you</w:t>
      </w:r>
      <w:r>
        <w:rPr>
          <w:spacing w:val="18"/>
        </w:rPr>
        <w:t xml:space="preserve"> </w:t>
      </w:r>
      <w:r>
        <w:t>may</w:t>
      </w:r>
      <w:r>
        <w:rPr>
          <w:spacing w:val="18"/>
        </w:rPr>
        <w:t xml:space="preserve"> </w:t>
      </w:r>
      <w:r>
        <w:t>want</w:t>
      </w:r>
      <w:r>
        <w:rPr>
          <w:spacing w:val="19"/>
        </w:rPr>
        <w:t xml:space="preserve"> </w:t>
      </w:r>
      <w:r>
        <w:t>to</w:t>
      </w:r>
      <w:r>
        <w:rPr>
          <w:spacing w:val="18"/>
        </w:rPr>
        <w:t xml:space="preserve"> </w:t>
      </w:r>
      <w:r>
        <w:t>include</w:t>
      </w:r>
      <w:r>
        <w:rPr>
          <w:spacing w:val="18"/>
        </w:rPr>
        <w:t xml:space="preserve"> </w:t>
      </w:r>
      <w:r>
        <w:t>in</w:t>
      </w:r>
      <w:r>
        <w:rPr>
          <w:spacing w:val="18"/>
        </w:rPr>
        <w:t xml:space="preserve"> </w:t>
      </w:r>
      <w:r>
        <w:t>your</w:t>
      </w:r>
      <w:r w:rsidR="00F241BC">
        <w:t xml:space="preserve"> </w:t>
      </w:r>
      <w:r>
        <w:t>manuscript.</w:t>
      </w:r>
    </w:p>
    <w:p w14:paraId="132E7D4C" w14:textId="77777777" w:rsidR="00ED4171" w:rsidRDefault="001E14FD" w:rsidP="00246FB3">
      <w:pPr>
        <w:pStyle w:val="I3M-BodyText"/>
      </w:pPr>
      <w:r w:rsidRPr="00246FB3">
        <w:t xml:space="preserve">Papers that don’t adhere to the guidelines provided in this template will be returned to the authors </w:t>
      </w:r>
      <w:proofErr w:type="gramStart"/>
      <w:r w:rsidRPr="00246FB3">
        <w:t>for  appropriate</w:t>
      </w:r>
      <w:proofErr w:type="gramEnd"/>
      <w:r w:rsidRPr="00246FB3">
        <w:t xml:space="preserve"> revision. To avoid any</w:t>
      </w:r>
      <w:r>
        <w:t xml:space="preserve"> difficulties during the</w:t>
      </w:r>
      <w:r>
        <w:rPr>
          <w:spacing w:val="-13"/>
        </w:rPr>
        <w:t xml:space="preserve"> </w:t>
      </w:r>
      <w:r>
        <w:t>typesetting</w:t>
      </w:r>
      <w:r>
        <w:rPr>
          <w:spacing w:val="-13"/>
        </w:rPr>
        <w:t xml:space="preserve"> </w:t>
      </w:r>
      <w:r>
        <w:t>process,</w:t>
      </w:r>
      <w:r>
        <w:rPr>
          <w:spacing w:val="-10"/>
        </w:rPr>
        <w:t xml:space="preserve"> </w:t>
      </w:r>
      <w:r>
        <w:t>authors</w:t>
      </w:r>
      <w:r>
        <w:rPr>
          <w:spacing w:val="-13"/>
        </w:rPr>
        <w:t xml:space="preserve"> </w:t>
      </w:r>
      <w:r>
        <w:t>must</w:t>
      </w:r>
      <w:r>
        <w:rPr>
          <w:spacing w:val="-12"/>
        </w:rPr>
        <w:t xml:space="preserve"> </w:t>
      </w:r>
      <w:r>
        <w:t>not</w:t>
      </w:r>
      <w:r>
        <w:rPr>
          <w:spacing w:val="-13"/>
        </w:rPr>
        <w:t xml:space="preserve"> </w:t>
      </w:r>
      <w:r>
        <w:t>modify</w:t>
      </w:r>
      <w:r>
        <w:rPr>
          <w:spacing w:val="-12"/>
        </w:rPr>
        <w:t xml:space="preserve"> </w:t>
      </w:r>
      <w:r>
        <w:t>any</w:t>
      </w:r>
      <w:r>
        <w:rPr>
          <w:spacing w:val="-13"/>
        </w:rPr>
        <w:t xml:space="preserve"> </w:t>
      </w:r>
      <w:r>
        <w:rPr>
          <w:spacing w:val="-6"/>
        </w:rPr>
        <w:t xml:space="preserve">of </w:t>
      </w:r>
      <w:r>
        <w:t xml:space="preserve">the styles, spaces or margins. </w:t>
      </w:r>
    </w:p>
    <w:p w14:paraId="3E196010" w14:textId="26CCA04D" w:rsidR="005C066F" w:rsidRDefault="001E14FD" w:rsidP="00246FB3">
      <w:pPr>
        <w:pStyle w:val="I3M-BodyText"/>
      </w:pPr>
      <w:r>
        <w:t>British</w:t>
      </w:r>
      <w:r w:rsidR="00F241BC">
        <w:t xml:space="preserve"> or American</w:t>
      </w:r>
      <w:r>
        <w:t xml:space="preserve"> English spelling and punctuation </w:t>
      </w:r>
      <w:r w:rsidR="00F241BC">
        <w:t>can be used but not a mix</w:t>
      </w:r>
      <w:r>
        <w:t>.</w:t>
      </w:r>
    </w:p>
    <w:p w14:paraId="5D4CA6F6" w14:textId="13C8FA41" w:rsidR="00ED4171" w:rsidRPr="00ED4171" w:rsidRDefault="001E14FD" w:rsidP="00275C75">
      <w:pPr>
        <w:pStyle w:val="I3M-Subsection-Headings"/>
      </w:pPr>
      <w:r>
        <w:lastRenderedPageBreak/>
        <w:t>Sectional</w:t>
      </w:r>
      <w:r w:rsidRPr="00ED4171">
        <w:rPr>
          <w:spacing w:val="12"/>
        </w:rPr>
        <w:t xml:space="preserve"> </w:t>
      </w:r>
      <w:r w:rsidR="00D82C97">
        <w:t>h</w:t>
      </w:r>
      <w:r w:rsidRPr="00275C75">
        <w:t>eading</w:t>
      </w:r>
      <w:r w:rsidR="00ED4171" w:rsidRPr="00275C75">
        <w:t>s</w:t>
      </w:r>
      <w:r w:rsidR="00D82C97">
        <w:t xml:space="preserve"> and body text</w:t>
      </w:r>
    </w:p>
    <w:p w14:paraId="20874537" w14:textId="2EC4D116" w:rsidR="00D579AB" w:rsidRDefault="00BC7F96" w:rsidP="00E93028">
      <w:pPr>
        <w:pStyle w:val="I3M-BodyText-AfterHeading"/>
      </w:pPr>
      <w:r w:rsidRPr="00BC7F96">
        <w:t>Section headings should be left justified, bold, with the first letter capitalized and numbered consecutively, starting with the Introduction.</w:t>
      </w:r>
      <w:r w:rsidR="00F768FC">
        <w:t xml:space="preserve"> The color of the headings is </w:t>
      </w:r>
      <w:proofErr w:type="gramStart"/>
      <w:r w:rsidR="00F768FC">
        <w:t>RGB(</w:t>
      </w:r>
      <w:proofErr w:type="gramEnd"/>
      <w:r w:rsidR="00F768FC">
        <w:t>127,0,0). For your convenience, you can copy and paste one of the sample headings in this template and rename it appropriately.</w:t>
      </w:r>
      <w:r w:rsidRPr="00BC7F96">
        <w:t xml:space="preserve"> </w:t>
      </w:r>
      <w:r w:rsidR="00D579AB">
        <w:t xml:space="preserve">Please use the style named “I3M-Section-Headings” for your </w:t>
      </w:r>
      <w:r w:rsidR="00D579AB" w:rsidRPr="00E93028">
        <w:t>first</w:t>
      </w:r>
      <w:r w:rsidR="00D579AB">
        <w:t xml:space="preserve">-level section </w:t>
      </w:r>
      <w:r w:rsidR="00D579AB" w:rsidRPr="00ED4171">
        <w:t>headings</w:t>
      </w:r>
      <w:r w:rsidR="00D579AB">
        <w:t xml:space="preserve"> and the style “I3M-Subsection-Headings” for your second-level headings.</w:t>
      </w:r>
    </w:p>
    <w:p w14:paraId="00A3795A" w14:textId="01B54925" w:rsidR="005C066F" w:rsidRPr="00ED4171" w:rsidRDefault="00D579AB" w:rsidP="00E93028">
      <w:pPr>
        <w:pStyle w:val="I3M-BodyText"/>
      </w:pPr>
      <w:r>
        <w:t>After the section headings, you are required to use the style named “I3M-</w:t>
      </w:r>
      <w:r w:rsidR="00ED4171" w:rsidRPr="00E93028">
        <w:t>BodyText</w:t>
      </w:r>
      <w:r w:rsidR="00ED4171">
        <w:t>-AfterHeading”. You can use the “I3M-BodyText” style for the remaining of your paragraph.</w:t>
      </w:r>
      <w:r w:rsidR="00BC7F96">
        <w:t xml:space="preserve"> </w:t>
      </w:r>
      <w:r w:rsidR="00D82C97">
        <w:t>This document uses Merriweather</w:t>
      </w:r>
      <w:r w:rsidR="00BC7F96" w:rsidRPr="007A2594">
        <w:t xml:space="preserve"> Font and </w:t>
      </w:r>
      <w:r w:rsidR="00D82C97">
        <w:t>9</w:t>
      </w:r>
      <w:r w:rsidR="00BC7F96" w:rsidRPr="007A2594">
        <w:t xml:space="preserve"> points in size.</w:t>
      </w:r>
      <w:r w:rsidR="00D82C97">
        <w:t xml:space="preserve"> The font is embedded in this document, but if you have issues with the embedded font, you can also download it from the following page </w:t>
      </w:r>
      <w:hyperlink r:id="rId12" w:history="1">
        <w:r w:rsidR="00D82C97" w:rsidRPr="004D2041">
          <w:rPr>
            <w:rStyle w:val="Hyperlink"/>
          </w:rPr>
          <w:t>https://fonts.google.com/specimen/Merriweather</w:t>
        </w:r>
      </w:hyperlink>
      <w:r w:rsidR="00D82C97">
        <w:t xml:space="preserve"> and install it</w:t>
      </w:r>
      <w:r w:rsidR="00BC7F96" w:rsidRPr="007A2594">
        <w:t>.</w:t>
      </w:r>
    </w:p>
    <w:p w14:paraId="1A730F25" w14:textId="77777777" w:rsidR="005C066F" w:rsidRDefault="001E14FD" w:rsidP="00E93028">
      <w:pPr>
        <w:pStyle w:val="I3M-Subsubsection-Headings"/>
      </w:pPr>
      <w:bookmarkStart w:id="3" w:name="This_is_a_3rd_level_heading"/>
      <w:bookmarkEnd w:id="3"/>
      <w:r w:rsidRPr="00E93028">
        <w:t>This</w:t>
      </w:r>
      <w:r>
        <w:t xml:space="preserve"> is a 3rd level</w:t>
      </w:r>
      <w:r>
        <w:rPr>
          <w:spacing w:val="-5"/>
        </w:rPr>
        <w:t xml:space="preserve"> </w:t>
      </w:r>
      <w:r>
        <w:t>heading</w:t>
      </w:r>
    </w:p>
    <w:p w14:paraId="0FA4A812" w14:textId="50638DF1" w:rsidR="005C066F" w:rsidRPr="00ED4171" w:rsidRDefault="00ED4171" w:rsidP="00E93028">
      <w:pPr>
        <w:pStyle w:val="I3M-BodyText-AfterHeading"/>
      </w:pPr>
      <w:r>
        <w:t>You can also use subsubsections. Please use the style named “I3M-Subsubsection-Headings” for the heading of the subsubsection.</w:t>
      </w:r>
    </w:p>
    <w:p w14:paraId="3AD07608" w14:textId="79EC874F" w:rsidR="005C066F" w:rsidRDefault="001E14FD" w:rsidP="00E93028">
      <w:pPr>
        <w:pStyle w:val="I3M-Subsection-Headings"/>
      </w:pPr>
      <w:bookmarkStart w:id="4" w:name="Citations_and_References"/>
      <w:bookmarkEnd w:id="4"/>
      <w:r>
        <w:t>Citations and</w:t>
      </w:r>
      <w:r>
        <w:rPr>
          <w:spacing w:val="-17"/>
        </w:rPr>
        <w:t xml:space="preserve"> </w:t>
      </w:r>
      <w:r w:rsidR="00680238">
        <w:t>in-text re</w:t>
      </w:r>
      <w:r>
        <w:t>ferences</w:t>
      </w:r>
    </w:p>
    <w:p w14:paraId="251E2451" w14:textId="08F8E322" w:rsidR="005C066F" w:rsidRDefault="001E14FD" w:rsidP="00317FA0">
      <w:pPr>
        <w:pStyle w:val="I3M-BodyText-AfterHeading"/>
      </w:pPr>
      <w:r>
        <w:t>This is a</w:t>
      </w:r>
      <w:r w:rsidR="00E93028">
        <w:t>n in-text</w:t>
      </w:r>
      <w:r>
        <w:t xml:space="preserve"> </w:t>
      </w:r>
      <w:r w:rsidR="00E93028">
        <w:t>reference</w:t>
      </w:r>
      <w:r>
        <w:t>: (</w:t>
      </w:r>
      <w:hyperlink w:anchor="_bookmark6" w:history="1">
        <w:r>
          <w:t>Fan and Peng</w:t>
        </w:r>
      </w:hyperlink>
      <w:r>
        <w:t xml:space="preserve">, </w:t>
      </w:r>
      <w:hyperlink w:anchor="_bookmark6" w:history="1">
        <w:r>
          <w:t>2004</w:t>
        </w:r>
      </w:hyperlink>
      <w:r>
        <w:t>) and here are two more: (</w:t>
      </w:r>
      <w:hyperlink w:anchor="_bookmark7" w:history="1">
        <w:r>
          <w:t>Cox</w:t>
        </w:r>
      </w:hyperlink>
      <w:r>
        <w:t xml:space="preserve">, </w:t>
      </w:r>
      <w:hyperlink w:anchor="_bookmark7" w:history="1">
        <w:r>
          <w:t>1972</w:t>
        </w:r>
      </w:hyperlink>
      <w:r>
        <w:t xml:space="preserve">; </w:t>
      </w:r>
      <w:hyperlink w:anchor="_bookmark8" w:history="1">
        <w:r>
          <w:t>Heard et al.</w:t>
        </w:r>
      </w:hyperlink>
      <w:r>
        <w:t xml:space="preserve">, </w:t>
      </w:r>
      <w:hyperlink w:anchor="_bookmark8" w:history="1">
        <w:r>
          <w:t>2006</w:t>
        </w:r>
      </w:hyperlink>
      <w:r>
        <w:t>).</w:t>
      </w:r>
      <w:r w:rsidR="00BD2F2B">
        <w:t xml:space="preserve"> </w:t>
      </w:r>
      <w:r w:rsidR="00BD2F2B" w:rsidRPr="00BD2F2B">
        <w:t xml:space="preserve">APA in-text citations format must be used for this paper. Please consult the following website for more information: </w:t>
      </w:r>
      <w:hyperlink r:id="rId13" w:history="1">
        <w:r w:rsidR="00317FA0" w:rsidRPr="00B2671C">
          <w:rPr>
            <w:rStyle w:val="Hyperlink"/>
          </w:rPr>
          <w:t>https://www.mendeley.com/guides/apa-citation-guide</w:t>
        </w:r>
      </w:hyperlink>
      <w:r w:rsidR="00BD2F2B" w:rsidRPr="00BD2F2B">
        <w:t>.</w:t>
      </w:r>
      <w:r w:rsidR="00317FA0">
        <w:t xml:space="preserve"> You can use the style “I3M-Hyperlink” for your URLs in the paper.</w:t>
      </w:r>
    </w:p>
    <w:p w14:paraId="10640761" w14:textId="4F960472" w:rsidR="005C066F" w:rsidRPr="00F768FC" w:rsidRDefault="00E93028" w:rsidP="00F768FC">
      <w:pPr>
        <w:pStyle w:val="I3M-BodyText"/>
      </w:pPr>
      <w:r>
        <w:t>Here’s a citation in the text.</w:t>
      </w:r>
    </w:p>
    <w:p w14:paraId="687BC072" w14:textId="1862686E" w:rsidR="005C066F" w:rsidRDefault="001E14FD" w:rsidP="00F768FC">
      <w:pPr>
        <w:pStyle w:val="I3M-Citation"/>
      </w:pPr>
      <w:r>
        <w:t xml:space="preserve">This is a quote. </w:t>
      </w:r>
      <w:r w:rsidRPr="00F768FC">
        <w:t>Lorem</w:t>
      </w:r>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w:t>
      </w:r>
      <w:r w:rsidR="00680238">
        <w:t xml:space="preserve"> Please use the “I3M-Citation” style.</w:t>
      </w:r>
    </w:p>
    <w:p w14:paraId="2402A5E6" w14:textId="77777777" w:rsidR="005C066F" w:rsidRDefault="001E14FD" w:rsidP="002A0457">
      <w:pPr>
        <w:pStyle w:val="I3M-Subsection-Headings"/>
      </w:pPr>
      <w:r>
        <w:t>Symbols and</w:t>
      </w:r>
      <w:r>
        <w:rPr>
          <w:spacing w:val="24"/>
        </w:rPr>
        <w:t xml:space="preserve"> </w:t>
      </w:r>
      <w:r>
        <w:t>Variables</w:t>
      </w:r>
    </w:p>
    <w:p w14:paraId="51F29F82" w14:textId="0694056E" w:rsidR="005C066F" w:rsidRPr="002A0457" w:rsidRDefault="001E14FD" w:rsidP="002A0457">
      <w:pPr>
        <w:pStyle w:val="I3M-BodyText-AfterHeading"/>
      </w:pPr>
      <w:r w:rsidRPr="00E579DE">
        <w:t>Scalar</w:t>
      </w:r>
      <w:r>
        <w:rPr>
          <w:spacing w:val="-7"/>
        </w:rPr>
        <w:t xml:space="preserve"> </w:t>
      </w:r>
      <w:r>
        <w:t>variable</w:t>
      </w:r>
      <w:r>
        <w:rPr>
          <w:spacing w:val="-7"/>
        </w:rPr>
        <w:t xml:space="preserve"> </w:t>
      </w:r>
      <w:r>
        <w:t>names</w:t>
      </w:r>
      <w:r>
        <w:rPr>
          <w:spacing w:val="-7"/>
        </w:rPr>
        <w:t xml:space="preserve"> </w:t>
      </w:r>
      <w:r>
        <w:t>should</w:t>
      </w:r>
      <w:r>
        <w:rPr>
          <w:spacing w:val="-7"/>
        </w:rPr>
        <w:t xml:space="preserve"> </w:t>
      </w:r>
      <w:r>
        <w:t>normally</w:t>
      </w:r>
      <w:r>
        <w:rPr>
          <w:spacing w:val="-7"/>
        </w:rPr>
        <w:t xml:space="preserve"> </w:t>
      </w:r>
      <w:r>
        <w:t>be</w:t>
      </w:r>
      <w:r>
        <w:rPr>
          <w:spacing w:val="-6"/>
        </w:rPr>
        <w:t xml:space="preserve"> </w:t>
      </w:r>
      <w:r>
        <w:t>expressed</w:t>
      </w:r>
      <w:r>
        <w:rPr>
          <w:spacing w:val="-7"/>
        </w:rPr>
        <w:t xml:space="preserve"> </w:t>
      </w:r>
      <w:r>
        <w:rPr>
          <w:spacing w:val="-6"/>
        </w:rPr>
        <w:t>us</w:t>
      </w:r>
      <w:r>
        <w:t xml:space="preserve">ing </w:t>
      </w:r>
      <w:r>
        <w:rPr>
          <w:i/>
        </w:rPr>
        <w:t>italics</w:t>
      </w:r>
      <w:r>
        <w:t>. Weights and measures should be expressed in SI units. All non-</w:t>
      </w:r>
      <w:r w:rsidRPr="00E579DE">
        <w:t>standard</w:t>
      </w:r>
      <w:r>
        <w:t xml:space="preserve"> abbreviations or </w:t>
      </w:r>
      <w:r w:rsidRPr="00E579DE">
        <w:t>symbols</w:t>
      </w:r>
      <w:r>
        <w:t xml:space="preserve"> must be defined when first mentioned, or a glossary provided.</w:t>
      </w:r>
    </w:p>
    <w:p w14:paraId="63DE10B9" w14:textId="77777777" w:rsidR="005C066F" w:rsidRDefault="001E14FD" w:rsidP="002A0457">
      <w:pPr>
        <w:pStyle w:val="I3M-Subsection-Headings"/>
      </w:pPr>
      <w:bookmarkStart w:id="5" w:name="Length_of_the_Paper"/>
      <w:bookmarkEnd w:id="5"/>
      <w:r>
        <w:t>Length of the</w:t>
      </w:r>
      <w:r>
        <w:rPr>
          <w:spacing w:val="36"/>
        </w:rPr>
        <w:t xml:space="preserve"> </w:t>
      </w:r>
      <w:r>
        <w:t>Paper</w:t>
      </w:r>
    </w:p>
    <w:p w14:paraId="59346285" w14:textId="77777777" w:rsidR="005C066F" w:rsidRDefault="001E14FD" w:rsidP="002A0457">
      <w:pPr>
        <w:pStyle w:val="I3M-BodyText-AfterHeading"/>
      </w:pPr>
      <w:r>
        <w:t>The International Program Committee will accept pa- pers up to 8 pages (2 columns).</w:t>
      </w:r>
    </w:p>
    <w:p w14:paraId="1D62596B" w14:textId="77777777" w:rsidR="005C066F" w:rsidRDefault="001E14FD" w:rsidP="002A0457">
      <w:pPr>
        <w:pStyle w:val="I3M-Subsection-Headings"/>
      </w:pPr>
      <w:bookmarkStart w:id="6" w:name="Bulleted_and_Numbered_Lists"/>
      <w:bookmarkEnd w:id="6"/>
      <w:r>
        <w:t>Bulleted and Numbered</w:t>
      </w:r>
      <w:r>
        <w:rPr>
          <w:spacing w:val="37"/>
        </w:rPr>
        <w:t xml:space="preserve"> </w:t>
      </w:r>
      <w:r>
        <w:t>Lists</w:t>
      </w:r>
    </w:p>
    <w:p w14:paraId="610D1BE9" w14:textId="77777777" w:rsidR="005C066F" w:rsidRDefault="001E14FD" w:rsidP="002A0457">
      <w:pPr>
        <w:pStyle w:val="I3M-BodyText-AfterHeading"/>
      </w:pPr>
      <w:r>
        <w:t>This is an example of a bulleted list.</w:t>
      </w:r>
    </w:p>
    <w:p w14:paraId="4EF4A2C5" w14:textId="77777777" w:rsidR="005C066F" w:rsidRDefault="001E14FD" w:rsidP="002A0457">
      <w:pPr>
        <w:pStyle w:val="I3M-BulletList"/>
      </w:pPr>
      <w:r>
        <w:t>This is a bulleted</w:t>
      </w:r>
      <w:r>
        <w:rPr>
          <w:spacing w:val="18"/>
        </w:rPr>
        <w:t xml:space="preserve"> </w:t>
      </w:r>
      <w:r>
        <w:t>list.</w:t>
      </w:r>
    </w:p>
    <w:p w14:paraId="1A153357" w14:textId="77777777" w:rsidR="005C066F" w:rsidRDefault="001E14FD" w:rsidP="002A0457">
      <w:pPr>
        <w:pStyle w:val="I3M-BulletList"/>
      </w:pPr>
      <w:r>
        <w:t>Another</w:t>
      </w:r>
      <w:r>
        <w:rPr>
          <w:spacing w:val="15"/>
        </w:rPr>
        <w:t xml:space="preserve"> </w:t>
      </w:r>
      <w:r>
        <w:t>point.</w:t>
      </w:r>
    </w:p>
    <w:p w14:paraId="3A5F46EE" w14:textId="77777777" w:rsidR="005C066F" w:rsidRDefault="001E14FD" w:rsidP="002A0457">
      <w:pPr>
        <w:pStyle w:val="I3M-BulletList"/>
      </w:pPr>
      <w:r>
        <w:t>A third</w:t>
      </w:r>
      <w:r>
        <w:rPr>
          <w:spacing w:val="-13"/>
        </w:rPr>
        <w:t xml:space="preserve"> </w:t>
      </w:r>
      <w:r>
        <w:t>point.</w:t>
      </w:r>
    </w:p>
    <w:p w14:paraId="7430E662" w14:textId="77777777" w:rsidR="005C066F" w:rsidRDefault="001E14FD" w:rsidP="002A0457">
      <w:pPr>
        <w:pStyle w:val="I3M-BodyTex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w:t>
      </w:r>
    </w:p>
    <w:p w14:paraId="13033A36" w14:textId="77777777" w:rsidR="005C066F" w:rsidRDefault="001E14FD" w:rsidP="002A0457">
      <w:pPr>
        <w:pStyle w:val="I3M-BodyText"/>
      </w:pPr>
      <w:r>
        <w:t>This is an example of a bulleted list.</w:t>
      </w:r>
    </w:p>
    <w:p w14:paraId="7DDCDFC9" w14:textId="77777777" w:rsidR="005C066F" w:rsidRDefault="001E14FD" w:rsidP="002A0457">
      <w:pPr>
        <w:pStyle w:val="I3M-NumberedList"/>
      </w:pPr>
      <w:r>
        <w:t>This is a numbered</w:t>
      </w:r>
      <w:r>
        <w:rPr>
          <w:spacing w:val="18"/>
        </w:rPr>
        <w:t xml:space="preserve"> </w:t>
      </w:r>
      <w:r>
        <w:t>list.</w:t>
      </w:r>
    </w:p>
    <w:p w14:paraId="1D822EBD" w14:textId="77777777" w:rsidR="005C066F" w:rsidRDefault="001E14FD" w:rsidP="002A0457">
      <w:pPr>
        <w:pStyle w:val="I3M-NumberedList"/>
      </w:pPr>
      <w:r>
        <w:t>Another</w:t>
      </w:r>
      <w:r>
        <w:rPr>
          <w:spacing w:val="15"/>
        </w:rPr>
        <w:t xml:space="preserve"> </w:t>
      </w:r>
      <w:r>
        <w:t>point.</w:t>
      </w:r>
    </w:p>
    <w:p w14:paraId="29C1541D" w14:textId="2B165C7E" w:rsidR="005C066F" w:rsidRPr="002A0457" w:rsidRDefault="001E14FD" w:rsidP="002A0457">
      <w:pPr>
        <w:pStyle w:val="I3M-NumberedList"/>
      </w:pPr>
      <w:r>
        <w:t>A third</w:t>
      </w:r>
      <w:r>
        <w:rPr>
          <w:spacing w:val="-13"/>
        </w:rPr>
        <w:t xml:space="preserve"> </w:t>
      </w:r>
      <w:r>
        <w:t>point.</w:t>
      </w:r>
    </w:p>
    <w:p w14:paraId="78C4945B" w14:textId="77777777" w:rsidR="005C066F" w:rsidRDefault="001E14FD" w:rsidP="002A0457">
      <w:pPr>
        <w:pStyle w:val="I3M-Subsection-Headings"/>
      </w:pPr>
      <w:bookmarkStart w:id="7" w:name="Footnotes"/>
      <w:bookmarkEnd w:id="7"/>
      <w:r>
        <w:t>Footnotes</w:t>
      </w:r>
    </w:p>
    <w:p w14:paraId="2C62062D" w14:textId="4793C3B7" w:rsidR="002A0457" w:rsidRPr="002A0457" w:rsidRDefault="001E14FD" w:rsidP="002A0457">
      <w:pPr>
        <w:pStyle w:val="I3M-BodyText-AfterHeading"/>
      </w:pPr>
      <w:r>
        <w:t>Do not use footnotes; instead incorporate such material into the text directly or parenthetically.</w:t>
      </w:r>
    </w:p>
    <w:p w14:paraId="58498F6B" w14:textId="77777777" w:rsidR="005C066F" w:rsidRDefault="001E14FD" w:rsidP="002A0457">
      <w:pPr>
        <w:pStyle w:val="I3M-Subsection-Headings"/>
      </w:pPr>
      <w:bookmarkStart w:id="8" w:name="Figures_and_Tables"/>
      <w:bookmarkEnd w:id="8"/>
      <w:proofErr w:type="gramStart"/>
      <w:r>
        <w:t>Figures  and</w:t>
      </w:r>
      <w:proofErr w:type="gramEnd"/>
      <w:r>
        <w:rPr>
          <w:spacing w:val="-5"/>
        </w:rPr>
        <w:t xml:space="preserve"> </w:t>
      </w:r>
      <w:r>
        <w:t>Tables</w:t>
      </w:r>
    </w:p>
    <w:p w14:paraId="78E960AC" w14:textId="72C2F44E" w:rsidR="002A0457" w:rsidRDefault="001E14FD" w:rsidP="00A67517">
      <w:pPr>
        <w:pStyle w:val="I3M-BodyText-AfterHeading"/>
      </w:pPr>
      <w:r>
        <w:t xml:space="preserve">All figures and tables </w:t>
      </w:r>
      <w:r w:rsidR="002A0457">
        <w:t>must</w:t>
      </w:r>
      <w:r>
        <w:t xml:space="preserve"> be numbered with </w:t>
      </w:r>
      <w:r>
        <w:rPr>
          <w:spacing w:val="-3"/>
        </w:rPr>
        <w:t>Arabic</w:t>
      </w:r>
      <w:r>
        <w:rPr>
          <w:spacing w:val="36"/>
        </w:rPr>
        <w:t xml:space="preserve"> </w:t>
      </w:r>
      <w:r>
        <w:t>numerals</w:t>
      </w:r>
      <w:r w:rsidR="002A0457">
        <w:t>,</w:t>
      </w:r>
      <w:r>
        <w:t xml:space="preserve"> have a</w:t>
      </w:r>
      <w:r>
        <w:rPr>
          <w:spacing w:val="18"/>
        </w:rPr>
        <w:t xml:space="preserve"> </w:t>
      </w:r>
      <w:r>
        <w:t>caption</w:t>
      </w:r>
      <w:r w:rsidR="002A0457">
        <w:t xml:space="preserve"> and must be mentioned in the text</w:t>
      </w:r>
      <w:r>
        <w:t xml:space="preserve">, e.g. Figure </w:t>
      </w:r>
      <w:hyperlink w:anchor="_bookmark0" w:history="1">
        <w:r>
          <w:t xml:space="preserve">1 </w:t>
        </w:r>
      </w:hyperlink>
      <w:r>
        <w:t xml:space="preserve">and Table </w:t>
      </w:r>
      <w:hyperlink w:anchor="_bookmark1" w:history="1">
        <w:r>
          <w:t>1</w:t>
        </w:r>
      </w:hyperlink>
      <w:r>
        <w:t xml:space="preserve">. </w:t>
      </w:r>
      <w:r w:rsidRPr="008636A2">
        <w:t xml:space="preserve">If you have a very wide table or figure, </w:t>
      </w:r>
      <w:r w:rsidR="00A67517">
        <w:t>please see</w:t>
      </w:r>
      <w:r w:rsidR="002A0457" w:rsidRPr="008636A2">
        <w:t xml:space="preserve"> Figure 2 or Table 2. A </w:t>
      </w:r>
      <w:r w:rsidR="00A67517">
        <w:t>section</w:t>
      </w:r>
      <w:r w:rsidR="002A0457" w:rsidRPr="008636A2">
        <w:t xml:space="preserve"> break </w:t>
      </w:r>
      <w:r w:rsidR="00A67517">
        <w:t>should</w:t>
      </w:r>
      <w:r w:rsidR="002A0457" w:rsidRPr="008636A2">
        <w:t xml:space="preserve"> be inserted immediately</w:t>
      </w:r>
      <w:r w:rsidR="008636A2" w:rsidRPr="008636A2">
        <w:t xml:space="preserve"> </w:t>
      </w:r>
      <w:r w:rsidR="002A0457" w:rsidRPr="008636A2">
        <w:t xml:space="preserve">before and after the </w:t>
      </w:r>
      <w:r w:rsidR="00A67517">
        <w:t>figure or table and use a 1-column layout</w:t>
      </w:r>
      <w:r w:rsidR="002A0457" w:rsidRPr="008636A2">
        <w:t>, so you’ll need to carefully position it in a suitable location in your manuscript.</w:t>
      </w:r>
    </w:p>
    <w:p w14:paraId="3C234C12" w14:textId="312A3292" w:rsidR="003D0F37" w:rsidRDefault="003D0F37" w:rsidP="003D0F37">
      <w:pPr>
        <w:pStyle w:val="I3M-BodyText"/>
      </w:pPr>
    </w:p>
    <w:p w14:paraId="1410B713" w14:textId="0B153583" w:rsidR="003D0F37" w:rsidRDefault="003D0F37" w:rsidP="003D0F37">
      <w:pPr>
        <w:pStyle w:val="I3M-BodyText-AfterHeading"/>
      </w:pPr>
      <w:r w:rsidRPr="00756CF3">
        <w:t>spaces between references. Please use “</w:t>
      </w:r>
      <w:r>
        <w:t>I3M-</w:t>
      </w:r>
      <w:r w:rsidRPr="00756CF3">
        <w:t>Reference” style.</w:t>
      </w:r>
    </w:p>
    <w:p w14:paraId="18799350" w14:textId="2BC05E7E" w:rsidR="003D0F37" w:rsidRPr="003D0F37" w:rsidRDefault="003D0F37" w:rsidP="003D0F37">
      <w:pPr>
        <w:rPr>
          <w:sz w:val="18"/>
          <w:szCs w:val="18"/>
        </w:rPr>
      </w:pPr>
      <w:r>
        <w:br w:type="page"/>
      </w:r>
    </w:p>
    <w:p w14:paraId="604C1E14" w14:textId="049AEDC3" w:rsidR="003D0F37" w:rsidRDefault="003D0F37" w:rsidP="003D0F37">
      <w:pPr>
        <w:pStyle w:val="I3M-Section-Headings"/>
      </w:pPr>
      <w:r>
        <w:lastRenderedPageBreak/>
        <w:t>TBSE: Threaded BSE</w:t>
      </w:r>
    </w:p>
    <w:p w14:paraId="284B7156" w14:textId="7B2B2540" w:rsidR="003D0F37" w:rsidRPr="003D0F37" w:rsidRDefault="003D0F37" w:rsidP="003D0F37">
      <w:pPr>
        <w:pStyle w:val="I3M-BodyText"/>
      </w:pPr>
      <w:r w:rsidRPr="003D0F37">
        <w:t xml:space="preserve">Much of the functionality of the Threaded Bristol Stock Exchange (TBSE) was directly borrowed from the original Bristol Stock Exchange (BSE). The key changes are contained in the way each market session operates. In BSE, each market session is executed on a single thread on which a loop executes repeatedly until the session time is exceeded. Within this loop a random trader is selected, their </w:t>
      </w:r>
      <w:proofErr w:type="spellStart"/>
      <w:proofErr w:type="gramStart"/>
      <w:r w:rsidRPr="003D0F37">
        <w:t>getorder</w:t>
      </w:r>
      <w:proofErr w:type="spellEnd"/>
      <w:r w:rsidRPr="003D0F37">
        <w:t>(</w:t>
      </w:r>
      <w:proofErr w:type="gramEnd"/>
      <w:r w:rsidRPr="003D0F37">
        <w:t>) function executed, then if an order is generated this is processed by the exchange and each trader is given an opportunity to update their internal values with the new information. </w:t>
      </w:r>
    </w:p>
    <w:p w14:paraId="65E4AA0E" w14:textId="4140F2E0" w:rsidR="003D0F37" w:rsidRPr="003D0F37" w:rsidRDefault="003D0F37" w:rsidP="003D0F37">
      <w:pPr>
        <w:pStyle w:val="I3M-BodyText"/>
      </w:pPr>
      <w:r w:rsidRPr="003D0F37">
        <w:t xml:space="preserve">The problem with this style of simulation is that each trader is allotted as much time as it needs to execute its </w:t>
      </w:r>
      <w:proofErr w:type="spellStart"/>
      <w:proofErr w:type="gramStart"/>
      <w:r w:rsidRPr="003D0F37">
        <w:t>getorder</w:t>
      </w:r>
      <w:proofErr w:type="spellEnd"/>
      <w:r w:rsidRPr="003D0F37">
        <w:t>(</w:t>
      </w:r>
      <w:proofErr w:type="gramEnd"/>
      <w:r w:rsidRPr="003D0F37">
        <w:t>) function, and it is guaranteed that nothing on the Limit Order Book (LOB) will change as it executes this function. This means that the execution time of each trader has no impact on its performance, simply its ability to generate an order price that will be accepted by another trader, whilst generating the greatest profit. This differs from a real financial exchange where all traders operating on the market will be operating asynchronously. In an asynchronous market, a trader may look at the LOB, which is the currently available information on that market, and use this to calculate what it considers an optimum order price to send to the exchange. However, if this trader uses a complex, slow running algorithm to do so, it may find that by the time it has completed its calculation, another simpler and faster trader has already succeeded in executing a trade, which as a result changes the position of the market which may render the order than the complex trader has posted less profitable than expected. </w:t>
      </w:r>
    </w:p>
    <w:p w14:paraId="52645970" w14:textId="56D90EC6" w:rsidR="003D0F37" w:rsidRPr="003D0F37" w:rsidRDefault="003D0F37" w:rsidP="003D0F37">
      <w:pPr>
        <w:pStyle w:val="I3M-BodyText"/>
        <w:rPr>
          <w:rFonts w:ascii="Calibri" w:eastAsia="Times New Roman" w:hAnsi="Calibri" w:cs="Calibri"/>
          <w:color w:val="000000"/>
          <w:lang w:val="en-GB" w:eastAsia="en-GB"/>
        </w:rPr>
      </w:pPr>
      <w:r w:rsidRPr="003D0F37">
        <w:rPr>
          <w:rFonts w:ascii="Calibri" w:eastAsia="Times New Roman" w:hAnsi="Calibri" w:cs="Calibri"/>
          <w:color w:val="000000"/>
          <w:lang w:val="en-GB" w:eastAsia="en-GB"/>
        </w:rPr>
        <w:t xml:space="preserve">The solution to this problem is to create an asynchronous exchange simulator, this is what TBSE means to do. In TBSE each trader executes on its own computational thread, as does the exchange. There is also the main thread of the Python code which continues to run during the market session and is responsible for the distribution of customer orders to each of the traders. Each trader thread consists of a loop which executes continuously until the end of the trading session. Within this loop the trader first receives information of trades which have been successfully executed by the exchange, it then updates its own internal record keeping if any of these trades involved itself and executes its </w:t>
      </w:r>
      <w:proofErr w:type="gramStart"/>
      <w:r w:rsidRPr="003D0F37">
        <w:rPr>
          <w:rFonts w:ascii="Calibri" w:eastAsia="Times New Roman" w:hAnsi="Calibri" w:cs="Calibri"/>
          <w:color w:val="000000"/>
          <w:lang w:val="en-GB" w:eastAsia="en-GB"/>
        </w:rPr>
        <w:t>respond(</w:t>
      </w:r>
      <w:proofErr w:type="gramEnd"/>
      <w:r w:rsidRPr="003D0F37">
        <w:rPr>
          <w:rFonts w:ascii="Calibri" w:eastAsia="Times New Roman" w:hAnsi="Calibri" w:cs="Calibri"/>
          <w:color w:val="000000"/>
          <w:lang w:val="en-GB" w:eastAsia="en-GB"/>
        </w:rPr>
        <w:t xml:space="preserve">) </w:t>
      </w:r>
      <w:r w:rsidRPr="003D0F37">
        <w:t>function</w:t>
      </w:r>
      <w:r w:rsidRPr="003D0F37">
        <w:rPr>
          <w:rFonts w:ascii="Calibri" w:eastAsia="Times New Roman" w:hAnsi="Calibri" w:cs="Calibri"/>
          <w:color w:val="000000"/>
          <w:lang w:val="en-GB" w:eastAsia="en-GB"/>
        </w:rPr>
        <w:t xml:space="preserve"> to </w:t>
      </w:r>
      <w:r w:rsidRPr="003D0F37">
        <w:t>update</w:t>
      </w:r>
      <w:r w:rsidRPr="003D0F37">
        <w:rPr>
          <w:rFonts w:ascii="Calibri" w:eastAsia="Times New Roman" w:hAnsi="Calibri" w:cs="Calibri"/>
          <w:color w:val="000000"/>
          <w:lang w:val="en-GB" w:eastAsia="en-GB"/>
        </w:rPr>
        <w:t xml:space="preserve"> its internal variables based on the new LOB. Once it is </w:t>
      </w:r>
      <w:r w:rsidRPr="003D0F37">
        <w:t>updated</w:t>
      </w:r>
      <w:r w:rsidRPr="003D0F37">
        <w:rPr>
          <w:rFonts w:ascii="Calibri" w:eastAsia="Times New Roman" w:hAnsi="Calibri" w:cs="Calibri"/>
          <w:color w:val="000000"/>
          <w:lang w:val="en-GB" w:eastAsia="en-GB"/>
        </w:rPr>
        <w:t xml:space="preserve"> with the latest version of the LOB it then executes its </w:t>
      </w:r>
      <w:proofErr w:type="spellStart"/>
      <w:proofErr w:type="gramStart"/>
      <w:r w:rsidRPr="003D0F37">
        <w:rPr>
          <w:rFonts w:ascii="Calibri" w:eastAsia="Times New Roman" w:hAnsi="Calibri" w:cs="Calibri"/>
          <w:color w:val="000000"/>
          <w:lang w:val="en-GB" w:eastAsia="en-GB"/>
        </w:rPr>
        <w:t>getorder</w:t>
      </w:r>
      <w:proofErr w:type="spellEnd"/>
      <w:r w:rsidRPr="003D0F37">
        <w:rPr>
          <w:rFonts w:ascii="Calibri" w:eastAsia="Times New Roman" w:hAnsi="Calibri" w:cs="Calibri"/>
          <w:color w:val="000000"/>
          <w:lang w:val="en-GB" w:eastAsia="en-GB"/>
        </w:rPr>
        <w:t>(</w:t>
      </w:r>
      <w:proofErr w:type="gramEnd"/>
      <w:r w:rsidRPr="003D0F37">
        <w:rPr>
          <w:rFonts w:ascii="Calibri" w:eastAsia="Times New Roman" w:hAnsi="Calibri" w:cs="Calibri"/>
          <w:color w:val="000000"/>
          <w:lang w:val="en-GB" w:eastAsia="en-GB"/>
        </w:rPr>
        <w:t>) function which determines whether it should post a new order to the exchange, and if so at what price. This order is then put on a queue to be sent to the exchange. </w:t>
      </w:r>
    </w:p>
    <w:p w14:paraId="6A90CB67" w14:textId="18D3A3E2" w:rsidR="003D0F37" w:rsidRDefault="003D0F37" w:rsidP="003D0F37">
      <w:pPr>
        <w:pStyle w:val="I3M-BodyText"/>
      </w:pPr>
      <w:r w:rsidRPr="003D0F37">
        <w:t>The exchange operates on the opposite of this queue, reading orders from the queue and then processing them by either adding them to the LOB or executing a trade if the order price "crosses the spread", meaning for a buy order the order price is higher than the current best ask price or vice versa for a sell order. If a trade can be executed it then places the details of this order onto a queue for each trader to read before submitting its next order. The system for processing orders and trades is almost identical to that of BSE.  </w:t>
      </w:r>
    </w:p>
    <w:p w14:paraId="720696C3" w14:textId="0B8C1A25" w:rsidR="003D0F37" w:rsidRPr="003D0F37" w:rsidRDefault="003D0F37" w:rsidP="003D0F37">
      <w:pPr>
        <w:pStyle w:val="I3M-Subsection-Headings"/>
      </w:pPr>
      <w:r>
        <w:t>Python Multi-Threading</w:t>
      </w:r>
    </w:p>
    <w:p w14:paraId="0CC7A71B" w14:textId="2A958FF6" w:rsidR="003D0F37" w:rsidRPr="003D0F37" w:rsidRDefault="003D0F37" w:rsidP="003D0F37">
      <w:pPr>
        <w:pStyle w:val="I3M-BodyText"/>
      </w:pPr>
      <w:r w:rsidRPr="003D0F37">
        <w:t xml:space="preserve">Multi-threading is where a processor can operate multiple threads of execution concurrently. This differs from multi-processing, which Python also supports, where different processes execute simultaneously. Both are forms of parallelism, but where in multi-processor programming multiple processes are </w:t>
      </w:r>
      <w:r w:rsidRPr="003D0F37">
        <w:t>executing at the same time on different processors, only one thread can execute and any one time. The execution of each thread is divided into short segments and the processor regularly switches between each thread for a short period of time, allowing the appearance that all threads are executing at the same time. It is not guaranteed that each thread will be given the exact same amount of execution time during each cycle, but over the course of an entire program, which may involve millions of cycles, the execution time given to each thread should tend towards the same value. In TBSE this means that each trader is given the same amount of processing time, so a faster algorithm can complete its execution and start processing a second order while a slower algorithm is still calculating its first order price. In Python, the execution of threads is synchronised by a Global Interpreter Lock (GIL) which ensures that only one thread is executing at a time. Multi-threading was chosen over multi-processing as most general</w:t>
      </w:r>
      <w:r>
        <w:t>-</w:t>
      </w:r>
      <w:r w:rsidRPr="003D0F37">
        <w:t xml:space="preserve">purpose CPUs have at 8 processing cores, which as 40 traders are needed for each experiment on TBSE does not give a significant </w:t>
      </w:r>
      <w:proofErr w:type="gramStart"/>
      <w:r w:rsidRPr="003D0F37">
        <w:t>benefit, and</w:t>
      </w:r>
      <w:proofErr w:type="gramEnd"/>
      <w:r w:rsidRPr="003D0F37">
        <w:t xml:space="preserve"> adds increased complication to the development process. </w:t>
      </w:r>
    </w:p>
    <w:p w14:paraId="62627D8B" w14:textId="77777777" w:rsidR="003D0F37" w:rsidRPr="003D0F37" w:rsidRDefault="003D0F37" w:rsidP="003D0F37">
      <w:pPr>
        <w:pStyle w:val="I3M-BodyText"/>
      </w:pPr>
      <w:r w:rsidRPr="003D0F37">
        <w:t>The queues used within TBSE are synchronous first in, first out (FIFO) queues, meaning that the trader who places an order on the exchange queue first will have their order processed first. This is a good simulation of real exchange behaviour as it is standard for exchanges to prioritise orders by their time of arrival.</w:t>
      </w:r>
    </w:p>
    <w:p w14:paraId="1196D131" w14:textId="77777777" w:rsidR="003D0F37" w:rsidRDefault="003D0F37" w:rsidP="003D0F37">
      <w:pPr>
        <w:pStyle w:val="I3M-BodyText"/>
      </w:pPr>
    </w:p>
    <w:p w14:paraId="78790911" w14:textId="77777777" w:rsidR="003D0F37" w:rsidRPr="003D0F37" w:rsidRDefault="003D0F37" w:rsidP="003D0F37">
      <w:pPr>
        <w:rPr>
          <w:rFonts w:ascii="Calibri" w:hAnsi="Calibri" w:cs="Calibri"/>
          <w:color w:val="000000"/>
          <w:sz w:val="18"/>
          <w:szCs w:val="18"/>
        </w:rPr>
      </w:pPr>
      <w:r w:rsidRPr="003D0F37">
        <w:rPr>
          <w:rFonts w:ascii="Calibri" w:hAnsi="Calibri" w:cs="Calibri"/>
          <w:color w:val="000000"/>
          <w:sz w:val="18"/>
          <w:szCs w:val="18"/>
        </w:rPr>
        <w:t>\</w:t>
      </w:r>
      <w:proofErr w:type="gramStart"/>
      <w:r w:rsidRPr="003D0F37">
        <w:rPr>
          <w:rFonts w:ascii="Calibri" w:hAnsi="Calibri" w:cs="Calibri"/>
          <w:color w:val="000000"/>
          <w:sz w:val="18"/>
          <w:szCs w:val="18"/>
        </w:rPr>
        <w:t>subsection{</w:t>
      </w:r>
      <w:proofErr w:type="gramEnd"/>
      <w:r w:rsidRPr="003D0F37">
        <w:rPr>
          <w:rFonts w:ascii="Calibri" w:hAnsi="Calibri" w:cs="Calibri"/>
          <w:color w:val="000000"/>
          <w:sz w:val="18"/>
          <w:szCs w:val="18"/>
        </w:rPr>
        <w:t>Supply and Demand Schedules}</w:t>
      </w:r>
    </w:p>
    <w:p w14:paraId="565DD99F" w14:textId="77777777" w:rsidR="003D0F37" w:rsidRPr="003D0F37" w:rsidRDefault="003D0F37" w:rsidP="003D0F37">
      <w:pPr>
        <w:rPr>
          <w:rFonts w:ascii="Calibri" w:hAnsi="Calibri" w:cs="Calibri"/>
          <w:color w:val="000000"/>
          <w:sz w:val="18"/>
          <w:szCs w:val="18"/>
        </w:rPr>
      </w:pPr>
    </w:p>
    <w:p w14:paraId="697279C2" w14:textId="1BE3A9B0" w:rsidR="003D0F37" w:rsidRDefault="003D0F37" w:rsidP="003D0F37">
      <w:pPr>
        <w:pStyle w:val="I3M-BodyText"/>
        <w:rPr>
          <w:rFonts w:ascii="Calibri" w:eastAsia="Times New Roman" w:hAnsi="Calibri" w:cs="Calibri"/>
          <w:color w:val="000000"/>
          <w:lang w:val="en-GB" w:eastAsia="en-GB"/>
        </w:rPr>
      </w:pPr>
      <w:r w:rsidRPr="003D0F37">
        <w:rPr>
          <w:rFonts w:ascii="Calibri" w:eastAsia="Times New Roman" w:hAnsi="Calibri" w:cs="Calibri"/>
          <w:color w:val="000000"/>
          <w:lang w:val="en-GB" w:eastAsia="en-GB"/>
        </w:rPr>
        <w:t xml:space="preserve">In previous work exploring trading agents, such as Das \&amp; </w:t>
      </w:r>
      <w:proofErr w:type="spellStart"/>
      <w:r w:rsidRPr="003D0F37">
        <w:rPr>
          <w:rFonts w:ascii="Calibri" w:eastAsia="Times New Roman" w:hAnsi="Calibri" w:cs="Calibri"/>
          <w:color w:val="000000"/>
          <w:lang w:val="en-GB" w:eastAsia="en-GB"/>
        </w:rPr>
        <w:t>Tesauro</w:t>
      </w:r>
      <w:proofErr w:type="spellEnd"/>
      <w:r w:rsidRPr="003D0F37">
        <w:rPr>
          <w:rFonts w:ascii="Calibri" w:eastAsia="Times New Roman" w:hAnsi="Calibri" w:cs="Calibri"/>
          <w:color w:val="000000"/>
          <w:lang w:val="en-GB" w:eastAsia="en-GB"/>
        </w:rPr>
        <w:t xml:space="preserve"> '01, it has been common practice to draw limit prices from a fixed uniform random distribution. In </w:t>
      </w:r>
      <w:proofErr w:type="spellStart"/>
      <w:r w:rsidRPr="003D0F37">
        <w:rPr>
          <w:rFonts w:ascii="Calibri" w:eastAsia="Times New Roman" w:hAnsi="Calibri" w:cs="Calibri"/>
          <w:color w:val="000000"/>
          <w:lang w:val="en-GB" w:eastAsia="en-GB"/>
        </w:rPr>
        <w:t>Vytelingum</w:t>
      </w:r>
      <w:proofErr w:type="spellEnd"/>
      <w:r w:rsidRPr="003D0F37">
        <w:rPr>
          <w:rFonts w:ascii="Calibri" w:eastAsia="Times New Roman" w:hAnsi="Calibri" w:cs="Calibri"/>
          <w:color w:val="000000"/>
          <w:lang w:val="en-GB" w:eastAsia="en-GB"/>
        </w:rPr>
        <w:t xml:space="preserve"> '06, for simple market experiments, experiments were run using limit prices produced by four separate static supply and demand schedules (SDS), this method was later reused in </w:t>
      </w:r>
      <w:proofErr w:type="spellStart"/>
      <w:r w:rsidRPr="003D0F37">
        <w:rPr>
          <w:rFonts w:ascii="Calibri" w:eastAsia="Times New Roman" w:hAnsi="Calibri" w:cs="Calibri"/>
          <w:color w:val="000000"/>
          <w:lang w:val="en-GB" w:eastAsia="en-GB"/>
        </w:rPr>
        <w:t>Snashall</w:t>
      </w:r>
      <w:proofErr w:type="spellEnd"/>
      <w:r w:rsidRPr="003D0F37">
        <w:rPr>
          <w:rFonts w:ascii="Calibri" w:eastAsia="Times New Roman" w:hAnsi="Calibri" w:cs="Calibri"/>
          <w:color w:val="000000"/>
          <w:lang w:val="en-GB" w:eastAsia="en-GB"/>
        </w:rPr>
        <w:t xml:space="preserve"> \&amp; Cliff '19. This allowed research into how different trading algorithms responded to different SDS. In the experiments ran for this paper, each experiment was made up of 5 random SDS each being used to generate limit prices for 100 trading periods. This was done as it is impossible to know the true underlying supply and demand curves for a market, so if a trading algorithm is optimised for a particular SDS, the results of that experiment may not reflect the way the traders would under most circumstances. Each SDS is generated from a random minimum value between 0 and 100 and a </w:t>
      </w:r>
      <w:proofErr w:type="gramStart"/>
      <w:r w:rsidRPr="003D0F37">
        <w:rPr>
          <w:rFonts w:ascii="Calibri" w:eastAsia="Times New Roman" w:hAnsi="Calibri" w:cs="Calibri"/>
          <w:color w:val="000000"/>
          <w:lang w:val="en-GB" w:eastAsia="en-GB"/>
        </w:rPr>
        <w:t>random maximum values</w:t>
      </w:r>
      <w:proofErr w:type="gramEnd"/>
      <w:r w:rsidRPr="003D0F37">
        <w:rPr>
          <w:rFonts w:ascii="Calibri" w:eastAsia="Times New Roman" w:hAnsi="Calibri" w:cs="Calibri"/>
          <w:color w:val="000000"/>
          <w:lang w:val="en-GB" w:eastAsia="en-GB"/>
        </w:rPr>
        <w:t xml:space="preserve"> between 100 and 200, this ensures that the resulting supply curve is ascending, and the demand curve is descending, as is standard in financial markets. Limit prices from these schedules were selected at fixed intervals between the maximum and minimum prices.</w:t>
      </w:r>
    </w:p>
    <w:p w14:paraId="07F18574" w14:textId="41B160EC" w:rsidR="00EF0F4F" w:rsidRDefault="00EF0F4F" w:rsidP="003D0F37">
      <w:pPr>
        <w:pStyle w:val="I3M-BodyText"/>
        <w:rPr>
          <w:rFonts w:ascii="Calibri" w:eastAsia="Times New Roman" w:hAnsi="Calibri" w:cs="Calibri"/>
          <w:color w:val="000000"/>
          <w:lang w:val="en-GB" w:eastAsia="en-GB"/>
        </w:rPr>
      </w:pPr>
    </w:p>
    <w:p w14:paraId="4CE00969" w14:textId="49D5EC84" w:rsidR="00DA0F6B" w:rsidRDefault="00DA0F6B" w:rsidP="003D0F37">
      <w:pPr>
        <w:pStyle w:val="I3M-BodyText"/>
        <w:rPr>
          <w:rFonts w:ascii="Calibri" w:eastAsia="Times New Roman" w:hAnsi="Calibri" w:cs="Calibri"/>
          <w:color w:val="000000"/>
          <w:lang w:val="en-GB" w:eastAsia="en-GB"/>
        </w:rPr>
      </w:pPr>
    </w:p>
    <w:p w14:paraId="2EDF68F5" w14:textId="4BCA5326" w:rsidR="00DA0F6B" w:rsidRDefault="00DA0F6B" w:rsidP="003D0F37">
      <w:pPr>
        <w:pStyle w:val="I3M-BodyText"/>
        <w:rPr>
          <w:rFonts w:ascii="Calibri" w:eastAsia="Times New Roman" w:hAnsi="Calibri" w:cs="Calibri"/>
          <w:color w:val="000000"/>
          <w:lang w:val="en-GB" w:eastAsia="en-GB"/>
        </w:rPr>
      </w:pPr>
    </w:p>
    <w:p w14:paraId="2BE4B1F9" w14:textId="7F8C56C6" w:rsidR="00DA0F6B" w:rsidRDefault="00DA0F6B" w:rsidP="003D0F37">
      <w:pPr>
        <w:pStyle w:val="I3M-BodyText"/>
        <w:rPr>
          <w:rFonts w:ascii="Calibri" w:eastAsia="Times New Roman" w:hAnsi="Calibri" w:cs="Calibri"/>
          <w:color w:val="000000"/>
          <w:lang w:val="en-GB" w:eastAsia="en-GB"/>
        </w:rPr>
      </w:pPr>
    </w:p>
    <w:p w14:paraId="45E9E869" w14:textId="3985CF00" w:rsidR="00DA0F6B" w:rsidRDefault="00DA0F6B" w:rsidP="003D0F37">
      <w:pPr>
        <w:pStyle w:val="I3M-BodyText"/>
        <w:rPr>
          <w:rFonts w:ascii="Calibri" w:eastAsia="Times New Roman" w:hAnsi="Calibri" w:cs="Calibri"/>
          <w:color w:val="000000"/>
          <w:lang w:val="en-GB" w:eastAsia="en-GB"/>
        </w:rPr>
      </w:pPr>
    </w:p>
    <w:p w14:paraId="5D62F815" w14:textId="38D4299A" w:rsidR="00DA0F6B" w:rsidRDefault="00DA0F6B" w:rsidP="003D0F37">
      <w:pPr>
        <w:pStyle w:val="I3M-BodyText"/>
        <w:rPr>
          <w:rFonts w:ascii="Calibri" w:eastAsia="Times New Roman" w:hAnsi="Calibri" w:cs="Calibri"/>
          <w:color w:val="000000"/>
          <w:lang w:val="en-GB" w:eastAsia="en-GB"/>
        </w:rPr>
      </w:pPr>
    </w:p>
    <w:p w14:paraId="3E4CC8F8" w14:textId="22C6ABA3" w:rsidR="00DA0F6B" w:rsidRDefault="00DA0F6B" w:rsidP="003D0F37">
      <w:pPr>
        <w:pStyle w:val="I3M-BodyText"/>
        <w:rPr>
          <w:rFonts w:ascii="Calibri" w:eastAsia="Times New Roman" w:hAnsi="Calibri" w:cs="Calibri"/>
          <w:color w:val="000000"/>
          <w:lang w:val="en-GB" w:eastAsia="en-GB"/>
        </w:rPr>
      </w:pPr>
    </w:p>
    <w:p w14:paraId="3AB34204" w14:textId="77777777" w:rsidR="00DA0F6B" w:rsidRDefault="00DA0F6B" w:rsidP="003D0F37">
      <w:pPr>
        <w:pStyle w:val="I3M-BodyText"/>
        <w:rPr>
          <w:rFonts w:ascii="Calibri" w:eastAsia="Times New Roman" w:hAnsi="Calibri" w:cs="Calibri"/>
          <w:color w:val="000000"/>
          <w:lang w:val="en-GB" w:eastAsia="en-GB"/>
        </w:rPr>
      </w:pPr>
    </w:p>
    <w:p w14:paraId="1933E8F4" w14:textId="0F9827F7" w:rsidR="00EF0F4F" w:rsidRDefault="00EF0F4F" w:rsidP="00EF0F4F">
      <w:pPr>
        <w:pStyle w:val="I3M-Section-Headings"/>
      </w:pPr>
      <w:r>
        <w:lastRenderedPageBreak/>
        <w:t>Results</w:t>
      </w:r>
    </w:p>
    <w:p w14:paraId="35445314" w14:textId="0CBC673D" w:rsidR="00EF0F4F" w:rsidRDefault="00DA0F6B" w:rsidP="00EF0F4F">
      <w:pPr>
        <w:pStyle w:val="I3M-BodyText"/>
      </w:pPr>
      <w:r>
        <w:t xml:space="preserve">Table 1 shows a high-level summary of our results for </w:t>
      </w:r>
      <w:proofErr w:type="spellStart"/>
      <w:r>
        <w:t>AAvsZIC</w:t>
      </w:r>
      <w:proofErr w:type="spellEnd"/>
      <w:r>
        <w:t xml:space="preserve">, </w:t>
      </w:r>
      <w:proofErr w:type="spellStart"/>
      <w:r>
        <w:t>AAvsZIP</w:t>
      </w:r>
      <w:proofErr w:type="spellEnd"/>
      <w:r>
        <w:t xml:space="preserve">, </w:t>
      </w:r>
      <w:proofErr w:type="spellStart"/>
      <w:r>
        <w:t>GDXvsZIC</w:t>
      </w:r>
      <w:proofErr w:type="spellEnd"/>
      <w:r>
        <w:t xml:space="preserve">, and </w:t>
      </w:r>
      <w:proofErr w:type="spellStart"/>
      <w:r>
        <w:t>GDXvsZIP</w:t>
      </w:r>
      <w:proofErr w:type="spellEnd"/>
      <w:r>
        <w:t>. Characteri</w:t>
      </w:r>
      <w:r w:rsidR="000B3A6D">
        <w:t>z</w:t>
      </w:r>
      <w:r>
        <w:t xml:space="preserve">ing each of these four experiments as Algorithm A vs Algorithm B, the central subtable of Table 1 shows the count of </w:t>
      </w:r>
      <w:r w:rsidR="00FF04DF">
        <w:t>"</w:t>
      </w:r>
      <w:r>
        <w:t>wins</w:t>
      </w:r>
      <w:r w:rsidR="00FF04DF">
        <w:t>"</w:t>
      </w:r>
      <w:r>
        <w:t xml:space="preserve"> for A and the count of wins for B in BSE, with the higher of the two counts highlighted in bold</w:t>
      </w:r>
      <w:r w:rsidR="003F0925">
        <w:t xml:space="preserve"> font</w:t>
      </w:r>
      <w:r>
        <w:t xml:space="preserve">; and then the right-hand </w:t>
      </w:r>
      <w:proofErr w:type="spellStart"/>
      <w:r>
        <w:t>subtable</w:t>
      </w:r>
      <w:proofErr w:type="spellEnd"/>
      <w:r>
        <w:t xml:space="preserve"> of Table 2 shows the corresponding win-counts for A and for B operating instead in TBSE, again with the </w:t>
      </w:r>
      <w:r w:rsidR="003F0925">
        <w:t xml:space="preserve">higher value highlighted in bold font. </w:t>
      </w:r>
      <w:r>
        <w:t xml:space="preserve"> </w:t>
      </w:r>
    </w:p>
    <w:p w14:paraId="5A6E3952" w14:textId="18F72EF1" w:rsidR="008F7D54" w:rsidRDefault="00F219AF" w:rsidP="00497946">
      <w:pPr>
        <w:pStyle w:val="I3M-BodyText"/>
      </w:pPr>
      <w:r>
        <w:t>As can be seen from Table 1, our results for BSE are consistent with those previously published in the literature</w:t>
      </w:r>
      <w:r w:rsidR="00497946">
        <w:t xml:space="preserve">: there is nothing in our BSE results to challenge the status quo: AA beats both ZIC and ZIP, as does GDX. </w:t>
      </w:r>
    </w:p>
    <w:p w14:paraId="0CCCFE08" w14:textId="2F823C89" w:rsidR="00497946" w:rsidRDefault="00497946" w:rsidP="00497946">
      <w:pPr>
        <w:pStyle w:val="I3M-BodyText"/>
      </w:pPr>
      <w:r>
        <w:t xml:space="preserve">However, the TBSE results in Table 1 tell a very different story. AA still beats ZIC, which is intuitively what one would expect. But the other three dominance relationships have been inverted: in TBSE, ZIC beats GDX while ZIP beats both AA and GDX – scoring more than twice as many wins as GDX, beating it by a larger margin than it beat ZIP in BSE. </w:t>
      </w:r>
    </w:p>
    <w:p w14:paraId="325911BD" w14:textId="72FB35EE" w:rsidR="00497946" w:rsidRDefault="00497946" w:rsidP="00497946">
      <w:pPr>
        <w:pStyle w:val="I3M-BodyText"/>
      </w:pPr>
      <w:r>
        <w:t xml:space="preserve">If we chose, we could stop here. We have now established an answer to the question that we set out to </w:t>
      </w:r>
      <w:proofErr w:type="gramStart"/>
      <w:r>
        <w:t>explore:</w:t>
      </w:r>
      <w:proofErr w:type="gramEnd"/>
      <w:r>
        <w:t xml:space="preserve"> whether a switch to a more realistic market simulation makes a difference to the dominance relationships previously reported. This is a significant </w:t>
      </w:r>
      <w:proofErr w:type="gramStart"/>
      <w:r>
        <w:t>finding, and</w:t>
      </w:r>
      <w:proofErr w:type="gramEnd"/>
      <w:r>
        <w:t xml:space="preserve"> is the </w:t>
      </w:r>
      <w:r w:rsidR="00A95044">
        <w:t>primary</w:t>
      </w:r>
      <w:r>
        <w:t xml:space="preserve"> contribution of this paper. </w:t>
      </w:r>
    </w:p>
    <w:p w14:paraId="5CCAAE6F" w14:textId="77777777" w:rsidR="00691572" w:rsidRDefault="00691572" w:rsidP="00497946">
      <w:pPr>
        <w:pStyle w:val="I3M-BodyText"/>
      </w:pPr>
    </w:p>
    <w:p w14:paraId="67B5EEE0" w14:textId="0F43F033" w:rsidR="003D0F37" w:rsidRDefault="008F7D54" w:rsidP="00691572">
      <w:pPr>
        <w:pStyle w:val="I3M-Table-Caption"/>
        <w:spacing w:line="240" w:lineRule="auto"/>
      </w:pPr>
      <w:r>
        <w:rPr>
          <w:b/>
        </w:rPr>
        <w:t xml:space="preserve">Table </w:t>
      </w:r>
      <w:r w:rsidR="00B850AA">
        <w:rPr>
          <w:b/>
        </w:rPr>
        <w:t>1</w:t>
      </w:r>
      <w:r>
        <w:rPr>
          <w:b/>
        </w:rPr>
        <w:t xml:space="preserve">. </w:t>
      </w:r>
      <w:r w:rsidR="00B850AA">
        <w:t xml:space="preserve">Summary of all our experiment results, showing total number of "wins" summed over 19 different </w:t>
      </w:r>
      <w:proofErr w:type="spellStart"/>
      <w:r w:rsidR="00B850AA">
        <w:t>A-vs</w:t>
      </w:r>
      <w:proofErr w:type="spellEnd"/>
      <w:r w:rsidR="00B850AA">
        <w:t xml:space="preserve">-B trials in BSE (central sub-table) and in TBSE (right-hand sub-table). The 19 different trials vary the ratio </w:t>
      </w:r>
      <w:r w:rsidR="00F405FD" w:rsidRPr="00F405FD">
        <w:rPr>
          <w:i/>
          <w:iCs/>
        </w:rPr>
        <w:t>R</w:t>
      </w:r>
      <w:r w:rsidR="00F405FD" w:rsidRPr="00F405FD">
        <w:rPr>
          <w:i/>
          <w:iCs/>
          <w:vertAlign w:val="subscript"/>
        </w:rPr>
        <w:t>a</w:t>
      </w:r>
      <w:r w:rsidR="00F405FD">
        <w:t xml:space="preserve"> </w:t>
      </w:r>
      <w:r w:rsidR="00B850AA">
        <w:t>of trading algorithm A ("</w:t>
      </w:r>
      <w:proofErr w:type="spellStart"/>
      <w:r w:rsidR="00B850AA">
        <w:t>AlgoA</w:t>
      </w:r>
      <w:proofErr w:type="spellEnd"/>
      <w:r w:rsidR="00B850AA">
        <w:t>") to trading algorithm B ("</w:t>
      </w:r>
      <w:proofErr w:type="spellStart"/>
      <w:r w:rsidR="00B850AA">
        <w:t>AlgoB</w:t>
      </w:r>
      <w:proofErr w:type="spellEnd"/>
      <w:r w:rsidR="00B850AA">
        <w:t xml:space="preserve">") from 1:19 through 10:10 to 19:1, and at each ratio we conduct n=500 </w:t>
      </w:r>
      <w:proofErr w:type="spellStart"/>
      <w:r w:rsidR="00B850AA">
        <w:t>i.i.d</w:t>
      </w:r>
      <w:proofErr w:type="spellEnd"/>
      <w:r w:rsidR="00B850AA">
        <w:t xml:space="preserve"> market sessions, which are treated as contest between </w:t>
      </w:r>
      <w:proofErr w:type="spellStart"/>
      <w:r w:rsidR="00B850AA">
        <w:t>AlgoA</w:t>
      </w:r>
      <w:proofErr w:type="spellEnd"/>
      <w:r w:rsidR="00B850AA">
        <w:t xml:space="preserve"> and </w:t>
      </w:r>
      <w:proofErr w:type="spellStart"/>
      <w:r w:rsidR="00B850AA">
        <w:t>AlgoB</w:t>
      </w:r>
      <w:proofErr w:type="spellEnd"/>
      <w:r w:rsidR="00B850AA">
        <w:t xml:space="preserve">: if, at the end of a session, the average profit per trader for </w:t>
      </w:r>
      <w:proofErr w:type="spellStart"/>
      <w:r w:rsidR="00B850AA">
        <w:t>AlgoA</w:t>
      </w:r>
      <w:proofErr w:type="spellEnd"/>
      <w:r w:rsidR="00B850AA">
        <w:t xml:space="preserve"> is greater than that for </w:t>
      </w:r>
      <w:proofErr w:type="spellStart"/>
      <w:r w:rsidR="00B850AA">
        <w:t>AlgoB</w:t>
      </w:r>
      <w:proofErr w:type="spellEnd"/>
      <w:r w:rsidR="00B850AA">
        <w:t xml:space="preserve">, then that counts as a "win" for </w:t>
      </w:r>
      <w:proofErr w:type="spellStart"/>
      <w:r w:rsidR="00B850AA">
        <w:t>AlgoA</w:t>
      </w:r>
      <w:proofErr w:type="spellEnd"/>
      <w:r w:rsidR="00B850AA">
        <w:t xml:space="preserve">. Hence, the maximum possible score is 19x500=9,500. In each row, bold-font text is used to highlight the larger number of wins in each </w:t>
      </w:r>
      <w:proofErr w:type="spellStart"/>
      <w:r w:rsidR="00B850AA">
        <w:t>A-vs</w:t>
      </w:r>
      <w:proofErr w:type="spellEnd"/>
      <w:r w:rsidR="00B850AA">
        <w:t>-B comparison. As can be seen, switching from BSE to TBSE has no effect in the case of AA-vs-ZIC, but for the other three cases we see a reversal of the dominance relationship. See text for further discussion.</w:t>
      </w:r>
    </w:p>
    <w:p w14:paraId="3C628694" w14:textId="77777777" w:rsidR="00691572" w:rsidRDefault="00691572" w:rsidP="00691572">
      <w:pPr>
        <w:pStyle w:val="I3M-Table-Caption"/>
        <w:spacing w:line="240" w:lineRule="auto"/>
      </w:pPr>
    </w:p>
    <w:p w14:paraId="76DC4881" w14:textId="7FC99794" w:rsidR="00EF0F4F" w:rsidRDefault="00FF04DF" w:rsidP="00A95044">
      <w:pPr>
        <w:jc w:val="center"/>
      </w:pPr>
      <w:r>
        <w:rPr>
          <w:noProof/>
        </w:rPr>
        <w:drawing>
          <wp:inline distT="0" distB="0" distL="0" distR="0" wp14:anchorId="129064F4" wp14:editId="7CEF34CD">
            <wp:extent cx="2736426" cy="842756"/>
            <wp:effectExtent l="0" t="0" r="0" b="0"/>
            <wp:docPr id="22" name="Picture 2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mmaryTotalWins.png"/>
                    <pic:cNvPicPr/>
                  </pic:nvPicPr>
                  <pic:blipFill>
                    <a:blip r:embed="rId14">
                      <a:extLst>
                        <a:ext uri="{28A0092B-C50C-407E-A947-70E740481C1C}">
                          <a14:useLocalDpi xmlns:a14="http://schemas.microsoft.com/office/drawing/2010/main" val="0"/>
                        </a:ext>
                      </a:extLst>
                    </a:blip>
                    <a:stretch>
                      <a:fillRect/>
                    </a:stretch>
                  </pic:blipFill>
                  <pic:spPr>
                    <a:xfrm>
                      <a:off x="0" y="0"/>
                      <a:ext cx="2789706" cy="859165"/>
                    </a:xfrm>
                    <a:prstGeom prst="rect">
                      <a:avLst/>
                    </a:prstGeom>
                  </pic:spPr>
                </pic:pic>
              </a:graphicData>
            </a:graphic>
          </wp:inline>
        </w:drawing>
      </w:r>
    </w:p>
    <w:p w14:paraId="16667A64" w14:textId="1451B052" w:rsidR="00497946" w:rsidRDefault="00691572" w:rsidP="00497946">
      <w:pPr>
        <w:pStyle w:val="I3M-BodyText"/>
      </w:pPr>
      <w:r>
        <w:t>T</w:t>
      </w:r>
      <w:r w:rsidR="00497946">
        <w:t>he rest of this results section show</w:t>
      </w:r>
      <w:r>
        <w:t>s</w:t>
      </w:r>
      <w:r w:rsidR="00497946">
        <w:t xml:space="preserve"> selected highlights from digging deeper into the results in our experiment. As it happens, a deeper dig unearths some thought-provoking results.</w:t>
      </w:r>
    </w:p>
    <w:p w14:paraId="2F843ECC" w14:textId="30AC5FB3" w:rsidR="00497946" w:rsidRDefault="00497946" w:rsidP="00497946">
      <w:pPr>
        <w:pStyle w:val="I3M-BodyText"/>
      </w:pPr>
      <w:r>
        <w:t xml:space="preserve">Recall that each number in Table 1 represents the number of 'wins" scored by a specific algorithm, in a series of 19x500 market sessions, ranging over 19 values of </w:t>
      </w:r>
      <w:r w:rsidRPr="00F405FD">
        <w:rPr>
          <w:i/>
          <w:iCs/>
        </w:rPr>
        <w:t>R</w:t>
      </w:r>
      <w:r w:rsidR="00F405FD" w:rsidRPr="00F405FD">
        <w:rPr>
          <w:i/>
          <w:iCs/>
          <w:vertAlign w:val="subscript"/>
        </w:rPr>
        <w:t>a</w:t>
      </w:r>
      <w:r>
        <w:t xml:space="preserve"> (from 1:19 to 19:1)</w:t>
      </w:r>
      <w:r w:rsidR="00F405FD">
        <w:t xml:space="preserve">, with n=500 trials at each value of </w:t>
      </w:r>
      <w:r w:rsidR="00F405FD" w:rsidRPr="00F405FD">
        <w:rPr>
          <w:i/>
          <w:iCs/>
        </w:rPr>
        <w:t>R</w:t>
      </w:r>
      <w:r w:rsidR="00F405FD" w:rsidRPr="00F405FD">
        <w:rPr>
          <w:i/>
          <w:iCs/>
          <w:vertAlign w:val="subscript"/>
        </w:rPr>
        <w:t>a</w:t>
      </w:r>
      <w:r w:rsidR="00F405FD">
        <w:rPr>
          <w:i/>
          <w:iCs/>
          <w:vertAlign w:val="subscript"/>
        </w:rPr>
        <w:t xml:space="preserve"> </w:t>
      </w:r>
      <w:r w:rsidR="00F405FD">
        <w:t xml:space="preserve"> -- one obvious thing to do is to separate the aggregate results for any one pair of algorithms into the 19 sets of results, one for each value of </w:t>
      </w:r>
      <w:r w:rsidR="00F405FD" w:rsidRPr="00F405FD">
        <w:rPr>
          <w:i/>
          <w:iCs/>
        </w:rPr>
        <w:t>R</w:t>
      </w:r>
      <w:r w:rsidR="00F405FD" w:rsidRPr="00F405FD">
        <w:rPr>
          <w:i/>
          <w:iCs/>
          <w:vertAlign w:val="subscript"/>
        </w:rPr>
        <w:t>a</w:t>
      </w:r>
      <w:r w:rsidR="00F405FD">
        <w:t xml:space="preserve">, and to look for any interesting changes in the patterns of wins as </w:t>
      </w:r>
      <w:r w:rsidR="00F405FD" w:rsidRPr="00F405FD">
        <w:rPr>
          <w:i/>
          <w:iCs/>
        </w:rPr>
        <w:t>R</w:t>
      </w:r>
      <w:r w:rsidR="00F405FD" w:rsidRPr="00F405FD">
        <w:rPr>
          <w:i/>
          <w:iCs/>
          <w:vertAlign w:val="subscript"/>
        </w:rPr>
        <w:t>a</w:t>
      </w:r>
      <w:r w:rsidR="00F405FD">
        <w:t xml:space="preserve"> is swept from one extreme to another. Table 2 shows such a </w:t>
      </w:r>
      <w:proofErr w:type="gramStart"/>
      <w:r w:rsidR="00F405FD">
        <w:t>data-set</w:t>
      </w:r>
      <w:proofErr w:type="gramEnd"/>
      <w:r w:rsidR="00F405FD">
        <w:t xml:space="preserve">, for AA-vs-ZIC. As you can see, at the bottom of the table is the sum of all the wins in each column, and </w:t>
      </w:r>
      <w:r w:rsidR="004900B6">
        <w:t>the relevant</w:t>
      </w:r>
      <w:r w:rsidR="00F405FD">
        <w:t xml:space="preserve"> column-sums in Table 2 </w:t>
      </w:r>
      <w:r w:rsidR="004900B6">
        <w:t>are the values that populate</w:t>
      </w:r>
      <w:r w:rsidR="00F405FD">
        <w:t xml:space="preserve"> the first row of Table 1. </w:t>
      </w:r>
      <w:r w:rsidR="004900B6">
        <w:t xml:space="preserve">Table 2 adds a third column to the results for BSE and TBSE: a variable we call </w:t>
      </w:r>
      <w:proofErr w:type="spellStart"/>
      <w:r w:rsidR="004900B6" w:rsidRPr="004900B6">
        <w:rPr>
          <w:rFonts w:ascii="Symbol" w:hAnsi="Symbol"/>
          <w:i/>
          <w:iCs/>
        </w:rPr>
        <w:t>D</w:t>
      </w:r>
      <w:r w:rsidR="004900B6" w:rsidRPr="004900B6">
        <w:rPr>
          <w:i/>
          <w:iCs/>
        </w:rPr>
        <w:t>wins</w:t>
      </w:r>
      <w:proofErr w:type="spellEnd"/>
      <w:r w:rsidR="004900B6">
        <w:t xml:space="preserve">, which is simply the difference between the two algorithm's </w:t>
      </w:r>
      <w:r w:rsidR="004900B6">
        <w:t xml:space="preserve">win-counts. </w:t>
      </w:r>
      <w:r w:rsidR="006478FA">
        <w:t xml:space="preserve">In an </w:t>
      </w:r>
      <w:proofErr w:type="spellStart"/>
      <w:r w:rsidR="006478FA">
        <w:t>A-vs</w:t>
      </w:r>
      <w:proofErr w:type="spellEnd"/>
      <w:r w:rsidR="006478FA">
        <w:t xml:space="preserve">-B comparison of two trading algorithms, if </w:t>
      </w:r>
      <w:r w:rsidR="006478FA" w:rsidRPr="004900B6">
        <w:rPr>
          <w:rFonts w:ascii="Symbol" w:hAnsi="Symbol"/>
          <w:i/>
          <w:iCs/>
        </w:rPr>
        <w:t>D</w:t>
      </w:r>
      <w:r w:rsidR="006478FA" w:rsidRPr="004900B6">
        <w:rPr>
          <w:i/>
          <w:iCs/>
        </w:rPr>
        <w:t>wins</w:t>
      </w:r>
      <w:r w:rsidR="006478FA">
        <w:t xml:space="preserve">&gt;0 then A outperforms B, and if </w:t>
      </w:r>
      <w:r w:rsidR="006478FA" w:rsidRPr="004900B6">
        <w:rPr>
          <w:rFonts w:ascii="Symbol" w:hAnsi="Symbol"/>
          <w:i/>
          <w:iCs/>
        </w:rPr>
        <w:t>D</w:t>
      </w:r>
      <w:r w:rsidR="006478FA" w:rsidRPr="004900B6">
        <w:rPr>
          <w:i/>
          <w:iCs/>
        </w:rPr>
        <w:t>wins</w:t>
      </w:r>
      <w:r w:rsidR="006478FA">
        <w:t xml:space="preserve"> &lt;0 then B outperforms A. The two sets of </w:t>
      </w:r>
      <w:r w:rsidR="006478FA" w:rsidRPr="004900B6">
        <w:rPr>
          <w:rFonts w:ascii="Symbol" w:hAnsi="Symbol"/>
          <w:i/>
          <w:iCs/>
        </w:rPr>
        <w:t>D</w:t>
      </w:r>
      <w:r w:rsidR="006478FA" w:rsidRPr="004900B6">
        <w:rPr>
          <w:i/>
          <w:iCs/>
        </w:rPr>
        <w:t>wins</w:t>
      </w:r>
      <w:r w:rsidR="006478FA">
        <w:t xml:space="preserve"> values in Table 2 are plotted graphically in Figure 1, a paired plot that we refer to as the </w:t>
      </w:r>
      <w:r w:rsidR="006478FA" w:rsidRPr="00422D47">
        <w:rPr>
          <w:i/>
          <w:iCs/>
        </w:rPr>
        <w:t>delta curves</w:t>
      </w:r>
      <w:r w:rsidR="006478FA">
        <w:t xml:space="preserve"> for two trading strategies tested in BSE and TBSE. </w:t>
      </w:r>
    </w:p>
    <w:p w14:paraId="03C975AC" w14:textId="088608E4" w:rsidR="003D0F37" w:rsidRDefault="00B850AA" w:rsidP="00691572">
      <w:pPr>
        <w:pStyle w:val="I3M-Table-Caption"/>
        <w:spacing w:line="240" w:lineRule="auto"/>
      </w:pPr>
      <w:r>
        <w:rPr>
          <w:b/>
        </w:rPr>
        <w:t xml:space="preserve">Table 2. </w:t>
      </w:r>
      <w:r w:rsidR="00691572">
        <w:t xml:space="preserve">The data that was aggregated into the top row of Table 1, tabulated to show the individual results from each of the 19 different ratios of the two algorithms used: n=500 at each ratio. Column sums are displayed at the bottom of the </w:t>
      </w:r>
      <w:proofErr w:type="gramStart"/>
      <w:r w:rsidR="00691572">
        <w:t>table, and</w:t>
      </w:r>
      <w:proofErr w:type="gramEnd"/>
      <w:r w:rsidR="00691572">
        <w:t xml:space="preserve"> correspond to the values given in the top row of Table 1. </w:t>
      </w:r>
    </w:p>
    <w:p w14:paraId="7591A675" w14:textId="24A8E7BF" w:rsidR="00A95044" w:rsidRDefault="006478FA" w:rsidP="00A95044">
      <w:pPr>
        <w:pStyle w:val="I3M-BodyText"/>
        <w:ind w:right="44" w:firstLine="142"/>
        <w:jc w:val="left"/>
      </w:pPr>
      <w:r>
        <w:rPr>
          <w:noProof/>
        </w:rPr>
        <w:drawing>
          <wp:inline distT="0" distB="0" distL="0" distR="0" wp14:anchorId="2F4D8627" wp14:editId="56483DF0">
            <wp:extent cx="2922751" cy="2386753"/>
            <wp:effectExtent l="0" t="0" r="0" b="0"/>
            <wp:docPr id="24" name="Picture 2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AvsZICtab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1981" cy="2402457"/>
                    </a:xfrm>
                    <a:prstGeom prst="rect">
                      <a:avLst/>
                    </a:prstGeom>
                  </pic:spPr>
                </pic:pic>
              </a:graphicData>
            </a:graphic>
          </wp:inline>
        </w:drawing>
      </w:r>
    </w:p>
    <w:p w14:paraId="2B4AD2AE" w14:textId="7ECF5157" w:rsidR="00A95044" w:rsidRDefault="00A95044" w:rsidP="00A95044">
      <w:pPr>
        <w:pStyle w:val="I3M-BodyText"/>
      </w:pPr>
      <w:r>
        <w:t xml:space="preserve">The pair of delta curves in Figure 1 look to be approximately the same, modulo some noise (which is to be expected given the stochastic nature of our experiments). The fact that there is no great difference is no surprise, given that in both BSE and TBSE our results show AA beating ZIC. </w:t>
      </w:r>
    </w:p>
    <w:p w14:paraId="1D4F7A05" w14:textId="680B1650" w:rsidR="000B3A6D" w:rsidRDefault="000B3A6D" w:rsidP="00B26B8D">
      <w:pPr>
        <w:pStyle w:val="I3M-BodyText"/>
        <w:ind w:firstLine="142"/>
      </w:pPr>
      <w:r>
        <w:rPr>
          <w:noProof/>
        </w:rPr>
        <w:drawing>
          <wp:inline distT="0" distB="0" distL="0" distR="0" wp14:anchorId="6A74BD50" wp14:editId="4E64B590">
            <wp:extent cx="3088640" cy="125031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AAvZIC.png"/>
                    <pic:cNvPicPr/>
                  </pic:nvPicPr>
                  <pic:blipFill>
                    <a:blip r:embed="rId16">
                      <a:extLst>
                        <a:ext uri="{28A0092B-C50C-407E-A947-70E740481C1C}">
                          <a14:useLocalDpi xmlns:a14="http://schemas.microsoft.com/office/drawing/2010/main" val="0"/>
                        </a:ext>
                      </a:extLst>
                    </a:blip>
                    <a:stretch>
                      <a:fillRect/>
                    </a:stretch>
                  </pic:blipFill>
                  <pic:spPr>
                    <a:xfrm>
                      <a:off x="0" y="0"/>
                      <a:ext cx="3088640" cy="1250315"/>
                    </a:xfrm>
                    <a:prstGeom prst="rect">
                      <a:avLst/>
                    </a:prstGeom>
                  </pic:spPr>
                </pic:pic>
              </a:graphicData>
            </a:graphic>
          </wp:inline>
        </w:drawing>
      </w:r>
    </w:p>
    <w:p w14:paraId="247FE02E" w14:textId="72707754" w:rsidR="000B3A6D" w:rsidRDefault="000B3A6D" w:rsidP="00A95044">
      <w:pPr>
        <w:pStyle w:val="I3M-Figure-Caption"/>
      </w:pPr>
      <w:r w:rsidRPr="007E1732">
        <w:rPr>
          <w:b/>
          <w:bCs/>
        </w:rPr>
        <w:t>Figure 1.</w:t>
      </w:r>
      <w:r>
        <w:t xml:space="preserve"> </w:t>
      </w:r>
      <w:r w:rsidR="00CA1AE1">
        <w:t xml:space="preserve">"Delta Curves" for AA and ZIC in BSE (left) and TBSE (right). This pair of graphs shows the </w:t>
      </w:r>
      <w:r w:rsidRPr="00CA1AE1">
        <w:rPr>
          <w:rFonts w:ascii="Symbol" w:hAnsi="Symbol"/>
          <w:i/>
          <w:iCs/>
        </w:rPr>
        <w:t>D</w:t>
      </w:r>
      <w:r w:rsidRPr="00CA1AE1">
        <w:rPr>
          <w:i/>
          <w:iCs/>
        </w:rPr>
        <w:t>wins</w:t>
      </w:r>
      <w:r>
        <w:t xml:space="preserve"> </w:t>
      </w:r>
      <w:r w:rsidR="00CA1AE1">
        <w:t xml:space="preserve">data tabulated in Table 2: the horizontal axis shows </w:t>
      </w:r>
      <w:r w:rsidR="00CA1AE1" w:rsidRPr="00F405FD">
        <w:rPr>
          <w:i/>
          <w:iCs/>
        </w:rPr>
        <w:t>R</w:t>
      </w:r>
      <w:r w:rsidR="00CA1AE1" w:rsidRPr="00F405FD">
        <w:rPr>
          <w:i/>
          <w:iCs/>
          <w:vertAlign w:val="subscript"/>
        </w:rPr>
        <w:t>a</w:t>
      </w:r>
      <w:r w:rsidR="00CA1AE1">
        <w:t xml:space="preserve"> and is labelled with the number of AA traders in the ratio; the vertical axis is the value of </w:t>
      </w:r>
      <w:r w:rsidR="00CA1AE1" w:rsidRPr="00CA1AE1">
        <w:rPr>
          <w:rFonts w:ascii="Symbol" w:hAnsi="Symbol"/>
          <w:i/>
          <w:iCs/>
        </w:rPr>
        <w:t>D</w:t>
      </w:r>
      <w:r w:rsidR="00CA1AE1" w:rsidRPr="00CA1AE1">
        <w:rPr>
          <w:i/>
          <w:iCs/>
        </w:rPr>
        <w:t>wins</w:t>
      </w:r>
      <w:r w:rsidR="00CA1AE1">
        <w:rPr>
          <w:i/>
          <w:iCs/>
        </w:rPr>
        <w:t xml:space="preserve">. </w:t>
      </w:r>
      <w:r w:rsidR="00CA1AE1" w:rsidRPr="00CA1AE1">
        <w:t>When</w:t>
      </w:r>
      <w:r w:rsidR="00CA1AE1">
        <w:t xml:space="preserve"> </w:t>
      </w:r>
      <w:r w:rsidR="00CA1AE1" w:rsidRPr="00CA1AE1">
        <w:rPr>
          <w:rFonts w:ascii="Symbol" w:hAnsi="Symbol"/>
          <w:i/>
          <w:iCs/>
        </w:rPr>
        <w:t>D</w:t>
      </w:r>
      <w:r w:rsidR="00CA1AE1" w:rsidRPr="00CA1AE1">
        <w:rPr>
          <w:i/>
          <w:iCs/>
        </w:rPr>
        <w:t>wins</w:t>
      </w:r>
      <w:r w:rsidR="00CA1AE1">
        <w:rPr>
          <w:i/>
          <w:iCs/>
        </w:rPr>
        <w:t>&gt;0</w:t>
      </w:r>
      <w:r w:rsidR="00CA1AE1" w:rsidRPr="00CA1AE1">
        <w:t>, AA outperforms ZIC, and when</w:t>
      </w:r>
      <w:r w:rsidR="00CA1AE1">
        <w:rPr>
          <w:i/>
          <w:iCs/>
        </w:rPr>
        <w:t xml:space="preserve"> </w:t>
      </w:r>
      <w:r w:rsidR="00CA1AE1" w:rsidRPr="00CA1AE1">
        <w:rPr>
          <w:rFonts w:ascii="Symbol" w:hAnsi="Symbol"/>
          <w:i/>
          <w:iCs/>
        </w:rPr>
        <w:t>D</w:t>
      </w:r>
      <w:r w:rsidR="00CA1AE1" w:rsidRPr="00CA1AE1">
        <w:rPr>
          <w:i/>
          <w:iCs/>
        </w:rPr>
        <w:t>wins</w:t>
      </w:r>
      <w:r w:rsidR="00CA1AE1">
        <w:rPr>
          <w:i/>
          <w:iCs/>
        </w:rPr>
        <w:t>&lt;0,</w:t>
      </w:r>
      <w:r w:rsidR="00CA1AE1" w:rsidRPr="00CA1AE1">
        <w:t xml:space="preserve"> ZIC </w:t>
      </w:r>
      <w:r w:rsidR="00CA1AE1">
        <w:t>beats</w:t>
      </w:r>
      <w:r w:rsidR="00CA1AE1" w:rsidRPr="00CA1AE1">
        <w:t xml:space="preserve"> AA.</w:t>
      </w:r>
      <w:r w:rsidR="00CA1AE1">
        <w:rPr>
          <w:i/>
          <w:iCs/>
        </w:rPr>
        <w:t xml:space="preserve"> </w:t>
      </w:r>
    </w:p>
    <w:p w14:paraId="1433C75B" w14:textId="7CBB2203" w:rsidR="00E378B8" w:rsidRDefault="00E378B8" w:rsidP="001376D4">
      <w:pPr>
        <w:pStyle w:val="I3M-BodyText"/>
      </w:pPr>
      <w:r>
        <w:t xml:space="preserve">Figures 2, 3, and 4 show the delta curves for AA-vs-ZIP, GDX-vs-ZIC, and GDX-vs-ZIP, respectively. These three figures are each derived from the relevant data in the same way that Figure 1 was derived from the data in Table 2. Because these are the three sets of experiments in which the switch from BSE to TBSE inverted the dominance relationship between the two trading algorithms, the delta curves deserve some examination and discussion. </w:t>
      </w:r>
    </w:p>
    <w:p w14:paraId="08D363E8" w14:textId="5C7AEBB9" w:rsidR="005D6E7F" w:rsidRDefault="001376D4" w:rsidP="001376D4">
      <w:pPr>
        <w:pStyle w:val="I3M-BodyText"/>
      </w:pPr>
      <w:r w:rsidRPr="001376D4">
        <w:rPr>
          <w:b/>
          <w:bCs/>
        </w:rPr>
        <w:t>AA-vis-ZIP</w:t>
      </w:r>
      <w:r>
        <w:t xml:space="preserve"> (Figure 2). Here there seems to be some coherent structure in the BSE delta curve: although AA consistently outperforms ZIP, the degree by which it beats ZIP seems to attenuate when the </w:t>
      </w:r>
      <w:r w:rsidRPr="00F405FD">
        <w:rPr>
          <w:i/>
          <w:iCs/>
        </w:rPr>
        <w:t>R</w:t>
      </w:r>
      <w:r w:rsidRPr="00F405FD">
        <w:rPr>
          <w:i/>
          <w:iCs/>
          <w:vertAlign w:val="subscript"/>
        </w:rPr>
        <w:t>a</w:t>
      </w:r>
      <w:r>
        <w:rPr>
          <w:i/>
          <w:iCs/>
          <w:vertAlign w:val="subscript"/>
        </w:rPr>
        <w:t xml:space="preserve"> </w:t>
      </w:r>
      <w:r>
        <w:t xml:space="preserve">is at either extreme of its range, and the maximum outperformance of AA over ZIP seems to be when </w:t>
      </w:r>
      <w:r w:rsidRPr="00F405FD">
        <w:rPr>
          <w:i/>
          <w:iCs/>
        </w:rPr>
        <w:t>R</w:t>
      </w:r>
      <w:r w:rsidRPr="00F405FD">
        <w:rPr>
          <w:i/>
          <w:iCs/>
          <w:vertAlign w:val="subscript"/>
        </w:rPr>
        <w:t>a</w:t>
      </w:r>
      <w:r>
        <w:t xml:space="preserve">&lt;10:10, </w:t>
      </w:r>
      <w:proofErr w:type="spellStart"/>
      <w:r>
        <w:t>i.e</w:t>
      </w:r>
      <w:proofErr w:type="spellEnd"/>
      <w:r>
        <w:t xml:space="preserve">. when AA is in the minority of the population. The relevance of this is seen in the TBSE delta curve in Figure2: we saw in Table 1 that ZIP wins on aggregate in this set of experiments, but Figure 2 makes clear that actually when AA is in a small </w:t>
      </w:r>
      <w:r>
        <w:lastRenderedPageBreak/>
        <w:t xml:space="preserve">minority in TBSE it can still outperform ZIP, but as soon as the proportion of AA traders starts to approach 50% its dominance disappears and ZIP consistently outperforms AA as soon as AA is in the majority. </w:t>
      </w:r>
    </w:p>
    <w:p w14:paraId="0BB40DAA" w14:textId="77777777" w:rsidR="000B3A6D" w:rsidRDefault="000B3A6D" w:rsidP="000B3A6D">
      <w:pPr>
        <w:pStyle w:val="I3M-BodyText"/>
        <w:jc w:val="left"/>
      </w:pPr>
      <w:r>
        <w:rPr>
          <w:noProof/>
        </w:rPr>
        <w:drawing>
          <wp:inline distT="0" distB="0" distL="0" distR="0" wp14:anchorId="4F03601D" wp14:editId="78615122">
            <wp:extent cx="2932854" cy="1187251"/>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AAvZI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1717" cy="1194887"/>
                    </a:xfrm>
                    <a:prstGeom prst="rect">
                      <a:avLst/>
                    </a:prstGeom>
                  </pic:spPr>
                </pic:pic>
              </a:graphicData>
            </a:graphic>
          </wp:inline>
        </w:drawing>
      </w:r>
    </w:p>
    <w:p w14:paraId="728B299F" w14:textId="53CB94FC" w:rsidR="000B3A6D" w:rsidRDefault="000B3A6D" w:rsidP="001376D4">
      <w:pPr>
        <w:pStyle w:val="I3M-Figure-Caption"/>
      </w:pPr>
      <w:r w:rsidRPr="007E1732">
        <w:rPr>
          <w:b/>
          <w:bCs/>
        </w:rPr>
        <w:t xml:space="preserve">Figure </w:t>
      </w:r>
      <w:r>
        <w:rPr>
          <w:b/>
          <w:bCs/>
        </w:rPr>
        <w:t>2</w:t>
      </w:r>
      <w:r w:rsidRPr="007E1732">
        <w:rPr>
          <w:b/>
          <w:bCs/>
        </w:rPr>
        <w:t>.</w:t>
      </w:r>
      <w:r>
        <w:t xml:space="preserve"> </w:t>
      </w:r>
      <w:r w:rsidR="00095154">
        <w:t xml:space="preserve">Delta curves </w:t>
      </w:r>
      <w:r w:rsidR="00F12DE2">
        <w:t>f</w:t>
      </w:r>
      <w:r>
        <w:t>or AA vs ZIP</w:t>
      </w:r>
      <w:r w:rsidR="00B14C4D">
        <w:t>; f</w:t>
      </w:r>
      <w:r w:rsidR="00095154">
        <w:t xml:space="preserve">ormat </w:t>
      </w:r>
      <w:r w:rsidR="00E61790">
        <w:t>is the same as</w:t>
      </w:r>
      <w:r w:rsidR="00095154">
        <w:t xml:space="preserve"> in Fig</w:t>
      </w:r>
      <w:r w:rsidR="00E61790">
        <w:t xml:space="preserve">ure </w:t>
      </w:r>
      <w:r w:rsidR="00095154">
        <w:t>1.</w:t>
      </w:r>
    </w:p>
    <w:p w14:paraId="12F5825A" w14:textId="5CEEFFEF" w:rsidR="000B3A6D" w:rsidRDefault="000B3A6D" w:rsidP="003D0F37">
      <w:pPr>
        <w:pStyle w:val="I3M-BodyText"/>
      </w:pPr>
    </w:p>
    <w:p w14:paraId="57DD4977" w14:textId="36C21A9D" w:rsidR="00B97698" w:rsidRPr="00E7728F" w:rsidRDefault="00B97698" w:rsidP="003D0F37">
      <w:pPr>
        <w:pStyle w:val="I3M-BodyText"/>
        <w:rPr>
          <w:i/>
          <w:iCs/>
        </w:rPr>
      </w:pPr>
      <w:r>
        <w:rPr>
          <w:b/>
          <w:bCs/>
        </w:rPr>
        <w:t>GDX</w:t>
      </w:r>
      <w:r w:rsidRPr="001376D4">
        <w:rPr>
          <w:b/>
          <w:bCs/>
        </w:rPr>
        <w:t>-vis-ZI</w:t>
      </w:r>
      <w:r w:rsidR="00B14C4D">
        <w:rPr>
          <w:b/>
          <w:bCs/>
        </w:rPr>
        <w:t>C</w:t>
      </w:r>
      <w:r>
        <w:t xml:space="preserve"> (Figure 3). Her</w:t>
      </w:r>
      <w:r w:rsidR="00606189">
        <w:t xml:space="preserve">e, for both BSE and TBSE, the delta curves have a clear coherent structure to them, which is something that we do not think has been reported before in the literature: we know from </w:t>
      </w:r>
      <w:proofErr w:type="spellStart"/>
      <w:r w:rsidR="00606189">
        <w:t>Vach</w:t>
      </w:r>
      <w:proofErr w:type="spellEnd"/>
      <w:r w:rsidR="00606189">
        <w:t xml:space="preserve"> (</w:t>
      </w:r>
      <w:r w:rsidR="00606189" w:rsidRPr="00606189">
        <w:rPr>
          <w:color w:val="FF0000"/>
        </w:rPr>
        <w:t>year</w:t>
      </w:r>
      <w:r w:rsidR="00606189">
        <w:t xml:space="preserve">), Cliff (2019), and </w:t>
      </w:r>
      <w:proofErr w:type="spellStart"/>
      <w:r w:rsidR="00606189">
        <w:t>Snashall</w:t>
      </w:r>
      <w:proofErr w:type="spellEnd"/>
      <w:r w:rsidR="00606189">
        <w:t xml:space="preserve"> &amp; Cliff (2019) that ratio matters, but none of those publications reported or explored such strongly coherent relationships between ratio and results, between </w:t>
      </w:r>
      <w:r w:rsidR="00606189" w:rsidRPr="00F405FD">
        <w:rPr>
          <w:i/>
          <w:iCs/>
        </w:rPr>
        <w:t>R</w:t>
      </w:r>
      <w:r w:rsidR="00606189" w:rsidRPr="00F405FD">
        <w:rPr>
          <w:i/>
          <w:iCs/>
          <w:vertAlign w:val="subscript"/>
        </w:rPr>
        <w:t>a</w:t>
      </w:r>
      <w:r w:rsidR="00606189">
        <w:t xml:space="preserve"> and </w:t>
      </w:r>
      <w:r w:rsidR="00606189" w:rsidRPr="004900B6">
        <w:rPr>
          <w:rFonts w:ascii="Symbol" w:hAnsi="Symbol"/>
          <w:i/>
          <w:iCs/>
        </w:rPr>
        <w:t>D</w:t>
      </w:r>
      <w:r w:rsidR="00606189" w:rsidRPr="004900B6">
        <w:rPr>
          <w:i/>
          <w:iCs/>
        </w:rPr>
        <w:t>wins</w:t>
      </w:r>
      <w:r w:rsidR="00606189">
        <w:t xml:space="preserve">. </w:t>
      </w:r>
      <w:r w:rsidR="00596B2D">
        <w:t xml:space="preserve">Figure 3 shows fairly unambiguously that GDX outperforms ZIC when GDX is in the minority, and ZIC outperforms GDX when ZIC is in the minority. </w:t>
      </w:r>
      <w:r w:rsidR="00F12DE2">
        <w:t>Figure 3 also reveals that the qualitative nature of the swing from GDX dominance in BSE to ZIC dominance in TBSE differs from that from AA to ZIP that was illustrated in Figure 2: whereas the two delta plots in Figure 2 are markedly different, the two curves in Figure 3 are remarkably similar: the TBSE curve could plausibly be described as what happens when the BSE curve is shifted slightly to the right and slightly down.</w:t>
      </w:r>
      <w:r w:rsidR="00E7728F">
        <w:t xml:space="preserve"> Also notable is that in both BSE and TBSE the maximum outperformance of ZIC by GDX happens at roughly a ratio of 1:3, and the maximum outperformance of GDX by ZICs seems similarly to happen at roughly 3:1</w:t>
      </w:r>
      <w:r w:rsidR="00066572">
        <w:t xml:space="preserve">. This strikes us as curious in that  experience tells us that usually in these kind of experiments maxima would normally be expected to occur either at the endpoints of the scale (i.e. at ratios of 1:19 or 19:1) or near the midpoint (i.e. at 10:10) </w:t>
      </w:r>
      <w:r w:rsidR="00E7728F">
        <w:t xml:space="preserve">why this is so is something we aim to investigate in further work. </w:t>
      </w:r>
      <w:r w:rsidR="00E7728F" w:rsidRPr="00E7728F">
        <w:rPr>
          <w:i/>
          <w:iCs/>
          <w:color w:val="FF0000"/>
        </w:rPr>
        <w:t>[To be reported in the 10</w:t>
      </w:r>
      <w:r w:rsidR="00E7728F">
        <w:rPr>
          <w:i/>
          <w:iCs/>
          <w:color w:val="FF0000"/>
        </w:rPr>
        <w:t>-</w:t>
      </w:r>
      <w:r w:rsidR="00E7728F" w:rsidRPr="00E7728F">
        <w:rPr>
          <w:i/>
          <w:iCs/>
          <w:color w:val="FF0000"/>
        </w:rPr>
        <w:t>page version of this paper]</w:t>
      </w:r>
      <w:r w:rsidR="00E7728F" w:rsidRPr="00E7728F">
        <w:rPr>
          <w:i/>
          <w:iCs/>
        </w:rPr>
        <w:t xml:space="preserve"> </w:t>
      </w:r>
    </w:p>
    <w:p w14:paraId="1C4889C0" w14:textId="77777777" w:rsidR="000B3A6D" w:rsidRDefault="000B3A6D" w:rsidP="000B3A6D">
      <w:pPr>
        <w:pStyle w:val="I3M-BodyText"/>
        <w:ind w:firstLine="0"/>
      </w:pPr>
      <w:r>
        <w:rPr>
          <w:noProof/>
        </w:rPr>
        <w:drawing>
          <wp:inline distT="0" distB="0" distL="0" distR="0" wp14:anchorId="1A2F4901" wp14:editId="231066A2">
            <wp:extent cx="3088640" cy="1250315"/>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GDXvZIC.png"/>
                    <pic:cNvPicPr/>
                  </pic:nvPicPr>
                  <pic:blipFill>
                    <a:blip r:embed="rId18">
                      <a:extLst>
                        <a:ext uri="{28A0092B-C50C-407E-A947-70E740481C1C}">
                          <a14:useLocalDpi xmlns:a14="http://schemas.microsoft.com/office/drawing/2010/main" val="0"/>
                        </a:ext>
                      </a:extLst>
                    </a:blip>
                    <a:stretch>
                      <a:fillRect/>
                    </a:stretch>
                  </pic:blipFill>
                  <pic:spPr>
                    <a:xfrm>
                      <a:off x="0" y="0"/>
                      <a:ext cx="3088640" cy="1250315"/>
                    </a:xfrm>
                    <a:prstGeom prst="rect">
                      <a:avLst/>
                    </a:prstGeom>
                  </pic:spPr>
                </pic:pic>
              </a:graphicData>
            </a:graphic>
          </wp:inline>
        </w:drawing>
      </w:r>
    </w:p>
    <w:p w14:paraId="35CE222E" w14:textId="274EF25C" w:rsidR="00B14C4D" w:rsidRDefault="000B3A6D" w:rsidP="00B14C4D">
      <w:pPr>
        <w:pStyle w:val="I3M-Figure-Caption"/>
      </w:pPr>
      <w:r w:rsidRPr="007E1732">
        <w:rPr>
          <w:b/>
          <w:bCs/>
        </w:rPr>
        <w:t xml:space="preserve">Figure </w:t>
      </w:r>
      <w:r>
        <w:rPr>
          <w:b/>
          <w:bCs/>
        </w:rPr>
        <w:t>3</w:t>
      </w:r>
      <w:r w:rsidRPr="007E1732">
        <w:rPr>
          <w:b/>
          <w:bCs/>
        </w:rPr>
        <w:t>.</w:t>
      </w:r>
      <w:r w:rsidR="00F12DE2">
        <w:rPr>
          <w:b/>
          <w:bCs/>
        </w:rPr>
        <w:t xml:space="preserve"> </w:t>
      </w:r>
      <w:r w:rsidR="00F12DE2">
        <w:t xml:space="preserve">Delta curves </w:t>
      </w:r>
      <w:r>
        <w:t xml:space="preserve">for </w:t>
      </w:r>
      <w:r w:rsidR="00EF3891">
        <w:t>GDX</w:t>
      </w:r>
      <w:r>
        <w:t xml:space="preserve"> vs ZI</w:t>
      </w:r>
      <w:r w:rsidR="00EF3891">
        <w:t>C</w:t>
      </w:r>
      <w:r w:rsidR="00B14C4D">
        <w:t>; format is the same as in Figure 1.</w:t>
      </w:r>
    </w:p>
    <w:p w14:paraId="364A8A8D" w14:textId="77777777" w:rsidR="00B14C4D" w:rsidRPr="00B14C4D" w:rsidRDefault="00B14C4D" w:rsidP="00B14C4D">
      <w:pPr>
        <w:pStyle w:val="I3M-BodyText"/>
      </w:pPr>
    </w:p>
    <w:p w14:paraId="2BF60514" w14:textId="176CBCCF" w:rsidR="00B14C4D" w:rsidRPr="00B14C4D" w:rsidRDefault="00B14C4D" w:rsidP="00B14C4D">
      <w:pPr>
        <w:pStyle w:val="I3M-BodyText"/>
      </w:pPr>
      <w:r>
        <w:rPr>
          <w:b/>
          <w:bCs/>
        </w:rPr>
        <w:t>GDX</w:t>
      </w:r>
      <w:r w:rsidRPr="001376D4">
        <w:rPr>
          <w:b/>
          <w:bCs/>
        </w:rPr>
        <w:t>-vis-ZI</w:t>
      </w:r>
      <w:r>
        <w:rPr>
          <w:b/>
          <w:bCs/>
        </w:rPr>
        <w:t>P</w:t>
      </w:r>
      <w:r>
        <w:t xml:space="preserve"> (Figure 4)</w:t>
      </w:r>
      <w:r w:rsidR="009201EA">
        <w:t xml:space="preserve">: </w:t>
      </w:r>
      <w:proofErr w:type="gramStart"/>
      <w:r w:rsidR="009201EA">
        <w:t>again</w:t>
      </w:r>
      <w:proofErr w:type="gramEnd"/>
      <w:r w:rsidR="009201EA">
        <w:t xml:space="preserve"> there is a clear coherence to the delta curves, although the relationship between the BSE and TBSE curves is not as similar as that in Figure 3, and not as different as that in Figure 2.</w:t>
      </w:r>
      <w:r w:rsidR="00066572">
        <w:t xml:space="preserve"> In a point of similarity with the GDX-vs-ZIC curves, again the peak performance of the two strategies come at ratios of roughly 3:1 and 1:3 (and, again, we do not know why this should be so) but</w:t>
      </w:r>
      <w:r w:rsidR="00207FBC">
        <w:t xml:space="preserve"> for </w:t>
      </w:r>
      <w:proofErr w:type="spellStart"/>
      <w:r w:rsidR="00207FBC">
        <w:t>GDx</w:t>
      </w:r>
      <w:proofErr w:type="spellEnd"/>
      <w:r w:rsidR="00207FBC">
        <w:t xml:space="preserve">-vs-ZIP the relative performance of the two algorithms does not level out to zero near ratio values of </w:t>
      </w:r>
      <w:r w:rsidR="00207FBC">
        <w:t xml:space="preserve">10:10 and then cross into underperformance for the algorithm that is in the majority; instead in BSE GDX pretty consistently outperforms ZIP (albeit with the degree of outperformance steadily falling as the proportion of GDX traders increases, and then crossing over into underperformance at ratios around 3:1) and in TBSE the situation is the inverse: now ZIP is the dominant algorithm at almost all ratios, and again the degree of dominance falls steadily as the proportion of ZIPs increases beyond 1:3). Once again, further work will be required to understand why these delta curves have this particular qualitative shape. </w:t>
      </w:r>
    </w:p>
    <w:p w14:paraId="6DA2E207" w14:textId="157CDF31" w:rsidR="003D0F37" w:rsidRDefault="000B3A6D" w:rsidP="003D0F37">
      <w:pPr>
        <w:pStyle w:val="I3M-BodyText"/>
      </w:pPr>
      <w:r>
        <w:rPr>
          <w:noProof/>
        </w:rPr>
        <w:drawing>
          <wp:inline distT="0" distB="0" distL="0" distR="0" wp14:anchorId="709D787F" wp14:editId="67050B83">
            <wp:extent cx="3088640" cy="125031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GDXvZIP.png"/>
                    <pic:cNvPicPr/>
                  </pic:nvPicPr>
                  <pic:blipFill>
                    <a:blip r:embed="rId19">
                      <a:extLst>
                        <a:ext uri="{28A0092B-C50C-407E-A947-70E740481C1C}">
                          <a14:useLocalDpi xmlns:a14="http://schemas.microsoft.com/office/drawing/2010/main" val="0"/>
                        </a:ext>
                      </a:extLst>
                    </a:blip>
                    <a:stretch>
                      <a:fillRect/>
                    </a:stretch>
                  </pic:blipFill>
                  <pic:spPr>
                    <a:xfrm>
                      <a:off x="0" y="0"/>
                      <a:ext cx="3088640" cy="1250315"/>
                    </a:xfrm>
                    <a:prstGeom prst="rect">
                      <a:avLst/>
                    </a:prstGeom>
                  </pic:spPr>
                </pic:pic>
              </a:graphicData>
            </a:graphic>
          </wp:inline>
        </w:drawing>
      </w:r>
    </w:p>
    <w:p w14:paraId="4B5463BD" w14:textId="7A8FA086" w:rsidR="000B3A6D" w:rsidRPr="00E10E25" w:rsidRDefault="000B3A6D" w:rsidP="00E10E25">
      <w:pPr>
        <w:pStyle w:val="I3M-Figure-Caption"/>
      </w:pPr>
      <w:r w:rsidRPr="007E1732">
        <w:rPr>
          <w:b/>
          <w:bCs/>
        </w:rPr>
        <w:t xml:space="preserve">Figure </w:t>
      </w:r>
      <w:r>
        <w:rPr>
          <w:b/>
          <w:bCs/>
        </w:rPr>
        <w:t>4</w:t>
      </w:r>
      <w:r w:rsidRPr="007E1732">
        <w:rPr>
          <w:b/>
          <w:bCs/>
        </w:rPr>
        <w:t>.</w:t>
      </w:r>
      <w:r>
        <w:t xml:space="preserve"> </w:t>
      </w:r>
      <w:r w:rsidR="00207FBC">
        <w:t xml:space="preserve">Delta curves for </w:t>
      </w:r>
      <w:r w:rsidR="00207FBC">
        <w:t>GDX</w:t>
      </w:r>
      <w:r w:rsidR="00207FBC">
        <w:t xml:space="preserve"> vs ZIP; format is the same as in Figure 1.</w:t>
      </w:r>
    </w:p>
    <w:p w14:paraId="35596A77" w14:textId="47A1FC3C" w:rsidR="00E10E25" w:rsidRPr="00595129" w:rsidRDefault="00E10E25" w:rsidP="00E10E25">
      <w:pPr>
        <w:pStyle w:val="I3M-BodyText"/>
        <w:rPr>
          <w:i/>
          <w:iCs/>
          <w:color w:val="FF0000"/>
          <w:sz w:val="16"/>
          <w:szCs w:val="16"/>
        </w:rPr>
      </w:pPr>
      <w:r w:rsidRPr="00595129">
        <w:rPr>
          <w:i/>
          <w:iCs/>
          <w:color w:val="FF0000"/>
          <w:sz w:val="16"/>
          <w:szCs w:val="16"/>
        </w:rPr>
        <w:t xml:space="preserve">[Note: in the 10-page version of this paper we will present additional results, in </w:t>
      </w:r>
      <w:r w:rsidR="00595129" w:rsidRPr="00595129">
        <w:rPr>
          <w:i/>
          <w:iCs/>
          <w:color w:val="FF0000"/>
          <w:sz w:val="16"/>
          <w:szCs w:val="16"/>
        </w:rPr>
        <w:t>the same style as shown here</w:t>
      </w:r>
      <w:r w:rsidRPr="00595129">
        <w:rPr>
          <w:i/>
          <w:iCs/>
          <w:color w:val="FF0000"/>
          <w:sz w:val="16"/>
          <w:szCs w:val="16"/>
        </w:rPr>
        <w:t xml:space="preserve">, </w:t>
      </w:r>
      <w:r w:rsidR="00595129" w:rsidRPr="00595129">
        <w:rPr>
          <w:i/>
          <w:iCs/>
          <w:color w:val="FF0000"/>
          <w:sz w:val="16"/>
          <w:szCs w:val="16"/>
        </w:rPr>
        <w:t>illustrating</w:t>
      </w:r>
      <w:r w:rsidRPr="00595129">
        <w:rPr>
          <w:i/>
          <w:iCs/>
          <w:color w:val="FF0000"/>
          <w:sz w:val="16"/>
          <w:szCs w:val="16"/>
        </w:rPr>
        <w:t xml:space="preserve"> the nature of the interactions between other pairs of trading strategies not shown here, such as AA-GDX and ZIC-ZIP]</w:t>
      </w:r>
    </w:p>
    <w:p w14:paraId="286611FF" w14:textId="6B1E93A3" w:rsidR="00E10E25" w:rsidRPr="00E10E25" w:rsidRDefault="00E10E25" w:rsidP="00E10E25">
      <w:pPr>
        <w:pStyle w:val="I3M-Section-Headings"/>
      </w:pPr>
      <w:r>
        <w:t>Discussion</w:t>
      </w:r>
      <w:r w:rsidR="004D6A07">
        <w:t xml:space="preserve"> and </w:t>
      </w:r>
      <w:r>
        <w:t>Further Work</w:t>
      </w:r>
    </w:p>
    <w:p w14:paraId="3AE2D153" w14:textId="2B88106E" w:rsidR="003D0F37" w:rsidRDefault="00E10E25" w:rsidP="004E13A4">
      <w:pPr>
        <w:pStyle w:val="I3M-BodyText"/>
      </w:pPr>
      <w:r>
        <w:t>One thing that is notable from the delta curves in F</w:t>
      </w:r>
      <w:r w:rsidR="004E13A4">
        <w:t xml:space="preserve">igures 2, 3, and 4 is that – </w:t>
      </w:r>
      <w:r w:rsidR="00B21F33">
        <w:t>despite</w:t>
      </w:r>
      <w:r w:rsidR="004E13A4">
        <w:t xml:space="preserve"> the points of similarity highlighted in the discussion – the effect that shifting from BSE to TBSE has on the delta curves is qualitative</w:t>
      </w:r>
      <w:r w:rsidR="008D1D31">
        <w:t>ly</w:t>
      </w:r>
      <w:r w:rsidR="004E13A4">
        <w:t xml:space="preserve"> different </w:t>
      </w:r>
      <w:r w:rsidR="008D1D31">
        <w:t>for each pair of trading algorithm</w:t>
      </w:r>
      <w:r w:rsidR="00436972">
        <w:t xml:space="preserve">s: the data we have studied thus far reveals no conveniently simple patterns that allow us to make a priori predictions or generalizations about when Algorithm A will outperform Algorithm B. Figure 3 is the starkest illustration of this point: recall that GDX was developed at IBM TJ Watson Research Labs, was preceded by two earlier versions (GD, then MGD), and when published was described by IBM as </w:t>
      </w:r>
      <w:r w:rsidR="00436972" w:rsidRPr="00436972">
        <w:rPr>
          <w:color w:val="FF0000"/>
        </w:rPr>
        <w:t>"..the best-performing trading algorithm in the currently published literature</w:t>
      </w:r>
      <w:r w:rsidR="00436972">
        <w:t>." We do not seek to criticize the IBM team, but our results show that</w:t>
      </w:r>
      <w:r w:rsidR="00436972">
        <w:t>, when the conditions are right (i.e., when the ratio of GDX:ZIC is in the right range)</w:t>
      </w:r>
      <w:r w:rsidR="00436972">
        <w:t xml:space="preserve">, in fact GDX can be consistently </w:t>
      </w:r>
      <w:proofErr w:type="gramStart"/>
      <w:r w:rsidR="00436972">
        <w:t>out-performed</w:t>
      </w:r>
      <w:proofErr w:type="gramEnd"/>
      <w:r w:rsidR="00436972">
        <w:t xml:space="preserve"> by ZIC. And </w:t>
      </w:r>
      <w:proofErr w:type="spellStart"/>
      <w:r w:rsidR="00436972">
        <w:t>Gode</w:t>
      </w:r>
      <w:proofErr w:type="spellEnd"/>
      <w:r w:rsidR="00436972">
        <w:t xml:space="preserve"> &amp; Sunder's ZIC paper had been published six years before IBM's GDX paper, and </w:t>
      </w:r>
      <w:r w:rsidR="00821E7D">
        <w:t xml:space="preserve">that whereas GDX mixes the construction of a probabilistic belief function with techniques from dynamic programming, </w:t>
      </w:r>
      <w:r w:rsidR="00436972">
        <w:t xml:space="preserve">the ZIC algorithm is so extremely simple that it can be written in only one line of </w:t>
      </w:r>
      <w:r w:rsidR="004D6A07">
        <w:t>program-</w:t>
      </w:r>
      <w:r w:rsidR="00436972">
        <w:t xml:space="preserve">code. </w:t>
      </w:r>
    </w:p>
    <w:p w14:paraId="0A959B35" w14:textId="7DCCE531" w:rsidR="00E91627" w:rsidRDefault="00B21F33" w:rsidP="00E91627">
      <w:pPr>
        <w:pStyle w:val="I3M-BodyText"/>
      </w:pPr>
      <w:r>
        <w:t xml:space="preserve">One obvious avenue of further work is to attempt to understand what features, if any, of the </w:t>
      </w:r>
      <w:r w:rsidR="00126A77">
        <w:t xml:space="preserve">trading algorithms interact in such a way </w:t>
      </w:r>
      <w:r w:rsidR="00163393">
        <w:t>that they give rise to</w:t>
      </w:r>
      <w:r w:rsidR="00126A77">
        <w:t xml:space="preserve"> the delta curves that we have plotted here, and the extent to which th</w:t>
      </w:r>
      <w:r w:rsidR="00163393">
        <w:t>o</w:t>
      </w:r>
      <w:r w:rsidR="00126A77">
        <w:t xml:space="preserve">se delta curves are affected by changes in </w:t>
      </w:r>
      <w:r w:rsidR="00163393">
        <w:t xml:space="preserve">other significant factors, such as </w:t>
      </w:r>
      <w:r w:rsidR="00126A77">
        <w:t>the market's supply and demand functions</w:t>
      </w:r>
      <w:r w:rsidR="00163393">
        <w:t>, or the total number of traders in the market</w:t>
      </w:r>
      <w:r w:rsidR="00126A77">
        <w:t xml:space="preserve">. This paper has presented results that focus on four trading algorithms that have been used repeatedly in studies of artificial trading systems over the past 20 years, but there are several other algorithms which could be added to this analysis, including </w:t>
      </w:r>
      <w:proofErr w:type="spellStart"/>
      <w:r w:rsidR="00126A77">
        <w:t>Gjerstad's</w:t>
      </w:r>
      <w:proofErr w:type="spellEnd"/>
      <w:r w:rsidR="00126A77">
        <w:t xml:space="preserve"> (2003) HBL; the Roth-</w:t>
      </w:r>
      <w:proofErr w:type="spellStart"/>
      <w:r w:rsidR="00126A77">
        <w:t>Erev</w:t>
      </w:r>
      <w:proofErr w:type="spellEnd"/>
      <w:r w:rsidR="00126A77">
        <w:t xml:space="preserve"> algorithm (</w:t>
      </w:r>
      <w:r w:rsidR="00126A77" w:rsidRPr="00126A77">
        <w:rPr>
          <w:color w:val="FF0000"/>
        </w:rPr>
        <w:t>REF</w:t>
      </w:r>
      <w:r w:rsidR="00126A77">
        <w:t>) such as the simple GVWY and SHVR built into BSE; and the ZIP-related ASAD (</w:t>
      </w:r>
      <w:r w:rsidR="00126A77" w:rsidRPr="0087698E">
        <w:rPr>
          <w:color w:val="FF0000"/>
        </w:rPr>
        <w:t>REF</w:t>
      </w:r>
      <w:r w:rsidR="00126A77">
        <w:t xml:space="preserve">). And, when we're done with analyzing interactions between pairs, between two types trading algorithms, we can move on to triples (in which case the delta </w:t>
      </w:r>
      <w:r w:rsidR="00126A77">
        <w:lastRenderedPageBreak/>
        <w:t xml:space="preserve">curves could be plotted as points on a simplex), and then on to various ratios of four or five or six </w:t>
      </w:r>
      <w:r w:rsidR="000343CF">
        <w:t xml:space="preserve">different trading </w:t>
      </w:r>
      <w:r w:rsidR="00126A77">
        <w:t xml:space="preserve">algorithms, and so on. </w:t>
      </w:r>
      <w:r w:rsidR="000343CF">
        <w:t>But as the number of algorithms involved in any one comparison increases, so do the number of trials required (the combinatorics are explosive, and the computational cost even of the experiments shown here was measured in days of CPU time)</w:t>
      </w:r>
      <w:r w:rsidR="00163393">
        <w:t xml:space="preserve">, and so do the difficulties of visualizing and comprehending the results. </w:t>
      </w:r>
    </w:p>
    <w:p w14:paraId="502084DB" w14:textId="2736D66D" w:rsidR="00E91627" w:rsidRDefault="00E91627" w:rsidP="00E91627">
      <w:pPr>
        <w:pStyle w:val="I3M-Section-Headings"/>
      </w:pPr>
      <w:r>
        <w:t>Conclusion</w:t>
      </w:r>
    </w:p>
    <w:p w14:paraId="66AA2A03" w14:textId="07E4C8BC" w:rsidR="003A473B" w:rsidRDefault="00E91627" w:rsidP="00E91627">
      <w:pPr>
        <w:pStyle w:val="I3M-BodyText"/>
      </w:pPr>
      <w:r>
        <w:t xml:space="preserve">Prior to the publication of this paper, anyone reading the trading-agent literature would have understood that there was general agreement that, in general, AA beats GDX, GDX beats ZIP, and ZIP beats ZIC. </w:t>
      </w:r>
      <w:r w:rsidR="003A473B">
        <w:t xml:space="preserve">Only a careful reading of the literature would reveal that most of these results came from single-threaded simulations. </w:t>
      </w:r>
      <w:r>
        <w:t>Our results presented here show that while th</w:t>
      </w:r>
      <w:r w:rsidR="003A473B">
        <w:t xml:space="preserve">e AA&gt;GDX&gt;ZIP&gt;ZIC dominance hierarchy </w:t>
      </w:r>
      <w:r>
        <w:t xml:space="preserve">may </w:t>
      </w:r>
      <w:r w:rsidR="003A473B">
        <w:t>hold</w:t>
      </w:r>
      <w:r>
        <w:t xml:space="preserve"> true in simple simulations, as soon as real-time factors matter, </w:t>
      </w:r>
      <w:r w:rsidR="003A473B">
        <w:t xml:space="preserve">as soon as the various algorithms are operating in parallel, </w:t>
      </w:r>
      <w:r>
        <w:t xml:space="preserve">the computational costs of a </w:t>
      </w:r>
      <w:r w:rsidR="0037784D">
        <w:t>sophisticated</w:t>
      </w:r>
      <w:r>
        <w:t xml:space="preserve"> algorithm such as GDX count against it, and under the right conditions it can be </w:t>
      </w:r>
      <w:proofErr w:type="spellStart"/>
      <w:r>
        <w:t>outmanoeuvred</w:t>
      </w:r>
      <w:proofErr w:type="spellEnd"/>
      <w:r>
        <w:t xml:space="preserve"> by a simpler but faster algorithm. </w:t>
      </w:r>
      <w:r w:rsidR="003A473B">
        <w:t xml:space="preserve">So, the primary contribution of this paper is our demonstration here that the </w:t>
      </w:r>
      <w:r w:rsidR="003D2F3A">
        <w:t xml:space="preserve">old single-threaded </w:t>
      </w:r>
      <w:r w:rsidR="003A473B">
        <w:t xml:space="preserve">dominance hierarchy is not maintained in </w:t>
      </w:r>
      <w:r w:rsidR="003D2F3A">
        <w:t xml:space="preserve">multi-threaded </w:t>
      </w:r>
      <w:r w:rsidR="003A473B">
        <w:t>TBSE.</w:t>
      </w:r>
      <w:r w:rsidR="003D2F3A">
        <w:t xml:space="preserve"> As Table 1 shows, in TBSE we have AA beating ZIC, ZIP beating AA, ZIC beating GDX, and ZIP beating GDX</w:t>
      </w:r>
      <w:r w:rsidR="0037784D">
        <w:t>; a set of results that</w:t>
      </w:r>
      <w:r w:rsidR="003D2F3A">
        <w:t xml:space="preserve"> could be summarized as ZIP&gt;AA&gt;ZIC&gt;GDX.</w:t>
      </w:r>
      <w:r w:rsidR="003A473B">
        <w:t xml:space="preserve"> </w:t>
      </w:r>
    </w:p>
    <w:p w14:paraId="32D7C0B4" w14:textId="77777777" w:rsidR="0037784D" w:rsidRDefault="003A473B" w:rsidP="00E91627">
      <w:pPr>
        <w:pStyle w:val="I3M-BodyText"/>
      </w:pPr>
      <w:r>
        <w:t xml:space="preserve"> W</w:t>
      </w:r>
      <w:r w:rsidR="00163393">
        <w:t xml:space="preserve">hile it would </w:t>
      </w:r>
      <w:r w:rsidR="0087698E">
        <w:t xml:space="preserve">certainly </w:t>
      </w:r>
      <w:r w:rsidR="00163393">
        <w:t>satisfy our intellectual curiosity to explore</w:t>
      </w:r>
      <w:r w:rsidR="00E91627">
        <w:t xml:space="preserve"> </w:t>
      </w:r>
      <w:r>
        <w:t>various</w:t>
      </w:r>
      <w:r w:rsidR="00E91627">
        <w:t xml:space="preserve"> further</w:t>
      </w:r>
      <w:r w:rsidR="00163393">
        <w:t xml:space="preserve"> aspects </w:t>
      </w:r>
      <w:r w:rsidR="0087698E">
        <w:t xml:space="preserve">of this work </w:t>
      </w:r>
      <w:r w:rsidR="00163393">
        <w:t xml:space="preserve">in more detail, </w:t>
      </w:r>
      <w:r w:rsidR="0087698E">
        <w:t xml:space="preserve">we are </w:t>
      </w:r>
      <w:r w:rsidR="00E91627">
        <w:t>painfully aware</w:t>
      </w:r>
      <w:r w:rsidR="0087698E">
        <w:t xml:space="preserve"> that the </w:t>
      </w:r>
      <w:r w:rsidR="00E91627">
        <w:t xml:space="preserve">final </w:t>
      </w:r>
      <w:r w:rsidR="0087698E">
        <w:t>payoff for any such exploration may be nothing more than a shoulder-shrug and the concluding observation that "it's just really complicated". Real-world markets are complex systems. In fact, technically, they are</w:t>
      </w:r>
      <w:r w:rsidR="0037784D">
        <w:t xml:space="preserve"> complex</w:t>
      </w:r>
      <w:r w:rsidR="0087698E">
        <w:t xml:space="preserve"> </w:t>
      </w:r>
      <w:r w:rsidR="0087698E" w:rsidRPr="00E91627">
        <w:rPr>
          <w:i/>
          <w:iCs/>
        </w:rPr>
        <w:t>systems-of-systems</w:t>
      </w:r>
      <w:r w:rsidR="00E91627">
        <w:rPr>
          <w:i/>
          <w:iCs/>
        </w:rPr>
        <w:t xml:space="preserve"> </w:t>
      </w:r>
      <w:r w:rsidR="00E91627" w:rsidRPr="00E91627">
        <w:t xml:space="preserve">(see e.g. Sommerville </w:t>
      </w:r>
      <w:r w:rsidR="00E91627" w:rsidRPr="00E91627">
        <w:rPr>
          <w:i/>
          <w:iCs/>
        </w:rPr>
        <w:t>et al.</w:t>
      </w:r>
      <w:r w:rsidR="00E91627">
        <w:rPr>
          <w:i/>
          <w:iCs/>
        </w:rPr>
        <w:t>,</w:t>
      </w:r>
      <w:r w:rsidR="00E91627" w:rsidRPr="00E91627">
        <w:t xml:space="preserve"> </w:t>
      </w:r>
      <w:r w:rsidR="00E91627" w:rsidRPr="00E91627">
        <w:rPr>
          <w:color w:val="FF0000"/>
        </w:rPr>
        <w:t>YEAR</w:t>
      </w:r>
      <w:r w:rsidR="00E91627" w:rsidRPr="00E91627">
        <w:t>)</w:t>
      </w:r>
      <w:r w:rsidR="0087698E" w:rsidRPr="00E91627">
        <w:t>:</w:t>
      </w:r>
      <w:r w:rsidR="0087698E">
        <w:t xml:space="preserve"> they're made up of multiple independently designed &amp; </w:t>
      </w:r>
      <w:r w:rsidR="0037784D">
        <w:t xml:space="preserve">autonomously </w:t>
      </w:r>
      <w:r w:rsidR="0087698E">
        <w:t xml:space="preserve">operated </w:t>
      </w:r>
      <w:r w:rsidR="0087698E" w:rsidRPr="0087698E">
        <w:rPr>
          <w:i/>
          <w:iCs/>
        </w:rPr>
        <w:t>constituents</w:t>
      </w:r>
      <w:r w:rsidR="0087698E">
        <w:t xml:space="preserve"> (rather than </w:t>
      </w:r>
      <w:r w:rsidR="0087698E" w:rsidRPr="0037784D">
        <w:rPr>
          <w:i/>
          <w:iCs/>
        </w:rPr>
        <w:t>components</w:t>
      </w:r>
      <w:r w:rsidR="0087698E">
        <w:t xml:space="preserve">); those constituents operate asynchronously and in parallel; the number of constituents changes over time as old ones leave and new ones are added; and of course many or perhaps all of the constituents are </w:t>
      </w:r>
      <w:r w:rsidR="0037784D">
        <w:t xml:space="preserve">each </w:t>
      </w:r>
      <w:r w:rsidR="0087698E">
        <w:t>individually nonlinear systems, interacting with other constituents in nonlinear ways. Trying to capture all of this in a simulation is challenging, but we believe that the results presented here</w:t>
      </w:r>
      <w:r w:rsidR="00E91627">
        <w:t xml:space="preserve"> demonstrate that</w:t>
      </w:r>
      <w:r w:rsidR="0087698E">
        <w:t xml:space="preserve"> the extension from BSE to TBSE</w:t>
      </w:r>
      <w:r w:rsidR="00E91627">
        <w:t xml:space="preserve">, the move to parallel </w:t>
      </w:r>
      <w:r w:rsidR="0037784D">
        <w:t xml:space="preserve">multithreaded </w:t>
      </w:r>
      <w:r w:rsidR="00E91627">
        <w:t>asynchronous operation, is clearly a step in the right direction. And, in taking that step, we have called into question the previous results that proposed one particular trading algorithm as "the best-performing" or "the most dominant"</w:t>
      </w:r>
      <w:r w:rsidR="0037784D">
        <w:t xml:space="preserve">. </w:t>
      </w:r>
    </w:p>
    <w:p w14:paraId="3F1FF6FE" w14:textId="54AA39A7" w:rsidR="00E91627" w:rsidRDefault="0037784D" w:rsidP="00E91627">
      <w:pPr>
        <w:pStyle w:val="I3M-BodyText"/>
      </w:pPr>
      <w:r>
        <w:t xml:space="preserve">In fact, our work calls into question not just the truth of such statements, but also </w:t>
      </w:r>
      <w:r w:rsidR="00693128">
        <w:t>whether it is really ever worth trying to make such statements at all, b</w:t>
      </w:r>
      <w:r w:rsidR="00E91627">
        <w:t xml:space="preserve">ecause </w:t>
      </w:r>
      <w:r w:rsidR="00693128">
        <w:t>trading-</w:t>
      </w:r>
      <w:r w:rsidR="007015D2">
        <w:t>algorithm</w:t>
      </w:r>
      <w:r w:rsidR="00693128">
        <w:t xml:space="preserve"> </w:t>
      </w:r>
      <w:r w:rsidR="00E91627">
        <w:t xml:space="preserve">performance, and </w:t>
      </w:r>
      <w:r w:rsidR="00693128">
        <w:t xml:space="preserve">hence </w:t>
      </w:r>
      <w:r w:rsidR="00E91627">
        <w:t xml:space="preserve">dominance, is clearly so heavily affected by factors exogenous to the trading algorithm, chief of which is what other algorithms it is </w:t>
      </w:r>
      <w:r w:rsidR="00693128">
        <w:t>competing</w:t>
      </w:r>
      <w:r w:rsidR="00E91627">
        <w:t xml:space="preserve"> against, and in what proportion or ratio those different algorithms are present in the market</w:t>
      </w:r>
      <w:r w:rsidR="007015D2">
        <w:t>: it's manifestly game-theoretic.</w:t>
      </w:r>
      <w:r w:rsidR="00693128">
        <w:t xml:space="preserve"> Put simply, we question whether, in markets that are sufficiently realistic to be relevant to the real world, there can ever really be a single specific trading algorithm that is "dominant", that </w:t>
      </w:r>
      <w:r w:rsidR="007015D2">
        <w:t xml:space="preserve">actually </w:t>
      </w:r>
      <w:r w:rsidR="00693128">
        <w:t xml:space="preserve">beats all the rest. That is: if you think your trading algorithm </w:t>
      </w:r>
      <w:r w:rsidR="00B44696">
        <w:t xml:space="preserve">really </w:t>
      </w:r>
      <w:r w:rsidR="00693128">
        <w:t xml:space="preserve">is the best-performing one, </w:t>
      </w:r>
      <w:r w:rsidR="00DB2366">
        <w:t xml:space="preserve">we'd say that </w:t>
      </w:r>
      <w:r w:rsidR="00693128">
        <w:t xml:space="preserve">you've probably tested it in simulations that are too simple. </w:t>
      </w:r>
    </w:p>
    <w:p w14:paraId="075F9E58" w14:textId="4DDA281B" w:rsidR="00747176" w:rsidRPr="00747176" w:rsidRDefault="00747176" w:rsidP="00A87E95">
      <w:pPr>
        <w:pStyle w:val="I3M-References-Heading"/>
      </w:pPr>
      <w:bookmarkStart w:id="9" w:name="_bookmark7"/>
      <w:bookmarkEnd w:id="9"/>
      <w:r>
        <w:t>References</w:t>
      </w:r>
    </w:p>
    <w:p w14:paraId="748C5160" w14:textId="77777777" w:rsidR="00AB706C" w:rsidRDefault="00AB706C" w:rsidP="00A87E95">
      <w:pPr>
        <w:pStyle w:val="I3M-Reference"/>
      </w:pPr>
      <w:r>
        <w:t>Cox, D. R. (1972). Regression models and life tables</w:t>
      </w:r>
      <w:bookmarkStart w:id="10" w:name="_bookmark6"/>
      <w:bookmarkEnd w:id="10"/>
      <w:r>
        <w:t xml:space="preserve"> (with Discussion). </w:t>
      </w:r>
      <w:r>
        <w:rPr>
          <w:i/>
        </w:rPr>
        <w:t xml:space="preserve">J. R. Statist. Soc. </w:t>
      </w:r>
      <w:r>
        <w:t>B, 34:187–220.</w:t>
      </w:r>
    </w:p>
    <w:p w14:paraId="461AC31D" w14:textId="01745770" w:rsidR="00AB706C" w:rsidRDefault="00AB706C" w:rsidP="00A87E95">
      <w:pPr>
        <w:pStyle w:val="I3M-Reference"/>
        <w:rPr>
          <w:w w:val="105"/>
        </w:rPr>
      </w:pPr>
      <w:r>
        <w:rPr>
          <w:w w:val="105"/>
        </w:rPr>
        <w:t>Fan, J. and Peng, H. (2004). Nonconcave penalized likelihood with a diverging number of parameters.</w:t>
      </w:r>
      <w:bookmarkStart w:id="11" w:name="_bookmark8"/>
      <w:bookmarkEnd w:id="11"/>
      <w:r>
        <w:rPr>
          <w:w w:val="105"/>
        </w:rPr>
        <w:t xml:space="preserve"> </w:t>
      </w:r>
      <w:r>
        <w:rPr>
          <w:i/>
          <w:w w:val="105"/>
        </w:rPr>
        <w:t>Ann. Statist.</w:t>
      </w:r>
      <w:r>
        <w:rPr>
          <w:w w:val="105"/>
        </w:rPr>
        <w:t>, 32:928–61.</w:t>
      </w:r>
    </w:p>
    <w:p w14:paraId="13CD2AE5" w14:textId="31C2B4C5" w:rsidR="0087698E" w:rsidRDefault="0087698E" w:rsidP="00A87E95">
      <w:pPr>
        <w:pStyle w:val="I3M-Reference"/>
        <w:rPr>
          <w:w w:val="105"/>
        </w:rPr>
      </w:pPr>
      <w:r>
        <w:rPr>
          <w:w w:val="105"/>
        </w:rPr>
        <w:t>Cliff ZIP 1997</w:t>
      </w:r>
    </w:p>
    <w:p w14:paraId="3D08897E" w14:textId="48FFDA15" w:rsidR="0087698E" w:rsidRDefault="0087698E" w:rsidP="00A87E95">
      <w:pPr>
        <w:pStyle w:val="I3M-Reference"/>
        <w:rPr>
          <w:w w:val="105"/>
        </w:rPr>
      </w:pPr>
      <w:r>
        <w:rPr>
          <w:w w:val="105"/>
        </w:rPr>
        <w:t>Cliff BSE EMSS 2018</w:t>
      </w:r>
    </w:p>
    <w:p w14:paraId="1A5E306C" w14:textId="3FADFB47" w:rsidR="0087698E" w:rsidRDefault="0087698E" w:rsidP="00A87E95">
      <w:pPr>
        <w:pStyle w:val="I3M-Reference"/>
        <w:rPr>
          <w:w w:val="105"/>
        </w:rPr>
      </w:pPr>
      <w:r>
        <w:rPr>
          <w:w w:val="105"/>
        </w:rPr>
        <w:t>Cliff "modern methods" EMSS2019</w:t>
      </w:r>
    </w:p>
    <w:p w14:paraId="271CFC66" w14:textId="108D9FF9" w:rsidR="0087698E" w:rsidRDefault="0087698E" w:rsidP="0087698E">
      <w:pPr>
        <w:pStyle w:val="I3M-Reference"/>
        <w:rPr>
          <w:w w:val="105"/>
        </w:rPr>
      </w:pPr>
      <w:r>
        <w:rPr>
          <w:w w:val="105"/>
        </w:rPr>
        <w:t>Cliff ICAART 2019</w:t>
      </w:r>
    </w:p>
    <w:p w14:paraId="70696D6B" w14:textId="071088D9" w:rsidR="0087698E" w:rsidRDefault="0087698E" w:rsidP="00A87E95">
      <w:pPr>
        <w:pStyle w:val="I3M-Reference"/>
        <w:rPr>
          <w:w w:val="105"/>
        </w:rPr>
      </w:pPr>
      <w:proofErr w:type="spellStart"/>
      <w:r>
        <w:rPr>
          <w:w w:val="105"/>
        </w:rPr>
        <w:t>Gjerstad</w:t>
      </w:r>
      <w:proofErr w:type="spellEnd"/>
      <w:r>
        <w:rPr>
          <w:w w:val="105"/>
        </w:rPr>
        <w:t xml:space="preserve"> HBL</w:t>
      </w:r>
    </w:p>
    <w:p w14:paraId="205E9871" w14:textId="48015B7B" w:rsidR="0087698E" w:rsidRDefault="0087698E" w:rsidP="00A87E95">
      <w:pPr>
        <w:pStyle w:val="I3M-Reference"/>
        <w:rPr>
          <w:w w:val="105"/>
        </w:rPr>
      </w:pPr>
      <w:proofErr w:type="spellStart"/>
      <w:r>
        <w:rPr>
          <w:w w:val="105"/>
        </w:rPr>
        <w:t>Gode</w:t>
      </w:r>
      <w:proofErr w:type="spellEnd"/>
      <w:r>
        <w:rPr>
          <w:w w:val="105"/>
        </w:rPr>
        <w:t xml:space="preserve"> &amp; Sunder ZIC</w:t>
      </w:r>
    </w:p>
    <w:p w14:paraId="771F5E57" w14:textId="032EFBDD" w:rsidR="0087698E" w:rsidRDefault="0087698E" w:rsidP="00A87E95">
      <w:pPr>
        <w:pStyle w:val="I3M-Reference"/>
        <w:rPr>
          <w:w w:val="105"/>
        </w:rPr>
      </w:pPr>
      <w:r>
        <w:rPr>
          <w:w w:val="105"/>
        </w:rPr>
        <w:t>IBM papers</w:t>
      </w:r>
    </w:p>
    <w:p w14:paraId="3C811165" w14:textId="463F10FB" w:rsidR="00E91627" w:rsidRDefault="00E91627" w:rsidP="00A87E95">
      <w:pPr>
        <w:pStyle w:val="I3M-Reference"/>
        <w:rPr>
          <w:w w:val="105"/>
        </w:rPr>
      </w:pPr>
      <w:r>
        <w:rPr>
          <w:w w:val="105"/>
        </w:rPr>
        <w:t>Miles &amp; Cliff on DBSE</w:t>
      </w:r>
    </w:p>
    <w:p w14:paraId="17E6CA8D" w14:textId="44F7BEF4" w:rsidR="0087698E" w:rsidRDefault="0087698E" w:rsidP="00A87E95">
      <w:pPr>
        <w:pStyle w:val="I3M-Reference"/>
        <w:rPr>
          <w:w w:val="105"/>
        </w:rPr>
      </w:pPr>
      <w:r>
        <w:rPr>
          <w:w w:val="105"/>
        </w:rPr>
        <w:t>Roth/</w:t>
      </w:r>
      <w:proofErr w:type="spellStart"/>
      <w:r>
        <w:rPr>
          <w:w w:val="105"/>
        </w:rPr>
        <w:t>Erev</w:t>
      </w:r>
      <w:proofErr w:type="spellEnd"/>
    </w:p>
    <w:p w14:paraId="5F2194C0" w14:textId="07284B9C" w:rsidR="0087698E" w:rsidRDefault="0087698E" w:rsidP="00A87E95">
      <w:pPr>
        <w:pStyle w:val="I3M-Reference"/>
        <w:rPr>
          <w:w w:val="105"/>
        </w:rPr>
      </w:pPr>
      <w:proofErr w:type="spellStart"/>
      <w:r>
        <w:rPr>
          <w:w w:val="105"/>
        </w:rPr>
        <w:t>Snashall</w:t>
      </w:r>
      <w:proofErr w:type="spellEnd"/>
      <w:r>
        <w:rPr>
          <w:w w:val="105"/>
        </w:rPr>
        <w:t xml:space="preserve"> MEng thesis</w:t>
      </w:r>
    </w:p>
    <w:p w14:paraId="2FE95446" w14:textId="0E046AE6" w:rsidR="0087698E" w:rsidRDefault="0087698E" w:rsidP="00A87E95">
      <w:pPr>
        <w:pStyle w:val="I3M-Reference"/>
        <w:rPr>
          <w:w w:val="105"/>
        </w:rPr>
      </w:pPr>
      <w:proofErr w:type="spellStart"/>
      <w:r>
        <w:rPr>
          <w:w w:val="105"/>
        </w:rPr>
        <w:t>Snashall</w:t>
      </w:r>
      <w:proofErr w:type="spellEnd"/>
      <w:r>
        <w:rPr>
          <w:w w:val="105"/>
        </w:rPr>
        <w:t xml:space="preserve"> &amp; Cliff LNAI chapter</w:t>
      </w:r>
    </w:p>
    <w:p w14:paraId="0E6CC200" w14:textId="6F6573EC" w:rsidR="0087698E" w:rsidRDefault="0087698E" w:rsidP="00A87E95">
      <w:pPr>
        <w:pStyle w:val="I3M-Reference"/>
        <w:rPr>
          <w:w w:val="105"/>
        </w:rPr>
      </w:pPr>
      <w:proofErr w:type="spellStart"/>
      <w:r>
        <w:rPr>
          <w:w w:val="105"/>
        </w:rPr>
        <w:t>Vach</w:t>
      </w:r>
      <w:proofErr w:type="spellEnd"/>
      <w:r>
        <w:rPr>
          <w:w w:val="105"/>
        </w:rPr>
        <w:t xml:space="preserve"> MSc thesis</w:t>
      </w:r>
    </w:p>
    <w:p w14:paraId="221D2A69" w14:textId="1A002832" w:rsidR="0087698E" w:rsidRDefault="0087698E" w:rsidP="00A87E95">
      <w:pPr>
        <w:pStyle w:val="I3M-Reference"/>
        <w:rPr>
          <w:w w:val="105"/>
        </w:rPr>
      </w:pPr>
      <w:r>
        <w:rPr>
          <w:w w:val="105"/>
        </w:rPr>
        <w:t>ASAD paper</w:t>
      </w:r>
    </w:p>
    <w:p w14:paraId="1312C1BC" w14:textId="2A0E97D1" w:rsidR="00E91627" w:rsidRDefault="00E91627" w:rsidP="00A87E95">
      <w:pPr>
        <w:pStyle w:val="I3M-Reference"/>
      </w:pPr>
      <w:r>
        <w:rPr>
          <w:w w:val="105"/>
        </w:rPr>
        <w:t>Sommerville et al CACM on LSCITS</w:t>
      </w:r>
    </w:p>
    <w:p w14:paraId="7E041DA9" w14:textId="602B2038" w:rsidR="00AB706C" w:rsidRPr="00AB706C" w:rsidRDefault="00AB706C" w:rsidP="00BD7A80">
      <w:pPr>
        <w:pStyle w:val="I3M-Reference"/>
      </w:pPr>
      <w:r>
        <w:t xml:space="preserve">Heard, N. A., Holmes, C. C., and Stephens, D. A. (2006). A quantitative study of gene regulation involved in the immune response of Anopheline mosquitoes: An application of Bayesian hierarchical clustering of curves. </w:t>
      </w:r>
      <w:r>
        <w:rPr>
          <w:i/>
        </w:rPr>
        <w:t>J. Am. Statist. Assoc.</w:t>
      </w:r>
      <w:r>
        <w:t>, 101:18–29.</w:t>
      </w:r>
      <w:r w:rsidR="006B1189">
        <w:pict w14:anchorId="531B8819">
          <v:shapetype id="_x0000_t202" coordsize="21600,21600" o:spt="202" path="m,l,21600r21600,l21600,xe">
            <v:stroke joinstyle="miter"/>
            <v:path gradientshapeok="t" o:connecttype="rect"/>
          </v:shapetype>
          <v:shape id="_x0000_s1028" type="#_x0000_t202" alt="" style="position:absolute;left:0;text-align:left;margin-left:742.55pt;margin-top:481.45pt;width:11.8pt;height:42.25pt;z-index:251659264;mso-wrap-style:square;mso-wrap-edited:f;mso-width-percent:0;mso-height-percent:0;mso-position-horizontal-relative:page;mso-position-vertical-relative:page;mso-width-percent:0;mso-height-percent:0;v-text-anchor:top" filled="f" stroked="f">
            <v:textbox style="layout-flow:vertical;mso-next-textbox:#_x0000_s1028" inset="0,0,0,0">
              <w:txbxContent>
                <w:p w14:paraId="7008F80D" w14:textId="77777777" w:rsidR="00066572" w:rsidRDefault="00066572" w:rsidP="00711EE7">
                  <w:pPr>
                    <w:spacing w:before="13"/>
                    <w:ind w:left="20"/>
                    <w:rPr>
                      <w:sz w:val="15"/>
                    </w:rPr>
                  </w:pPr>
                  <w:r>
                    <w:rPr>
                      <w:color w:val="7F0000"/>
                      <w:w w:val="105"/>
                      <w:sz w:val="15"/>
                    </w:rPr>
                    <w:t>First et al.</w:t>
                  </w:r>
                </w:p>
              </w:txbxContent>
            </v:textbox>
            <w10:wrap anchorx="page" anchory="page"/>
          </v:shape>
        </w:pict>
      </w:r>
      <w:r w:rsidR="006B1189">
        <w:pict w14:anchorId="613014C3">
          <v:shape id="_x0000_s1027" type="#_x0000_t202" alt="" style="position:absolute;left:0;text-align:left;margin-left:742.05pt;margin-top:529.5pt;width:11.8pt;height:5.3pt;z-index:251660288;mso-wrap-style:square;mso-wrap-edited:f;mso-width-percent:0;mso-height-percent:0;mso-position-horizontal-relative:page;mso-position-vertical-relative:page;mso-width-percent:0;mso-height-percent:0;v-text-anchor:top" filled="f" stroked="f">
            <v:textbox style="layout-flow:vertical;mso-next-textbox:#_x0000_s1027" inset="0,0,0,0">
              <w:txbxContent>
                <w:p w14:paraId="2320F5CC" w14:textId="77777777" w:rsidR="00066572" w:rsidRDefault="00066572" w:rsidP="00711EE7">
                  <w:pPr>
                    <w:spacing w:before="13"/>
                    <w:ind w:left="20"/>
                    <w:rPr>
                      <w:sz w:val="15"/>
                    </w:rPr>
                  </w:pPr>
                  <w:r>
                    <w:rPr>
                      <w:color w:val="7F0000"/>
                      <w:w w:val="103"/>
                      <w:sz w:val="15"/>
                    </w:rPr>
                    <w:t>|</w:t>
                  </w:r>
                </w:p>
              </w:txbxContent>
            </v:textbox>
            <w10:wrap anchorx="page" anchory="page"/>
          </v:shape>
        </w:pict>
      </w:r>
      <w:r w:rsidR="006B1189">
        <w:pict w14:anchorId="72CA6D9D">
          <v:shape id="_x0000_s1026" type="#_x0000_t202" alt="" style="position:absolute;left:0;text-align:left;margin-left:742.55pt;margin-top:540.55pt;width:11.8pt;height:6.75pt;z-index:251661312;mso-wrap-style:square;mso-wrap-edited:f;mso-width-percent:0;mso-height-percent:0;mso-position-horizontal-relative:page;mso-position-vertical-relative:page;mso-width-percent:0;mso-height-percent:0;v-text-anchor:top" filled="f" stroked="f">
            <v:textbox style="layout-flow:vertical;mso-next-textbox:#_x0000_s1026" inset="0,0,0,0">
              <w:txbxContent>
                <w:p w14:paraId="42825C51" w14:textId="77777777" w:rsidR="00066572" w:rsidRDefault="00066572" w:rsidP="00711EE7">
                  <w:pPr>
                    <w:spacing w:before="13"/>
                    <w:ind w:left="20"/>
                    <w:rPr>
                      <w:b/>
                      <w:sz w:val="15"/>
                    </w:rPr>
                  </w:pPr>
                  <w:r>
                    <w:rPr>
                      <w:b/>
                      <w:color w:val="7F0000"/>
                      <w:w w:val="102"/>
                      <w:sz w:val="15"/>
                    </w:rPr>
                    <w:t>5</w:t>
                  </w:r>
                </w:p>
              </w:txbxContent>
            </v:textbox>
            <w10:wrap anchorx="page" anchory="page"/>
          </v:shape>
        </w:pict>
      </w:r>
    </w:p>
    <w:sectPr w:rsidR="00AB706C" w:rsidRPr="00AB706C" w:rsidSect="00E402C7">
      <w:type w:val="continuous"/>
      <w:pgSz w:w="12240" w:h="15840"/>
      <w:pgMar w:top="1321" w:right="1077" w:bottom="1038" w:left="1077" w:header="720" w:footer="720" w:gutter="0"/>
      <w:cols w:num="2" w:space="357"/>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5D6D8" w14:textId="77777777" w:rsidR="006B1189" w:rsidRDefault="006B1189" w:rsidP="00246FB3">
      <w:r>
        <w:separator/>
      </w:r>
    </w:p>
  </w:endnote>
  <w:endnote w:type="continuationSeparator" w:id="0">
    <w:p w14:paraId="0A3B7898" w14:textId="77777777" w:rsidR="006B1189" w:rsidRDefault="006B1189" w:rsidP="0024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rriweather">
    <w:altName w:val="Calibri"/>
    <w:panose1 w:val="020B0604020202020204"/>
    <w:charset w:val="00"/>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17384" w14:textId="0787694B" w:rsidR="00066572" w:rsidRDefault="00066572" w:rsidP="00D579AB">
    <w:pPr>
      <w:pStyle w:val="BodyText"/>
    </w:pPr>
    <w:r>
      <w:t xml:space="preserve">   </w:t>
    </w:r>
    <w:r w:rsidR="006B1189">
      <w:pict w14:anchorId="7BA6F99A">
        <v:group id="_x0000_s2049" alt="" style="width:504.45pt;height:.4pt;mso-position-horizontal-relative:char;mso-position-vertical-relative:line" coordsize="10089,8">
          <v:line id="_x0000_s2050" alt="" style="position:absolute" from="0,4" to="10088,4" strokeweight=".14042mm"/>
          <w10:anchorlock/>
        </v:group>
      </w:pict>
    </w:r>
  </w:p>
  <w:p w14:paraId="78398350" w14:textId="77777777" w:rsidR="00066572" w:rsidRDefault="00066572" w:rsidP="009C20B8">
    <w:pPr>
      <w:pStyle w:val="I3M-Copyright-Footer"/>
    </w:pPr>
    <w:r w:rsidRPr="00882850">
      <w:drawing>
        <wp:anchor distT="0" distB="0" distL="0" distR="0" simplePos="0" relativeHeight="251657216" behindDoc="0" locked="0" layoutInCell="1" allowOverlap="1" wp14:anchorId="7C02C757" wp14:editId="11A65A0E">
          <wp:simplePos x="0" y="0"/>
          <wp:positionH relativeFrom="page">
            <wp:posOffset>686912</wp:posOffset>
          </wp:positionH>
          <wp:positionV relativeFrom="paragraph">
            <wp:posOffset>59342</wp:posOffset>
          </wp:positionV>
          <wp:extent cx="882731" cy="3089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882731" cy="308955"/>
                  </a:xfrm>
                  <a:prstGeom prst="rect">
                    <a:avLst/>
                  </a:prstGeom>
                </pic:spPr>
              </pic:pic>
            </a:graphicData>
          </a:graphic>
        </wp:anchor>
      </w:drawing>
    </w:r>
    <w:bookmarkStart w:id="0" w:name="Sectional_Headings"/>
    <w:bookmarkEnd w:id="0"/>
    <w:r w:rsidRPr="00882850">
      <w:t xml:space="preserve">© 2020 The Authors. This article is an open </w:t>
    </w:r>
    <w:bookmarkStart w:id="1" w:name="Symbols_and_Variables"/>
    <w:bookmarkEnd w:id="1"/>
    <w:r w:rsidRPr="00882850">
      <w:t>access article distributed under the terms and conditions of the Creative Commons Attribution (CC BY-NC-ND) license (</w:t>
    </w:r>
    <w:hyperlink r:id="rId2">
      <w:r>
        <w:rPr>
          <w:color w:val="0000FF"/>
        </w:rPr>
        <w:t>https://creativecommons.org/licenses/by-nc-nd/4.0/</w:t>
      </w:r>
    </w:hyperlink>
    <w:r w:rsidRPr="00882850">
      <w:t>).</w:t>
    </w:r>
  </w:p>
  <w:p w14:paraId="516F97A3" w14:textId="25AD3DED" w:rsidR="00066572" w:rsidRDefault="00066572" w:rsidP="009C20B8">
    <w:pPr>
      <w:ind w:right="116"/>
      <w:jc w:val="right"/>
      <w:rPr>
        <w:b/>
        <w:color w:val="7F0000"/>
        <w:w w:val="99"/>
        <w:sz w:val="15"/>
      </w:rPr>
    </w:pPr>
  </w:p>
  <w:p w14:paraId="022D8179" w14:textId="77777777" w:rsidR="00066572" w:rsidRDefault="00066572" w:rsidP="009C20B8">
    <w:pPr>
      <w:ind w:right="116"/>
      <w:jc w:val="right"/>
      <w:rPr>
        <w:b/>
        <w:color w:val="7F0000"/>
        <w:w w:val="99"/>
        <w:sz w:val="15"/>
      </w:rPr>
    </w:pPr>
  </w:p>
  <w:p w14:paraId="213E120F" w14:textId="11B79DBF" w:rsidR="00066572" w:rsidRPr="00246FB3" w:rsidRDefault="00066572" w:rsidP="009C20B8">
    <w:pPr>
      <w:pStyle w:val="I3M-PageNumbers"/>
    </w:pP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CBFF7" w14:textId="77777777" w:rsidR="006B1189" w:rsidRDefault="006B1189" w:rsidP="00246FB3">
      <w:r>
        <w:separator/>
      </w:r>
    </w:p>
  </w:footnote>
  <w:footnote w:type="continuationSeparator" w:id="0">
    <w:p w14:paraId="231DE4D9" w14:textId="77777777" w:rsidR="006B1189" w:rsidRDefault="006B1189" w:rsidP="00246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E2514" w14:textId="6D07E823" w:rsidR="00066572" w:rsidRPr="001A16CC" w:rsidRDefault="006B1189" w:rsidP="001A16CC">
    <w:pPr>
      <w:pStyle w:val="I3M-EvenPageHeader"/>
    </w:pPr>
    <w:r>
      <w:pict w14:anchorId="68E3E311">
        <v:line id="_x0000_s2052" alt="" style="position:absolute;left:0;text-align:left;z-index:-251653120;mso-wrap-edited:f;mso-width-percent:0;mso-height-percent:0;mso-wrap-distance-left:0;mso-wrap-distance-right:0;mso-position-horizontal-relative:page;mso-width-percent:0;mso-height-percent:0" from="53.8pt,23.75pt" to="558.2pt,23.75pt" strokecolor="#d8d8d8" strokeweight=".70308mm">
          <w10:wrap type="topAndBottom" anchorx="page"/>
        </v:line>
      </w:pict>
    </w:r>
    <w:r w:rsidR="00066572" w:rsidRPr="001A16CC">
      <w:fldChar w:fldCharType="begin"/>
    </w:r>
    <w:r w:rsidR="00066572" w:rsidRPr="001A16CC">
      <w:instrText>PAGE   \* MERGEFORMAT</w:instrText>
    </w:r>
    <w:r w:rsidR="00066572" w:rsidRPr="001A16CC">
      <w:fldChar w:fldCharType="separate"/>
    </w:r>
    <w:r w:rsidR="00066572" w:rsidRPr="001A16CC">
      <w:t>1</w:t>
    </w:r>
    <w:r w:rsidR="00066572" w:rsidRPr="001A16CC">
      <w:fldChar w:fldCharType="end"/>
    </w:r>
    <w:r w:rsidR="00066572" w:rsidRPr="001A16CC">
      <w:t xml:space="preserve"> | 32nd European Modeling &amp; Simulation Symposium, EMSS 2020</w:t>
    </w:r>
  </w:p>
  <w:p w14:paraId="1B912AA3" w14:textId="77777777" w:rsidR="00066572" w:rsidRDefault="00066572" w:rsidP="00F768FC">
    <w:pPr>
      <w:pStyle w:val="BodyText"/>
      <w:spacing w:before="6"/>
      <w:rPr>
        <w:sz w:val="5"/>
      </w:rPr>
    </w:pPr>
  </w:p>
  <w:p w14:paraId="6596C5B0" w14:textId="77777777" w:rsidR="00066572" w:rsidRDefault="00066572" w:rsidP="00515A2A">
    <w:pPr>
      <w:pStyle w:val="I3M-Header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E57E7" w14:textId="6B3C3128" w:rsidR="00066572" w:rsidRDefault="006B1189" w:rsidP="001A16CC">
    <w:pPr>
      <w:pStyle w:val="I3M-OddPageHeader"/>
    </w:pPr>
    <w:r>
      <w:rPr>
        <w:sz w:val="22"/>
      </w:rPr>
      <w:pict w14:anchorId="6445286E">
        <v:line id="_x0000_s2051" alt="" style="position:absolute;left:0;text-align:left;z-index:-251651072;mso-wrap-edited:f;mso-width-percent:0;mso-height-percent:0;mso-wrap-distance-left:0;mso-wrap-distance-right:0;mso-position-horizontal-relative:page;mso-width-percent:0;mso-height-percent:0" from="53.8pt,23.75pt" to="558.2pt,23.75pt" strokecolor="#d8d8d8" strokeweight=".70308mm">
          <w10:wrap type="topAndBottom" anchorx="page"/>
        </v:line>
      </w:pict>
    </w:r>
    <w:r w:rsidR="00066572">
      <w:t xml:space="preserve">Rollins &amp; Cliff | </w:t>
    </w:r>
    <w:r w:rsidR="00066572" w:rsidRPr="001A16CC">
      <w:rPr>
        <w:b/>
      </w:rPr>
      <w:fldChar w:fldCharType="begin"/>
    </w:r>
    <w:r w:rsidR="00066572" w:rsidRPr="001A16CC">
      <w:rPr>
        <w:b/>
      </w:rPr>
      <w:instrText>PAGE   \* MERGEFORMAT</w:instrText>
    </w:r>
    <w:r w:rsidR="00066572" w:rsidRPr="001A16CC">
      <w:rPr>
        <w:b/>
      </w:rPr>
      <w:fldChar w:fldCharType="separate"/>
    </w:r>
    <w:r w:rsidR="00066572" w:rsidRPr="001A16CC">
      <w:rPr>
        <w:b/>
        <w:lang w:val="it-IT"/>
      </w:rPr>
      <w:t>1</w:t>
    </w:r>
    <w:r w:rsidR="00066572" w:rsidRPr="001A16CC">
      <w:rPr>
        <w:b/>
      </w:rPr>
      <w:fldChar w:fldCharType="end"/>
    </w:r>
  </w:p>
  <w:p w14:paraId="76FF0DF5" w14:textId="77777777" w:rsidR="00066572" w:rsidRDefault="00066572" w:rsidP="001A16CC">
    <w:pPr>
      <w:pStyle w:val="BodyText"/>
      <w:spacing w:before="6"/>
      <w:rPr>
        <w:sz w:val="5"/>
      </w:rPr>
    </w:pPr>
  </w:p>
  <w:p w14:paraId="2B1A2FBD" w14:textId="77777777" w:rsidR="00066572" w:rsidRDefault="00066572" w:rsidP="001A16CC">
    <w:pPr>
      <w:pStyle w:val="I3M-HeaderLi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2E37"/>
    <w:multiLevelType w:val="multilevel"/>
    <w:tmpl w:val="1834E136"/>
    <w:lvl w:ilvl="0">
      <w:start w:val="1"/>
      <w:numFmt w:val="decimal"/>
      <w:pStyle w:val="I3M-Section-Headings"/>
      <w:lvlText w:val="%1."/>
      <w:lvlJc w:val="left"/>
      <w:pPr>
        <w:ind w:left="472" w:hanging="357"/>
        <w:jc w:val="right"/>
      </w:pPr>
      <w:rPr>
        <w:rFonts w:ascii="Merriweather" w:eastAsia="Merriweather" w:hAnsi="Merriweather" w:cs="Merriweather" w:hint="default"/>
        <w:b/>
        <w:bCs/>
        <w:color w:val="7F0000"/>
        <w:w w:val="104"/>
        <w:sz w:val="20"/>
        <w:szCs w:val="20"/>
      </w:rPr>
    </w:lvl>
    <w:lvl w:ilvl="1">
      <w:start w:val="1"/>
      <w:numFmt w:val="decimal"/>
      <w:pStyle w:val="I3M-Subsection-Headings"/>
      <w:lvlText w:val="%1.%2."/>
      <w:lvlJc w:val="left"/>
      <w:pPr>
        <w:ind w:left="3555" w:hanging="437"/>
      </w:pPr>
      <w:rPr>
        <w:rFonts w:ascii="Merriweather" w:eastAsia="Merriweather" w:hAnsi="Merriweather" w:cs="Merriweather" w:hint="default"/>
        <w:b/>
        <w:bCs/>
        <w:color w:val="7F0000"/>
        <w:w w:val="104"/>
        <w:sz w:val="17"/>
        <w:szCs w:val="17"/>
      </w:rPr>
    </w:lvl>
    <w:lvl w:ilvl="2">
      <w:start w:val="1"/>
      <w:numFmt w:val="decimal"/>
      <w:pStyle w:val="I3M-Subsubsection-Headings"/>
      <w:lvlText w:val="%1.%2.%3."/>
      <w:lvlJc w:val="left"/>
      <w:pPr>
        <w:ind w:left="680" w:hanging="565"/>
      </w:pPr>
      <w:rPr>
        <w:rFonts w:ascii="Merriweather" w:eastAsia="Merriweather" w:hAnsi="Merriweather" w:cs="Merriweather" w:hint="default"/>
        <w:b/>
        <w:bCs/>
        <w:i/>
        <w:color w:val="7F0000"/>
        <w:w w:val="100"/>
        <w:sz w:val="18"/>
        <w:szCs w:val="18"/>
      </w:rPr>
    </w:lvl>
    <w:lvl w:ilvl="3">
      <w:numFmt w:val="bullet"/>
      <w:lvlText w:val="•"/>
      <w:lvlJc w:val="left"/>
      <w:pPr>
        <w:ind w:left="570" w:hanging="565"/>
      </w:pPr>
      <w:rPr>
        <w:rFonts w:hint="default"/>
      </w:rPr>
    </w:lvl>
    <w:lvl w:ilvl="4">
      <w:numFmt w:val="bullet"/>
      <w:lvlText w:val="•"/>
      <w:lvlJc w:val="left"/>
      <w:pPr>
        <w:ind w:left="461" w:hanging="565"/>
      </w:pPr>
      <w:rPr>
        <w:rFonts w:hint="default"/>
      </w:rPr>
    </w:lvl>
    <w:lvl w:ilvl="5">
      <w:numFmt w:val="bullet"/>
      <w:lvlText w:val="•"/>
      <w:lvlJc w:val="left"/>
      <w:pPr>
        <w:ind w:left="351" w:hanging="565"/>
      </w:pPr>
      <w:rPr>
        <w:rFonts w:hint="default"/>
      </w:rPr>
    </w:lvl>
    <w:lvl w:ilvl="6">
      <w:numFmt w:val="bullet"/>
      <w:lvlText w:val="•"/>
      <w:lvlJc w:val="left"/>
      <w:pPr>
        <w:ind w:left="242" w:hanging="565"/>
      </w:pPr>
      <w:rPr>
        <w:rFonts w:hint="default"/>
      </w:rPr>
    </w:lvl>
    <w:lvl w:ilvl="7">
      <w:numFmt w:val="bullet"/>
      <w:lvlText w:val="•"/>
      <w:lvlJc w:val="left"/>
      <w:pPr>
        <w:ind w:left="133" w:hanging="565"/>
      </w:pPr>
      <w:rPr>
        <w:rFonts w:hint="default"/>
      </w:rPr>
    </w:lvl>
    <w:lvl w:ilvl="8">
      <w:numFmt w:val="bullet"/>
      <w:lvlText w:val="•"/>
      <w:lvlJc w:val="left"/>
      <w:pPr>
        <w:ind w:left="23" w:hanging="565"/>
      </w:pPr>
      <w:rPr>
        <w:rFonts w:hint="default"/>
      </w:rPr>
    </w:lvl>
  </w:abstractNum>
  <w:abstractNum w:abstractNumId="1" w15:restartNumberingAfterBreak="0">
    <w:nsid w:val="3E062750"/>
    <w:multiLevelType w:val="hybridMultilevel"/>
    <w:tmpl w:val="DD080BF4"/>
    <w:lvl w:ilvl="0" w:tplc="DF10EE3E">
      <w:start w:val="1"/>
      <w:numFmt w:val="decimal"/>
      <w:pStyle w:val="I3M-NumberedList"/>
      <w:lvlText w:val="%1."/>
      <w:lvlJc w:val="left"/>
      <w:pPr>
        <w:ind w:left="430" w:hanging="279"/>
      </w:pPr>
      <w:rPr>
        <w:rFonts w:ascii="Merriweather" w:eastAsia="Merriweather" w:hAnsi="Merriweather" w:cs="Merriweather" w:hint="default"/>
        <w:w w:val="109"/>
        <w:sz w:val="18"/>
        <w:szCs w:val="18"/>
      </w:rPr>
    </w:lvl>
    <w:lvl w:ilvl="1" w:tplc="B0B21AEA">
      <w:numFmt w:val="bullet"/>
      <w:lvlText w:val="•"/>
      <w:lvlJc w:val="left"/>
      <w:pPr>
        <w:ind w:left="903" w:hanging="279"/>
      </w:pPr>
      <w:rPr>
        <w:rFonts w:hint="default"/>
      </w:rPr>
    </w:lvl>
    <w:lvl w:ilvl="2" w:tplc="0766465E">
      <w:numFmt w:val="bullet"/>
      <w:lvlText w:val="•"/>
      <w:lvlJc w:val="left"/>
      <w:pPr>
        <w:ind w:left="1367" w:hanging="279"/>
      </w:pPr>
      <w:rPr>
        <w:rFonts w:hint="default"/>
      </w:rPr>
    </w:lvl>
    <w:lvl w:ilvl="3" w:tplc="151AE882">
      <w:numFmt w:val="bullet"/>
      <w:lvlText w:val="•"/>
      <w:lvlJc w:val="left"/>
      <w:pPr>
        <w:ind w:left="1831" w:hanging="279"/>
      </w:pPr>
      <w:rPr>
        <w:rFonts w:hint="default"/>
      </w:rPr>
    </w:lvl>
    <w:lvl w:ilvl="4" w:tplc="8B0840F6">
      <w:numFmt w:val="bullet"/>
      <w:lvlText w:val="•"/>
      <w:lvlJc w:val="left"/>
      <w:pPr>
        <w:ind w:left="2295" w:hanging="279"/>
      </w:pPr>
      <w:rPr>
        <w:rFonts w:hint="default"/>
      </w:rPr>
    </w:lvl>
    <w:lvl w:ilvl="5" w:tplc="740C824E">
      <w:numFmt w:val="bullet"/>
      <w:lvlText w:val="•"/>
      <w:lvlJc w:val="left"/>
      <w:pPr>
        <w:ind w:left="2759" w:hanging="279"/>
      </w:pPr>
      <w:rPr>
        <w:rFonts w:hint="default"/>
      </w:rPr>
    </w:lvl>
    <w:lvl w:ilvl="6" w:tplc="81F63310">
      <w:numFmt w:val="bullet"/>
      <w:lvlText w:val="•"/>
      <w:lvlJc w:val="left"/>
      <w:pPr>
        <w:ind w:left="3223" w:hanging="279"/>
      </w:pPr>
      <w:rPr>
        <w:rFonts w:hint="default"/>
      </w:rPr>
    </w:lvl>
    <w:lvl w:ilvl="7" w:tplc="40DA4BE4">
      <w:numFmt w:val="bullet"/>
      <w:lvlText w:val="•"/>
      <w:lvlJc w:val="left"/>
      <w:pPr>
        <w:ind w:left="3687" w:hanging="279"/>
      </w:pPr>
      <w:rPr>
        <w:rFonts w:hint="default"/>
      </w:rPr>
    </w:lvl>
    <w:lvl w:ilvl="8" w:tplc="01067D48">
      <w:numFmt w:val="bullet"/>
      <w:lvlText w:val="•"/>
      <w:lvlJc w:val="left"/>
      <w:pPr>
        <w:ind w:left="4151" w:hanging="279"/>
      </w:pPr>
      <w:rPr>
        <w:rFonts w:hint="default"/>
      </w:rPr>
    </w:lvl>
  </w:abstractNum>
  <w:abstractNum w:abstractNumId="2" w15:restartNumberingAfterBreak="0">
    <w:nsid w:val="62186F35"/>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63BB493C"/>
    <w:multiLevelType w:val="hybridMultilevel"/>
    <w:tmpl w:val="7A626F72"/>
    <w:lvl w:ilvl="0" w:tplc="EB6C4364">
      <w:numFmt w:val="bullet"/>
      <w:pStyle w:val="I3M-BulletList"/>
      <w:lvlText w:val="•"/>
      <w:lvlJc w:val="left"/>
      <w:pPr>
        <w:ind w:left="355" w:hanging="174"/>
      </w:pPr>
      <w:rPr>
        <w:rFonts w:ascii="Merriweather" w:eastAsia="Merriweather" w:hAnsi="Merriweather" w:cs="Merriweather" w:hint="default"/>
        <w:w w:val="98"/>
        <w:sz w:val="18"/>
        <w:szCs w:val="18"/>
      </w:rPr>
    </w:lvl>
    <w:lvl w:ilvl="1" w:tplc="D204859A">
      <w:numFmt w:val="bullet"/>
      <w:lvlText w:val="•"/>
      <w:lvlJc w:val="left"/>
      <w:pPr>
        <w:ind w:left="831" w:hanging="174"/>
      </w:pPr>
      <w:rPr>
        <w:rFonts w:hint="default"/>
      </w:rPr>
    </w:lvl>
    <w:lvl w:ilvl="2" w:tplc="FB0CA494">
      <w:numFmt w:val="bullet"/>
      <w:lvlText w:val="•"/>
      <w:lvlJc w:val="left"/>
      <w:pPr>
        <w:ind w:left="1303" w:hanging="174"/>
      </w:pPr>
      <w:rPr>
        <w:rFonts w:hint="default"/>
      </w:rPr>
    </w:lvl>
    <w:lvl w:ilvl="3" w:tplc="60CAB872">
      <w:numFmt w:val="bullet"/>
      <w:lvlText w:val="•"/>
      <w:lvlJc w:val="left"/>
      <w:pPr>
        <w:ind w:left="1775" w:hanging="174"/>
      </w:pPr>
      <w:rPr>
        <w:rFonts w:hint="default"/>
      </w:rPr>
    </w:lvl>
    <w:lvl w:ilvl="4" w:tplc="8F4268D0">
      <w:numFmt w:val="bullet"/>
      <w:lvlText w:val="•"/>
      <w:lvlJc w:val="left"/>
      <w:pPr>
        <w:ind w:left="2247" w:hanging="174"/>
      </w:pPr>
      <w:rPr>
        <w:rFonts w:hint="default"/>
      </w:rPr>
    </w:lvl>
    <w:lvl w:ilvl="5" w:tplc="7DE0A034">
      <w:numFmt w:val="bullet"/>
      <w:lvlText w:val="•"/>
      <w:lvlJc w:val="left"/>
      <w:pPr>
        <w:ind w:left="2719" w:hanging="174"/>
      </w:pPr>
      <w:rPr>
        <w:rFonts w:hint="default"/>
      </w:rPr>
    </w:lvl>
    <w:lvl w:ilvl="6" w:tplc="7510875C">
      <w:numFmt w:val="bullet"/>
      <w:lvlText w:val="•"/>
      <w:lvlJc w:val="left"/>
      <w:pPr>
        <w:ind w:left="3191" w:hanging="174"/>
      </w:pPr>
      <w:rPr>
        <w:rFonts w:hint="default"/>
      </w:rPr>
    </w:lvl>
    <w:lvl w:ilvl="7" w:tplc="59BE5256">
      <w:numFmt w:val="bullet"/>
      <w:lvlText w:val="•"/>
      <w:lvlJc w:val="left"/>
      <w:pPr>
        <w:ind w:left="3663" w:hanging="174"/>
      </w:pPr>
      <w:rPr>
        <w:rFonts w:hint="default"/>
      </w:rPr>
    </w:lvl>
    <w:lvl w:ilvl="8" w:tplc="4412F2C4">
      <w:numFmt w:val="bullet"/>
      <w:lvlText w:val="•"/>
      <w:lvlJc w:val="left"/>
      <w:pPr>
        <w:ind w:left="4135" w:hanging="174"/>
      </w:pPr>
      <w:rPr>
        <w:rFonts w:hint="default"/>
      </w:rPr>
    </w:lvl>
  </w:abstractNum>
  <w:num w:numId="1">
    <w:abstractNumId w:val="1"/>
  </w:num>
  <w:num w:numId="2">
    <w:abstractNumId w:val="3"/>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removePersonalInformation/>
  <w:removeDateAndTime/>
  <w:proofState w:spelling="clean" w:grammar="clean"/>
  <w:defaultTabStop w:val="720"/>
  <w:hyphenationZone w:val="283"/>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C066F"/>
    <w:rsid w:val="00001458"/>
    <w:rsid w:val="000343CF"/>
    <w:rsid w:val="00053809"/>
    <w:rsid w:val="00066572"/>
    <w:rsid w:val="00095154"/>
    <w:rsid w:val="0009634D"/>
    <w:rsid w:val="000B3A6D"/>
    <w:rsid w:val="00102357"/>
    <w:rsid w:val="00126A77"/>
    <w:rsid w:val="001344BE"/>
    <w:rsid w:val="00134711"/>
    <w:rsid w:val="0013474E"/>
    <w:rsid w:val="001376D4"/>
    <w:rsid w:val="00163393"/>
    <w:rsid w:val="001A16CC"/>
    <w:rsid w:val="001A55DE"/>
    <w:rsid w:val="001E14FD"/>
    <w:rsid w:val="00207FBC"/>
    <w:rsid w:val="002400E1"/>
    <w:rsid w:val="002446BA"/>
    <w:rsid w:val="00246FB3"/>
    <w:rsid w:val="002574BC"/>
    <w:rsid w:val="00275C75"/>
    <w:rsid w:val="002A0457"/>
    <w:rsid w:val="00317FA0"/>
    <w:rsid w:val="0037784D"/>
    <w:rsid w:val="003A473B"/>
    <w:rsid w:val="003C0938"/>
    <w:rsid w:val="003D0F37"/>
    <w:rsid w:val="003D2F3A"/>
    <w:rsid w:val="003E7E8C"/>
    <w:rsid w:val="003F0925"/>
    <w:rsid w:val="00407369"/>
    <w:rsid w:val="00422D47"/>
    <w:rsid w:val="00436972"/>
    <w:rsid w:val="00444261"/>
    <w:rsid w:val="00470CA0"/>
    <w:rsid w:val="004738B4"/>
    <w:rsid w:val="004827A7"/>
    <w:rsid w:val="004900B6"/>
    <w:rsid w:val="00497946"/>
    <w:rsid w:val="004B157D"/>
    <w:rsid w:val="004D038A"/>
    <w:rsid w:val="004D6A07"/>
    <w:rsid w:val="004E13A4"/>
    <w:rsid w:val="00515A2A"/>
    <w:rsid w:val="0052115B"/>
    <w:rsid w:val="00554A66"/>
    <w:rsid w:val="0057020C"/>
    <w:rsid w:val="00595129"/>
    <w:rsid w:val="00596B2D"/>
    <w:rsid w:val="005A0982"/>
    <w:rsid w:val="005C066F"/>
    <w:rsid w:val="005D43F1"/>
    <w:rsid w:val="005D6E7F"/>
    <w:rsid w:val="005F46ED"/>
    <w:rsid w:val="00602071"/>
    <w:rsid w:val="00606189"/>
    <w:rsid w:val="00614FA5"/>
    <w:rsid w:val="006478FA"/>
    <w:rsid w:val="00680238"/>
    <w:rsid w:val="00690F61"/>
    <w:rsid w:val="00691572"/>
    <w:rsid w:val="00693128"/>
    <w:rsid w:val="006B1189"/>
    <w:rsid w:val="006B4D9A"/>
    <w:rsid w:val="006B79AE"/>
    <w:rsid w:val="006D1EAC"/>
    <w:rsid w:val="007015D2"/>
    <w:rsid w:val="00711EE7"/>
    <w:rsid w:val="00730230"/>
    <w:rsid w:val="0073026B"/>
    <w:rsid w:val="00747176"/>
    <w:rsid w:val="00761007"/>
    <w:rsid w:val="00792A36"/>
    <w:rsid w:val="007B1E3C"/>
    <w:rsid w:val="007E1732"/>
    <w:rsid w:val="007E2B1D"/>
    <w:rsid w:val="007E4635"/>
    <w:rsid w:val="00821E7D"/>
    <w:rsid w:val="00854173"/>
    <w:rsid w:val="008636A2"/>
    <w:rsid w:val="00874C2F"/>
    <w:rsid w:val="0087698E"/>
    <w:rsid w:val="00881B35"/>
    <w:rsid w:val="00882850"/>
    <w:rsid w:val="00883171"/>
    <w:rsid w:val="008966F2"/>
    <w:rsid w:val="008C4201"/>
    <w:rsid w:val="008D1D31"/>
    <w:rsid w:val="008E0A20"/>
    <w:rsid w:val="008F7D54"/>
    <w:rsid w:val="00901A11"/>
    <w:rsid w:val="009201EA"/>
    <w:rsid w:val="009261C8"/>
    <w:rsid w:val="00945B3F"/>
    <w:rsid w:val="00964FE6"/>
    <w:rsid w:val="009A4015"/>
    <w:rsid w:val="009C20B8"/>
    <w:rsid w:val="009C2B20"/>
    <w:rsid w:val="00A34CFA"/>
    <w:rsid w:val="00A67517"/>
    <w:rsid w:val="00A87E95"/>
    <w:rsid w:val="00A95044"/>
    <w:rsid w:val="00AB706C"/>
    <w:rsid w:val="00AB7B3C"/>
    <w:rsid w:val="00AD3806"/>
    <w:rsid w:val="00B11CDE"/>
    <w:rsid w:val="00B14C4D"/>
    <w:rsid w:val="00B21F33"/>
    <w:rsid w:val="00B2473A"/>
    <w:rsid w:val="00B26B8D"/>
    <w:rsid w:val="00B44696"/>
    <w:rsid w:val="00B613BA"/>
    <w:rsid w:val="00B850AA"/>
    <w:rsid w:val="00B97698"/>
    <w:rsid w:val="00BC7F96"/>
    <w:rsid w:val="00BD2F2B"/>
    <w:rsid w:val="00BD7A80"/>
    <w:rsid w:val="00BF0B6A"/>
    <w:rsid w:val="00C35347"/>
    <w:rsid w:val="00CA1AE1"/>
    <w:rsid w:val="00CA37B3"/>
    <w:rsid w:val="00CC0D59"/>
    <w:rsid w:val="00D579AB"/>
    <w:rsid w:val="00D62606"/>
    <w:rsid w:val="00D82C97"/>
    <w:rsid w:val="00D97BFF"/>
    <w:rsid w:val="00DA0F6B"/>
    <w:rsid w:val="00DB2366"/>
    <w:rsid w:val="00DD30F8"/>
    <w:rsid w:val="00DF2BC8"/>
    <w:rsid w:val="00E10E25"/>
    <w:rsid w:val="00E378B8"/>
    <w:rsid w:val="00E402C7"/>
    <w:rsid w:val="00E4047A"/>
    <w:rsid w:val="00E579DE"/>
    <w:rsid w:val="00E61790"/>
    <w:rsid w:val="00E72ADA"/>
    <w:rsid w:val="00E7728F"/>
    <w:rsid w:val="00E91627"/>
    <w:rsid w:val="00E93028"/>
    <w:rsid w:val="00EB5FBC"/>
    <w:rsid w:val="00ED4171"/>
    <w:rsid w:val="00EF0F4F"/>
    <w:rsid w:val="00EF3891"/>
    <w:rsid w:val="00F12DE2"/>
    <w:rsid w:val="00F1521E"/>
    <w:rsid w:val="00F219AF"/>
    <w:rsid w:val="00F241BC"/>
    <w:rsid w:val="00F405FD"/>
    <w:rsid w:val="00F76724"/>
    <w:rsid w:val="00F768FC"/>
    <w:rsid w:val="00F93AAF"/>
    <w:rsid w:val="00FC51AC"/>
    <w:rsid w:val="00FF04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EF9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37"/>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9"/>
    <w:qFormat/>
    <w:pPr>
      <w:widowControl w:val="0"/>
      <w:autoSpaceDE w:val="0"/>
      <w:autoSpaceDN w:val="0"/>
      <w:ind w:left="109"/>
      <w:outlineLvl w:val="0"/>
    </w:pPr>
    <w:rPr>
      <w:rFonts w:ascii="Merriweather" w:eastAsia="Merriweather" w:hAnsi="Merriweather" w:cs="Merriweather"/>
      <w:b/>
      <w:bCs/>
      <w:sz w:val="20"/>
      <w:szCs w:val="20"/>
      <w:lang w:val="en-US" w:eastAsia="en-US"/>
    </w:rPr>
  </w:style>
  <w:style w:type="paragraph" w:styleId="Heading2">
    <w:name w:val="heading 2"/>
    <w:basedOn w:val="Normal"/>
    <w:next w:val="Normal"/>
    <w:link w:val="Heading2Char"/>
    <w:uiPriority w:val="9"/>
    <w:semiHidden/>
    <w:unhideWhenUsed/>
    <w:rsid w:val="00317FA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widowControl w:val="0"/>
      <w:autoSpaceDE w:val="0"/>
      <w:autoSpaceDN w:val="0"/>
    </w:pPr>
    <w:rPr>
      <w:rFonts w:ascii="Merriweather" w:eastAsia="Merriweather" w:hAnsi="Merriweather" w:cs="Merriweather"/>
      <w:sz w:val="18"/>
      <w:szCs w:val="18"/>
      <w:lang w:val="en-US" w:eastAsia="en-US"/>
    </w:rPr>
  </w:style>
  <w:style w:type="paragraph" w:styleId="ListParagraph">
    <w:name w:val="List Paragraph"/>
    <w:basedOn w:val="Normal"/>
    <w:uiPriority w:val="1"/>
    <w:qFormat/>
    <w:pPr>
      <w:widowControl w:val="0"/>
      <w:autoSpaceDE w:val="0"/>
      <w:autoSpaceDN w:val="0"/>
      <w:ind w:left="355" w:hanging="174"/>
    </w:pPr>
    <w:rPr>
      <w:rFonts w:ascii="Merriweather" w:eastAsia="Merriweather" w:hAnsi="Merriweather" w:cs="Merriweather"/>
      <w:sz w:val="22"/>
      <w:szCs w:val="22"/>
      <w:lang w:val="en-US" w:eastAsia="en-US"/>
    </w:rPr>
  </w:style>
  <w:style w:type="paragraph" w:customStyle="1" w:styleId="TableParagraph">
    <w:name w:val="Table Paragraph"/>
    <w:basedOn w:val="Normal"/>
    <w:uiPriority w:val="1"/>
    <w:qFormat/>
    <w:pPr>
      <w:widowControl w:val="0"/>
      <w:autoSpaceDE w:val="0"/>
      <w:autoSpaceDN w:val="0"/>
      <w:spacing w:line="179" w:lineRule="exact"/>
      <w:ind w:left="120"/>
    </w:pPr>
    <w:rPr>
      <w:rFonts w:ascii="Merriweather" w:eastAsia="Merriweather" w:hAnsi="Merriweather" w:cs="Merriweather"/>
      <w:sz w:val="22"/>
      <w:szCs w:val="22"/>
      <w:lang w:val="en-US" w:eastAsia="en-US"/>
    </w:rPr>
  </w:style>
  <w:style w:type="paragraph" w:customStyle="1" w:styleId="I3M-Abstract">
    <w:name w:val="I3M-Abstract"/>
    <w:basedOn w:val="Normal"/>
    <w:next w:val="I3M-Keywords"/>
    <w:link w:val="I3M-AbstractCarattere"/>
    <w:qFormat/>
    <w:rsid w:val="00690F61"/>
    <w:pPr>
      <w:widowControl w:val="0"/>
      <w:autoSpaceDE w:val="0"/>
      <w:autoSpaceDN w:val="0"/>
      <w:spacing w:before="77" w:line="245" w:lineRule="auto"/>
      <w:jc w:val="both"/>
    </w:pPr>
    <w:rPr>
      <w:rFonts w:ascii="Merriweather" w:eastAsia="Merriweather" w:hAnsi="Merriweather" w:cs="Merriweather"/>
      <w:sz w:val="16"/>
      <w:szCs w:val="22"/>
      <w:lang w:val="en-US" w:eastAsia="en-US"/>
    </w:rPr>
  </w:style>
  <w:style w:type="paragraph" w:customStyle="1" w:styleId="I3M-Abstract-Title">
    <w:name w:val="I3M-Abstract-Title"/>
    <w:basedOn w:val="Heading1"/>
    <w:next w:val="I3M-Abstract"/>
    <w:link w:val="I3M-Abstract-TitleCarattere"/>
    <w:qFormat/>
    <w:rsid w:val="00690F61"/>
    <w:pPr>
      <w:spacing w:before="84"/>
      <w:ind w:left="0"/>
      <w:outlineLvl w:val="9"/>
    </w:pPr>
    <w:rPr>
      <w:color w:val="7F0000"/>
    </w:rPr>
  </w:style>
  <w:style w:type="character" w:customStyle="1" w:styleId="I3M-AbstractCarattere">
    <w:name w:val="I3M-Abstract Carattere"/>
    <w:basedOn w:val="DefaultParagraphFont"/>
    <w:link w:val="I3M-Abstract"/>
    <w:rsid w:val="00690F61"/>
    <w:rPr>
      <w:rFonts w:ascii="Merriweather" w:eastAsia="Merriweather" w:hAnsi="Merriweather" w:cs="Merriweather"/>
      <w:sz w:val="16"/>
    </w:rPr>
  </w:style>
  <w:style w:type="paragraph" w:customStyle="1" w:styleId="I3M-Keywords">
    <w:name w:val="I3M-Keywords"/>
    <w:basedOn w:val="Normal"/>
    <w:qFormat/>
    <w:rsid w:val="00690F61"/>
    <w:pPr>
      <w:widowControl w:val="0"/>
      <w:autoSpaceDE w:val="0"/>
      <w:autoSpaceDN w:val="0"/>
      <w:spacing w:before="145"/>
    </w:pPr>
    <w:rPr>
      <w:rFonts w:ascii="Merriweather" w:eastAsia="Merriweather" w:hAnsi="Merriweather" w:cs="Merriweather"/>
      <w:sz w:val="16"/>
      <w:szCs w:val="22"/>
      <w:lang w:val="en-US" w:eastAsia="en-US"/>
    </w:rPr>
  </w:style>
  <w:style w:type="character" w:customStyle="1" w:styleId="Heading1Char">
    <w:name w:val="Heading 1 Char"/>
    <w:basedOn w:val="DefaultParagraphFont"/>
    <w:link w:val="Heading1"/>
    <w:uiPriority w:val="9"/>
    <w:rsid w:val="00F241BC"/>
    <w:rPr>
      <w:rFonts w:ascii="Merriweather" w:eastAsia="Merriweather" w:hAnsi="Merriweather" w:cs="Merriweather"/>
      <w:b/>
      <w:bCs/>
      <w:sz w:val="20"/>
      <w:szCs w:val="20"/>
    </w:rPr>
  </w:style>
  <w:style w:type="character" w:customStyle="1" w:styleId="I3M-Abstract-TitleCarattere">
    <w:name w:val="I3M-Abstract-Title Carattere"/>
    <w:basedOn w:val="Heading1Char"/>
    <w:link w:val="I3M-Abstract-Title"/>
    <w:rsid w:val="00690F61"/>
    <w:rPr>
      <w:rFonts w:ascii="Merriweather" w:eastAsia="Merriweather" w:hAnsi="Merriweather" w:cs="Merriweather"/>
      <w:b/>
      <w:bCs/>
      <w:color w:val="7F0000"/>
      <w:sz w:val="20"/>
      <w:szCs w:val="20"/>
    </w:rPr>
  </w:style>
  <w:style w:type="paragraph" w:customStyle="1" w:styleId="I3M-Corresponding-Author">
    <w:name w:val="I3M-Corresponding-Author"/>
    <w:basedOn w:val="Normal"/>
    <w:link w:val="I3M-Corresponding-AuthorCarattere"/>
    <w:qFormat/>
    <w:rsid w:val="00690F61"/>
    <w:pPr>
      <w:widowControl w:val="0"/>
      <w:autoSpaceDE w:val="0"/>
      <w:autoSpaceDN w:val="0"/>
      <w:spacing w:before="122"/>
    </w:pPr>
    <w:rPr>
      <w:rFonts w:ascii="Merriweather" w:eastAsia="Merriweather" w:hAnsi="Merriweather" w:cs="Merriweather"/>
      <w:sz w:val="16"/>
      <w:szCs w:val="22"/>
      <w:lang w:val="en-US" w:eastAsia="en-US"/>
    </w:rPr>
  </w:style>
  <w:style w:type="paragraph" w:customStyle="1" w:styleId="I3M-Affiliation">
    <w:name w:val="I3M-Affiliation"/>
    <w:basedOn w:val="BodyText"/>
    <w:qFormat/>
    <w:rsid w:val="00690F61"/>
    <w:pPr>
      <w:spacing w:before="198" w:line="269" w:lineRule="exact"/>
      <w:contextualSpacing/>
    </w:pPr>
  </w:style>
  <w:style w:type="character" w:customStyle="1" w:styleId="I3M-Corresponding-AuthorCarattere">
    <w:name w:val="I3M-Corresponding-Author Carattere"/>
    <w:basedOn w:val="DefaultParagraphFont"/>
    <w:link w:val="I3M-Corresponding-Author"/>
    <w:rsid w:val="00690F61"/>
    <w:rPr>
      <w:rFonts w:ascii="Merriweather" w:eastAsia="Merriweather" w:hAnsi="Merriweather" w:cs="Merriweather"/>
      <w:sz w:val="16"/>
    </w:rPr>
  </w:style>
  <w:style w:type="paragraph" w:customStyle="1" w:styleId="I3M-Author">
    <w:name w:val="I3M-Author"/>
    <w:basedOn w:val="Normal"/>
    <w:next w:val="I3M-Affiliation"/>
    <w:qFormat/>
    <w:rsid w:val="00690F61"/>
    <w:pPr>
      <w:widowControl w:val="0"/>
      <w:autoSpaceDE w:val="0"/>
      <w:autoSpaceDN w:val="0"/>
      <w:spacing w:before="205"/>
    </w:pPr>
    <w:rPr>
      <w:rFonts w:ascii="Merriweather" w:eastAsia="Merriweather" w:hAnsi="Merriweather" w:cs="Merriweather"/>
      <w:sz w:val="26"/>
      <w:szCs w:val="22"/>
      <w:lang w:val="en-US" w:eastAsia="en-US"/>
    </w:rPr>
  </w:style>
  <w:style w:type="paragraph" w:customStyle="1" w:styleId="I3M-Paper-Title">
    <w:name w:val="I3M-Paper-Title"/>
    <w:basedOn w:val="Normal"/>
    <w:next w:val="I3M-Author"/>
    <w:qFormat/>
    <w:rsid w:val="00792A36"/>
    <w:pPr>
      <w:widowControl w:val="0"/>
      <w:autoSpaceDE w:val="0"/>
      <w:autoSpaceDN w:val="0"/>
      <w:spacing w:before="960"/>
    </w:pPr>
    <w:rPr>
      <w:rFonts w:ascii="Merriweather" w:eastAsia="Merriweather" w:hAnsi="Merriweather" w:cs="Merriweather"/>
      <w:b/>
      <w:color w:val="7F0000"/>
      <w:sz w:val="36"/>
      <w:szCs w:val="22"/>
      <w:lang w:val="en-US" w:eastAsia="en-US"/>
    </w:rPr>
  </w:style>
  <w:style w:type="paragraph" w:customStyle="1" w:styleId="I3M-ConferenceHeading-Italic">
    <w:name w:val="I3M-ConferenceHeading-Italic"/>
    <w:basedOn w:val="Normal"/>
    <w:next w:val="I3M-ConferenceHeading-Regular"/>
    <w:qFormat/>
    <w:rsid w:val="00246FB3"/>
    <w:pPr>
      <w:widowControl w:val="0"/>
      <w:autoSpaceDE w:val="0"/>
      <w:autoSpaceDN w:val="0"/>
      <w:spacing w:before="59" w:line="225" w:lineRule="exact"/>
      <w:ind w:left="1563"/>
    </w:pPr>
    <w:rPr>
      <w:rFonts w:ascii="Merriweather" w:eastAsia="Merriweather" w:hAnsi="Merriweather" w:cs="Merriweather"/>
      <w:i/>
      <w:sz w:val="16"/>
      <w:szCs w:val="22"/>
      <w:lang w:val="en-US" w:eastAsia="en-US"/>
    </w:rPr>
  </w:style>
  <w:style w:type="paragraph" w:customStyle="1" w:styleId="I3M-ConferenceHeading-Regular">
    <w:name w:val="I3M-ConferenceHeading-Regular"/>
    <w:basedOn w:val="Normal"/>
    <w:qFormat/>
    <w:rsid w:val="00246FB3"/>
    <w:pPr>
      <w:widowControl w:val="0"/>
      <w:autoSpaceDE w:val="0"/>
      <w:autoSpaceDN w:val="0"/>
      <w:spacing w:line="225" w:lineRule="exact"/>
      <w:ind w:left="1559"/>
    </w:pPr>
    <w:rPr>
      <w:rFonts w:ascii="Merriweather" w:eastAsia="Merriweather" w:hAnsi="Merriweather" w:cs="Merriweather"/>
      <w:sz w:val="16"/>
      <w:szCs w:val="22"/>
      <w:lang w:val="en-US" w:eastAsia="en-US"/>
    </w:rPr>
  </w:style>
  <w:style w:type="paragraph" w:customStyle="1" w:styleId="I3M-CopyrightHeading">
    <w:name w:val="I3M-CopyrightHeading"/>
    <w:basedOn w:val="Normal"/>
    <w:next w:val="I3M-DOIHeading"/>
    <w:qFormat/>
    <w:rsid w:val="00E93028"/>
    <w:pPr>
      <w:widowControl w:val="0"/>
      <w:autoSpaceDE w:val="0"/>
      <w:autoSpaceDN w:val="0"/>
      <w:spacing w:before="1" w:line="245" w:lineRule="auto"/>
      <w:ind w:left="1565"/>
    </w:pPr>
    <w:rPr>
      <w:rFonts w:ascii="Merriweather" w:eastAsia="Merriweather" w:hAnsi="Merriweather" w:cs="Merriweather"/>
      <w:sz w:val="16"/>
      <w:szCs w:val="22"/>
      <w:lang w:val="en-US" w:eastAsia="en-US"/>
    </w:rPr>
  </w:style>
  <w:style w:type="paragraph" w:customStyle="1" w:styleId="I3M-DOIHeading">
    <w:name w:val="I3M-DOIHeading"/>
    <w:basedOn w:val="I3M-CopyrightHeading"/>
    <w:qFormat/>
    <w:rsid w:val="00246FB3"/>
    <w:rPr>
      <w:color w:val="7F0000"/>
    </w:rPr>
  </w:style>
  <w:style w:type="paragraph" w:customStyle="1" w:styleId="I3M-Section-Headings">
    <w:name w:val="I3M-Section-Headings"/>
    <w:basedOn w:val="Heading1"/>
    <w:next w:val="I3M-BodyText-AfterHeading"/>
    <w:qFormat/>
    <w:rsid w:val="00275C75"/>
    <w:pPr>
      <w:numPr>
        <w:numId w:val="3"/>
      </w:numPr>
      <w:tabs>
        <w:tab w:val="left" w:pos="473"/>
      </w:tabs>
      <w:spacing w:before="240"/>
      <w:ind w:left="357"/>
      <w:contextualSpacing/>
      <w:jc w:val="left"/>
    </w:pPr>
    <w:rPr>
      <w:color w:val="7F0000"/>
    </w:rPr>
  </w:style>
  <w:style w:type="paragraph" w:styleId="Header">
    <w:name w:val="header"/>
    <w:basedOn w:val="Normal"/>
    <w:link w:val="HeaderChar"/>
    <w:uiPriority w:val="99"/>
    <w:unhideWhenUsed/>
    <w:rsid w:val="00246FB3"/>
    <w:pPr>
      <w:widowControl w:val="0"/>
      <w:tabs>
        <w:tab w:val="center" w:pos="4819"/>
        <w:tab w:val="right" w:pos="9638"/>
      </w:tabs>
      <w:autoSpaceDE w:val="0"/>
      <w:autoSpaceDN w:val="0"/>
    </w:pPr>
    <w:rPr>
      <w:rFonts w:ascii="Merriweather" w:eastAsia="Merriweather" w:hAnsi="Merriweather" w:cs="Merriweather"/>
      <w:sz w:val="22"/>
      <w:szCs w:val="22"/>
      <w:lang w:val="en-US" w:eastAsia="en-US"/>
    </w:rPr>
  </w:style>
  <w:style w:type="character" w:customStyle="1" w:styleId="HeaderChar">
    <w:name w:val="Header Char"/>
    <w:basedOn w:val="DefaultParagraphFont"/>
    <w:link w:val="Header"/>
    <w:uiPriority w:val="99"/>
    <w:rsid w:val="00246FB3"/>
    <w:rPr>
      <w:rFonts w:ascii="Merriweather" w:eastAsia="Merriweather" w:hAnsi="Merriweather" w:cs="Merriweather"/>
    </w:rPr>
  </w:style>
  <w:style w:type="paragraph" w:styleId="Footer">
    <w:name w:val="footer"/>
    <w:basedOn w:val="Normal"/>
    <w:link w:val="FooterChar"/>
    <w:uiPriority w:val="99"/>
    <w:unhideWhenUsed/>
    <w:rsid w:val="00246FB3"/>
    <w:pPr>
      <w:widowControl w:val="0"/>
      <w:tabs>
        <w:tab w:val="center" w:pos="4819"/>
        <w:tab w:val="right" w:pos="9638"/>
      </w:tabs>
      <w:autoSpaceDE w:val="0"/>
      <w:autoSpaceDN w:val="0"/>
    </w:pPr>
    <w:rPr>
      <w:rFonts w:ascii="Merriweather" w:eastAsia="Merriweather" w:hAnsi="Merriweather" w:cs="Merriweather"/>
      <w:sz w:val="22"/>
      <w:szCs w:val="22"/>
      <w:lang w:val="en-US" w:eastAsia="en-US"/>
    </w:rPr>
  </w:style>
  <w:style w:type="character" w:customStyle="1" w:styleId="FooterChar">
    <w:name w:val="Footer Char"/>
    <w:basedOn w:val="DefaultParagraphFont"/>
    <w:link w:val="Footer"/>
    <w:uiPriority w:val="99"/>
    <w:rsid w:val="00246FB3"/>
    <w:rPr>
      <w:rFonts w:ascii="Merriweather" w:eastAsia="Merriweather" w:hAnsi="Merriweather" w:cs="Merriweather"/>
    </w:rPr>
  </w:style>
  <w:style w:type="paragraph" w:customStyle="1" w:styleId="I3M-BodyText">
    <w:name w:val="I3M-BodyText"/>
    <w:basedOn w:val="BodyText"/>
    <w:qFormat/>
    <w:rsid w:val="00275C75"/>
    <w:pPr>
      <w:spacing w:before="112" w:line="228" w:lineRule="auto"/>
      <w:ind w:firstLine="238"/>
      <w:jc w:val="both"/>
    </w:pPr>
  </w:style>
  <w:style w:type="paragraph" w:customStyle="1" w:styleId="I3M-Subsection-Headings">
    <w:name w:val="I3M-Subsection-Headings"/>
    <w:basedOn w:val="ListParagraph"/>
    <w:qFormat/>
    <w:rsid w:val="00275C75"/>
    <w:pPr>
      <w:numPr>
        <w:ilvl w:val="1"/>
        <w:numId w:val="3"/>
      </w:numPr>
      <w:tabs>
        <w:tab w:val="left" w:pos="553"/>
      </w:tabs>
      <w:spacing w:before="240"/>
      <w:ind w:left="437"/>
      <w:contextualSpacing/>
    </w:pPr>
    <w:rPr>
      <w:b/>
      <w:color w:val="7F0000"/>
      <w:sz w:val="18"/>
    </w:rPr>
  </w:style>
  <w:style w:type="paragraph" w:customStyle="1" w:styleId="I3M-Subsubsection-Headings">
    <w:name w:val="I3M-Subsubsection-Headings"/>
    <w:basedOn w:val="ListParagraph"/>
    <w:qFormat/>
    <w:rsid w:val="00275C75"/>
    <w:pPr>
      <w:numPr>
        <w:ilvl w:val="2"/>
        <w:numId w:val="3"/>
      </w:numPr>
      <w:tabs>
        <w:tab w:val="left" w:pos="681"/>
      </w:tabs>
      <w:spacing w:before="240"/>
      <w:ind w:left="567" w:hanging="567"/>
    </w:pPr>
    <w:rPr>
      <w:b/>
      <w:i/>
      <w:color w:val="7F0000"/>
      <w:sz w:val="18"/>
    </w:rPr>
  </w:style>
  <w:style w:type="paragraph" w:customStyle="1" w:styleId="I3M-BodyText-AfterHeading">
    <w:name w:val="I3M-BodyText-AfterHeading"/>
    <w:basedOn w:val="I3M-BodyText"/>
    <w:next w:val="I3M-BodyText"/>
    <w:qFormat/>
    <w:rsid w:val="00275C75"/>
    <w:pPr>
      <w:ind w:firstLine="0"/>
    </w:pPr>
  </w:style>
  <w:style w:type="paragraph" w:customStyle="1" w:styleId="I3M-BodyText-Bold">
    <w:name w:val="I3M-BodyText-Bold"/>
    <w:basedOn w:val="I3M-BodyText"/>
    <w:qFormat/>
    <w:rsid w:val="00883171"/>
    <w:rPr>
      <w:b/>
      <w:bCs/>
    </w:rPr>
  </w:style>
  <w:style w:type="paragraph" w:customStyle="1" w:styleId="I3M-Citation">
    <w:name w:val="I3M-Citation"/>
    <w:basedOn w:val="Normal"/>
    <w:next w:val="I3M-BodyText"/>
    <w:qFormat/>
    <w:rsid w:val="00F768FC"/>
    <w:pPr>
      <w:widowControl w:val="0"/>
      <w:autoSpaceDE w:val="0"/>
      <w:autoSpaceDN w:val="0"/>
      <w:spacing w:before="120" w:line="262" w:lineRule="auto"/>
      <w:ind w:left="340" w:right="340"/>
      <w:jc w:val="both"/>
    </w:pPr>
    <w:rPr>
      <w:rFonts w:ascii="Merriweather" w:eastAsia="Merriweather" w:hAnsi="Merriweather" w:cs="Merriweather"/>
      <w:sz w:val="13"/>
      <w:szCs w:val="22"/>
      <w:lang w:val="en-US" w:eastAsia="en-US"/>
    </w:rPr>
  </w:style>
  <w:style w:type="paragraph" w:customStyle="1" w:styleId="I3M-Copyright-Footer">
    <w:name w:val="I3M-Copyright-Footer"/>
    <w:basedOn w:val="Normal"/>
    <w:qFormat/>
    <w:rsid w:val="00964FE6"/>
    <w:pPr>
      <w:widowControl w:val="0"/>
      <w:tabs>
        <w:tab w:val="left" w:pos="9058"/>
      </w:tabs>
      <w:autoSpaceDE w:val="0"/>
      <w:autoSpaceDN w:val="0"/>
      <w:spacing w:before="144" w:line="262" w:lineRule="auto"/>
      <w:ind w:left="1673" w:hanging="17"/>
      <w:jc w:val="both"/>
    </w:pPr>
    <w:rPr>
      <w:rFonts w:ascii="Merriweather" w:eastAsia="Merriweather" w:hAnsi="Merriweather" w:cs="Merriweather"/>
      <w:noProof/>
      <w:color w:val="000000" w:themeColor="text1"/>
      <w:sz w:val="15"/>
      <w:szCs w:val="22"/>
      <w:lang w:val="en-US" w:eastAsia="en-US"/>
    </w:rPr>
  </w:style>
  <w:style w:type="paragraph" w:customStyle="1" w:styleId="I3M-PageNumbers">
    <w:name w:val="I3M-PageNumbers"/>
    <w:basedOn w:val="Normal"/>
    <w:qFormat/>
    <w:rsid w:val="002A0457"/>
    <w:pPr>
      <w:widowControl w:val="0"/>
      <w:autoSpaceDE w:val="0"/>
      <w:autoSpaceDN w:val="0"/>
      <w:ind w:right="116"/>
      <w:jc w:val="right"/>
    </w:pPr>
    <w:rPr>
      <w:rFonts w:ascii="Merriweather" w:eastAsia="Merriweather" w:hAnsi="Merriweather" w:cs="Merriweather"/>
      <w:b/>
      <w:i/>
      <w:color w:val="7F0000"/>
      <w:w w:val="99"/>
      <w:sz w:val="15"/>
      <w:szCs w:val="22"/>
      <w:lang w:val="en-US" w:eastAsia="en-US"/>
    </w:rPr>
  </w:style>
  <w:style w:type="table" w:styleId="TableGrid">
    <w:name w:val="Table Grid"/>
    <w:basedOn w:val="TableNormal"/>
    <w:uiPriority w:val="39"/>
    <w:rsid w:val="00A3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3M-BulletList">
    <w:name w:val="I3M-BulletList"/>
    <w:basedOn w:val="ListParagraph"/>
    <w:qFormat/>
    <w:rsid w:val="002A0457"/>
    <w:pPr>
      <w:numPr>
        <w:numId w:val="2"/>
      </w:numPr>
      <w:tabs>
        <w:tab w:val="left" w:pos="356"/>
      </w:tabs>
      <w:spacing w:before="240" w:after="240" w:line="229" w:lineRule="exact"/>
      <w:ind w:left="357" w:hanging="176"/>
      <w:contextualSpacing/>
    </w:pPr>
    <w:rPr>
      <w:sz w:val="18"/>
    </w:rPr>
  </w:style>
  <w:style w:type="paragraph" w:customStyle="1" w:styleId="I3M-NumberedList">
    <w:name w:val="I3M-NumberedList"/>
    <w:basedOn w:val="ListParagraph"/>
    <w:qFormat/>
    <w:rsid w:val="002A0457"/>
    <w:pPr>
      <w:numPr>
        <w:numId w:val="1"/>
      </w:numPr>
      <w:tabs>
        <w:tab w:val="left" w:pos="431"/>
      </w:tabs>
      <w:spacing w:before="240" w:after="240" w:line="229" w:lineRule="exact"/>
      <w:ind w:left="431" w:hanging="306"/>
      <w:contextualSpacing/>
    </w:pPr>
    <w:rPr>
      <w:sz w:val="18"/>
    </w:rPr>
  </w:style>
  <w:style w:type="paragraph" w:customStyle="1" w:styleId="I3M-Figure">
    <w:name w:val="I3M-Figure"/>
    <w:basedOn w:val="I3M-BodyText"/>
    <w:qFormat/>
    <w:rsid w:val="00E402C7"/>
    <w:pPr>
      <w:spacing w:before="240" w:line="240" w:lineRule="auto"/>
      <w:ind w:left="113" w:firstLine="0"/>
      <w:jc w:val="center"/>
    </w:pPr>
    <w:rPr>
      <w:noProof/>
    </w:rPr>
  </w:style>
  <w:style w:type="paragraph" w:customStyle="1" w:styleId="I3M-Figure-Caption">
    <w:name w:val="I3M-Figure-Caption"/>
    <w:basedOn w:val="Normal"/>
    <w:next w:val="I3M-BodyText"/>
    <w:qFormat/>
    <w:rsid w:val="00F768FC"/>
    <w:pPr>
      <w:widowControl w:val="0"/>
      <w:autoSpaceDE w:val="0"/>
      <w:autoSpaceDN w:val="0"/>
      <w:spacing w:before="120"/>
      <w:ind w:left="119"/>
    </w:pPr>
    <w:rPr>
      <w:rFonts w:ascii="Merriweather" w:eastAsia="Merriweather" w:hAnsi="Merriweather" w:cs="Merriweather"/>
      <w:sz w:val="14"/>
      <w:szCs w:val="22"/>
      <w:lang w:val="en-US" w:eastAsia="en-US"/>
    </w:rPr>
  </w:style>
  <w:style w:type="paragraph" w:customStyle="1" w:styleId="I3M-Table-Caption">
    <w:name w:val="I3M-Table-Caption"/>
    <w:basedOn w:val="Normal"/>
    <w:qFormat/>
    <w:rsid w:val="00A34CFA"/>
    <w:pPr>
      <w:widowControl w:val="0"/>
      <w:tabs>
        <w:tab w:val="left" w:pos="946"/>
        <w:tab w:val="left" w:pos="1793"/>
      </w:tabs>
      <w:autoSpaceDE w:val="0"/>
      <w:autoSpaceDN w:val="0"/>
      <w:spacing w:before="120" w:line="331" w:lineRule="auto"/>
      <w:ind w:left="113"/>
    </w:pPr>
    <w:rPr>
      <w:rFonts w:ascii="Merriweather" w:eastAsia="Merriweather" w:hAnsi="Merriweather" w:cs="Merriweather"/>
      <w:sz w:val="14"/>
      <w:szCs w:val="22"/>
      <w:lang w:val="en-US" w:eastAsia="en-US"/>
    </w:rPr>
  </w:style>
  <w:style w:type="paragraph" w:customStyle="1" w:styleId="I3M-Table-Elements">
    <w:name w:val="I3M-Table-Elements"/>
    <w:basedOn w:val="I3M-Table-Caption"/>
    <w:qFormat/>
    <w:rsid w:val="00A34CFA"/>
    <w:pPr>
      <w:spacing w:before="0" w:after="40" w:line="240" w:lineRule="auto"/>
      <w:ind w:left="0"/>
    </w:pPr>
  </w:style>
  <w:style w:type="paragraph" w:customStyle="1" w:styleId="I3M-Table-Note">
    <w:name w:val="I3M-Table-Note"/>
    <w:basedOn w:val="Normal"/>
    <w:qFormat/>
    <w:rsid w:val="002400E1"/>
    <w:pPr>
      <w:widowControl w:val="0"/>
      <w:autoSpaceDE w:val="0"/>
      <w:autoSpaceDN w:val="0"/>
      <w:spacing w:before="60"/>
      <w:ind w:left="113"/>
      <w:jc w:val="both"/>
    </w:pPr>
    <w:rPr>
      <w:rFonts w:ascii="Merriweather" w:eastAsia="Merriweather" w:hAnsi="Merriweather" w:cs="Merriweather"/>
      <w:sz w:val="12"/>
      <w:szCs w:val="22"/>
      <w:lang w:val="en-US" w:eastAsia="en-US"/>
    </w:rPr>
  </w:style>
  <w:style w:type="paragraph" w:customStyle="1" w:styleId="I3M-Equation">
    <w:name w:val="I3M-Equation"/>
    <w:basedOn w:val="I3M-BodyText"/>
    <w:qFormat/>
    <w:rsid w:val="006B79AE"/>
    <w:pPr>
      <w:spacing w:before="240" w:after="240" w:line="360" w:lineRule="auto"/>
      <w:ind w:left="113" w:firstLine="0"/>
    </w:pPr>
  </w:style>
  <w:style w:type="character" w:styleId="PlaceholderText">
    <w:name w:val="Placeholder Text"/>
    <w:basedOn w:val="DefaultParagraphFont"/>
    <w:uiPriority w:val="99"/>
    <w:semiHidden/>
    <w:rsid w:val="006B79AE"/>
    <w:rPr>
      <w:color w:val="808080"/>
    </w:rPr>
  </w:style>
  <w:style w:type="paragraph" w:customStyle="1" w:styleId="I3M-BodyText-AfterEquation">
    <w:name w:val="I3M-BodyText-AfterEquation"/>
    <w:basedOn w:val="I3M-BodyText"/>
    <w:next w:val="I3M-BodyText"/>
    <w:qFormat/>
    <w:rsid w:val="001A16CC"/>
    <w:pPr>
      <w:spacing w:line="240" w:lineRule="auto"/>
      <w:ind w:firstLine="0"/>
    </w:pPr>
  </w:style>
  <w:style w:type="character" w:styleId="Hyperlink">
    <w:name w:val="Hyperlink"/>
    <w:basedOn w:val="DefaultParagraphFont"/>
    <w:uiPriority w:val="99"/>
    <w:unhideWhenUsed/>
    <w:rsid w:val="00317FA0"/>
    <w:rPr>
      <w:color w:val="0000FF" w:themeColor="hyperlink"/>
      <w:u w:val="single"/>
    </w:rPr>
  </w:style>
  <w:style w:type="character" w:styleId="UnresolvedMention">
    <w:name w:val="Unresolved Mention"/>
    <w:basedOn w:val="DefaultParagraphFont"/>
    <w:uiPriority w:val="99"/>
    <w:semiHidden/>
    <w:unhideWhenUsed/>
    <w:rsid w:val="00317FA0"/>
    <w:rPr>
      <w:color w:val="605E5C"/>
      <w:shd w:val="clear" w:color="auto" w:fill="E1DFDD"/>
    </w:rPr>
  </w:style>
  <w:style w:type="paragraph" w:customStyle="1" w:styleId="I3M-Hyperlink">
    <w:name w:val="I3M-Hyperlink"/>
    <w:basedOn w:val="I3M-BodyText-AfterHeading"/>
    <w:qFormat/>
    <w:rsid w:val="00317FA0"/>
    <w:rPr>
      <w:color w:val="0000FF"/>
      <w:u w:val="single"/>
    </w:rPr>
  </w:style>
  <w:style w:type="character" w:customStyle="1" w:styleId="Heading2Char">
    <w:name w:val="Heading 2 Char"/>
    <w:basedOn w:val="DefaultParagraphFont"/>
    <w:link w:val="Heading2"/>
    <w:uiPriority w:val="9"/>
    <w:semiHidden/>
    <w:rsid w:val="00317FA0"/>
    <w:rPr>
      <w:rFonts w:asciiTheme="majorHAnsi" w:eastAsiaTheme="majorEastAsia" w:hAnsiTheme="majorHAnsi" w:cstheme="majorBidi"/>
      <w:color w:val="365F91" w:themeColor="accent1" w:themeShade="BF"/>
      <w:sz w:val="26"/>
      <w:szCs w:val="26"/>
    </w:rPr>
  </w:style>
  <w:style w:type="paragraph" w:customStyle="1" w:styleId="ISM-body-text">
    <w:name w:val="ISM-body-text"/>
    <w:basedOn w:val="Normal"/>
    <w:rsid w:val="00317FA0"/>
    <w:pPr>
      <w:spacing w:after="240" w:line="240" w:lineRule="exact"/>
      <w:ind w:right="-28" w:firstLine="238"/>
      <w:contextualSpacing/>
      <w:jc w:val="both"/>
    </w:pPr>
    <w:rPr>
      <w:rFonts w:eastAsia="SimSun"/>
      <w:sz w:val="20"/>
      <w:szCs w:val="20"/>
      <w:lang w:val="en-US" w:eastAsia="en-US"/>
    </w:rPr>
  </w:style>
  <w:style w:type="paragraph" w:customStyle="1" w:styleId="I3M-Funding-Heading">
    <w:name w:val="I3M-Funding-Heading"/>
    <w:basedOn w:val="I3M-Section-Headings"/>
    <w:next w:val="I3M-BodyText-AfterHeading"/>
    <w:qFormat/>
    <w:rsid w:val="00747176"/>
    <w:pPr>
      <w:numPr>
        <w:numId w:val="0"/>
      </w:numPr>
      <w:jc w:val="left"/>
      <w:outlineLvl w:val="9"/>
    </w:pPr>
  </w:style>
  <w:style w:type="paragraph" w:customStyle="1" w:styleId="I3M-Acknowledgements-Heading">
    <w:name w:val="I3M-Acknowledgements-Heading"/>
    <w:basedOn w:val="I3M-Section-Headings"/>
    <w:next w:val="I3M-BodyText-AfterHeading"/>
    <w:qFormat/>
    <w:rsid w:val="00747176"/>
    <w:pPr>
      <w:numPr>
        <w:numId w:val="0"/>
      </w:numPr>
      <w:jc w:val="left"/>
      <w:outlineLvl w:val="9"/>
    </w:pPr>
  </w:style>
  <w:style w:type="paragraph" w:customStyle="1" w:styleId="I3M-Appendix-Heading">
    <w:name w:val="I3M-Appendix-Heading"/>
    <w:basedOn w:val="I3M-Acknowledgements-Heading"/>
    <w:next w:val="I3M-BodyText-AfterHeading"/>
    <w:qFormat/>
    <w:rsid w:val="00A87E95"/>
  </w:style>
  <w:style w:type="paragraph" w:customStyle="1" w:styleId="I3M-References-Heading">
    <w:name w:val="I3M-References-Heading"/>
    <w:basedOn w:val="I3M-Acknowledgements-Heading"/>
    <w:qFormat/>
    <w:rsid w:val="00A87E95"/>
  </w:style>
  <w:style w:type="paragraph" w:customStyle="1" w:styleId="I3M-Reference">
    <w:name w:val="I3M-Reference"/>
    <w:basedOn w:val="I3M-BodyText"/>
    <w:qFormat/>
    <w:rsid w:val="00A87E95"/>
    <w:pPr>
      <w:ind w:left="284" w:hanging="284"/>
    </w:pPr>
  </w:style>
  <w:style w:type="paragraph" w:customStyle="1" w:styleId="I3M-EvenPageHeader">
    <w:name w:val="I3M-EvenPageHeader"/>
    <w:basedOn w:val="Normal"/>
    <w:qFormat/>
    <w:rsid w:val="001A16CC"/>
    <w:pPr>
      <w:widowControl w:val="0"/>
      <w:autoSpaceDE w:val="0"/>
      <w:autoSpaceDN w:val="0"/>
      <w:spacing w:before="67"/>
      <w:ind w:left="357"/>
    </w:pPr>
    <w:rPr>
      <w:rFonts w:ascii="Merriweather" w:eastAsia="Merriweather" w:hAnsi="Merriweather" w:cs="Merriweather"/>
      <w:i/>
      <w:color w:val="7F0000"/>
      <w:position w:val="1"/>
      <w:sz w:val="15"/>
      <w:szCs w:val="22"/>
      <w:lang w:val="en-US" w:eastAsia="en-US"/>
    </w:rPr>
  </w:style>
  <w:style w:type="paragraph" w:customStyle="1" w:styleId="I3M-OddPageHeader">
    <w:name w:val="I3M-OddPageHeader"/>
    <w:basedOn w:val="Normal"/>
    <w:qFormat/>
    <w:rsid w:val="001A16CC"/>
    <w:pPr>
      <w:widowControl w:val="0"/>
      <w:autoSpaceDE w:val="0"/>
      <w:autoSpaceDN w:val="0"/>
      <w:spacing w:before="67"/>
      <w:ind w:right="357"/>
      <w:jc w:val="right"/>
    </w:pPr>
    <w:rPr>
      <w:rFonts w:ascii="Merriweather" w:eastAsia="Merriweather" w:hAnsi="Merriweather" w:cs="Merriweather"/>
      <w:i/>
      <w:color w:val="7F0000"/>
      <w:position w:val="1"/>
      <w:sz w:val="15"/>
      <w:szCs w:val="22"/>
      <w:lang w:val="en-US" w:eastAsia="en-US"/>
    </w:rPr>
  </w:style>
  <w:style w:type="paragraph" w:customStyle="1" w:styleId="I3M-HeaderLine">
    <w:name w:val="I3M-HeaderLine"/>
    <w:basedOn w:val="Header"/>
    <w:qFormat/>
    <w:rsid w:val="001A16CC"/>
    <w:pPr>
      <w:spacing w:after="120"/>
    </w:pPr>
  </w:style>
  <w:style w:type="character" w:customStyle="1" w:styleId="apple-converted-space">
    <w:name w:val="apple-converted-space"/>
    <w:basedOn w:val="DefaultParagraphFont"/>
    <w:rsid w:val="003D0F37"/>
  </w:style>
  <w:style w:type="paragraph" w:styleId="BalloonText">
    <w:name w:val="Balloon Text"/>
    <w:basedOn w:val="Normal"/>
    <w:link w:val="BalloonTextChar"/>
    <w:uiPriority w:val="99"/>
    <w:semiHidden/>
    <w:unhideWhenUsed/>
    <w:rsid w:val="003F0925"/>
    <w:rPr>
      <w:sz w:val="18"/>
      <w:szCs w:val="18"/>
    </w:rPr>
  </w:style>
  <w:style w:type="character" w:customStyle="1" w:styleId="BalloonTextChar">
    <w:name w:val="Balloon Text Char"/>
    <w:basedOn w:val="DefaultParagraphFont"/>
    <w:link w:val="BalloonText"/>
    <w:uiPriority w:val="99"/>
    <w:semiHidden/>
    <w:rsid w:val="003F0925"/>
    <w:rPr>
      <w:rFonts w:ascii="Times New Roman" w:eastAsia="Times New Roman"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063842">
      <w:bodyDiv w:val="1"/>
      <w:marLeft w:val="0"/>
      <w:marRight w:val="0"/>
      <w:marTop w:val="0"/>
      <w:marBottom w:val="0"/>
      <w:divBdr>
        <w:top w:val="none" w:sz="0" w:space="0" w:color="auto"/>
        <w:left w:val="none" w:sz="0" w:space="0" w:color="auto"/>
        <w:bottom w:val="none" w:sz="0" w:space="0" w:color="auto"/>
        <w:right w:val="none" w:sz="0" w:space="0" w:color="auto"/>
      </w:divBdr>
      <w:divsChild>
        <w:div w:id="335810693">
          <w:marLeft w:val="0"/>
          <w:marRight w:val="0"/>
          <w:marTop w:val="0"/>
          <w:marBottom w:val="0"/>
          <w:divBdr>
            <w:top w:val="none" w:sz="0" w:space="0" w:color="auto"/>
            <w:left w:val="none" w:sz="0" w:space="0" w:color="auto"/>
            <w:bottom w:val="none" w:sz="0" w:space="0" w:color="auto"/>
            <w:right w:val="none" w:sz="0" w:space="0" w:color="auto"/>
          </w:divBdr>
          <w:divsChild>
            <w:div w:id="481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2755">
      <w:bodyDiv w:val="1"/>
      <w:marLeft w:val="0"/>
      <w:marRight w:val="0"/>
      <w:marTop w:val="0"/>
      <w:marBottom w:val="0"/>
      <w:divBdr>
        <w:top w:val="none" w:sz="0" w:space="0" w:color="auto"/>
        <w:left w:val="none" w:sz="0" w:space="0" w:color="auto"/>
        <w:bottom w:val="none" w:sz="0" w:space="0" w:color="auto"/>
        <w:right w:val="none" w:sz="0" w:space="0" w:color="auto"/>
      </w:divBdr>
      <w:divsChild>
        <w:div w:id="1548761215">
          <w:marLeft w:val="0"/>
          <w:marRight w:val="0"/>
          <w:marTop w:val="0"/>
          <w:marBottom w:val="0"/>
          <w:divBdr>
            <w:top w:val="none" w:sz="0" w:space="0" w:color="auto"/>
            <w:left w:val="none" w:sz="0" w:space="0" w:color="auto"/>
            <w:bottom w:val="none" w:sz="0" w:space="0" w:color="auto"/>
            <w:right w:val="none" w:sz="0" w:space="0" w:color="auto"/>
          </w:divBdr>
        </w:div>
        <w:div w:id="2090610950">
          <w:marLeft w:val="0"/>
          <w:marRight w:val="0"/>
          <w:marTop w:val="0"/>
          <w:marBottom w:val="0"/>
          <w:divBdr>
            <w:top w:val="none" w:sz="0" w:space="0" w:color="auto"/>
            <w:left w:val="none" w:sz="0" w:space="0" w:color="auto"/>
            <w:bottom w:val="none" w:sz="0" w:space="0" w:color="auto"/>
            <w:right w:val="none" w:sz="0" w:space="0" w:color="auto"/>
          </w:divBdr>
        </w:div>
        <w:div w:id="1146702625">
          <w:marLeft w:val="0"/>
          <w:marRight w:val="0"/>
          <w:marTop w:val="0"/>
          <w:marBottom w:val="0"/>
          <w:divBdr>
            <w:top w:val="none" w:sz="0" w:space="0" w:color="auto"/>
            <w:left w:val="none" w:sz="0" w:space="0" w:color="auto"/>
            <w:bottom w:val="none" w:sz="0" w:space="0" w:color="auto"/>
            <w:right w:val="none" w:sz="0" w:space="0" w:color="auto"/>
          </w:divBdr>
        </w:div>
        <w:div w:id="1071545333">
          <w:marLeft w:val="0"/>
          <w:marRight w:val="0"/>
          <w:marTop w:val="0"/>
          <w:marBottom w:val="0"/>
          <w:divBdr>
            <w:top w:val="none" w:sz="0" w:space="0" w:color="auto"/>
            <w:left w:val="none" w:sz="0" w:space="0" w:color="auto"/>
            <w:bottom w:val="none" w:sz="0" w:space="0" w:color="auto"/>
            <w:right w:val="none" w:sz="0" w:space="0" w:color="auto"/>
          </w:divBdr>
        </w:div>
        <w:div w:id="10108198">
          <w:marLeft w:val="0"/>
          <w:marRight w:val="0"/>
          <w:marTop w:val="0"/>
          <w:marBottom w:val="0"/>
          <w:divBdr>
            <w:top w:val="none" w:sz="0" w:space="0" w:color="auto"/>
            <w:left w:val="none" w:sz="0" w:space="0" w:color="auto"/>
            <w:bottom w:val="none" w:sz="0" w:space="0" w:color="auto"/>
            <w:right w:val="none" w:sz="0" w:space="0" w:color="auto"/>
          </w:divBdr>
        </w:div>
        <w:div w:id="1778980723">
          <w:marLeft w:val="0"/>
          <w:marRight w:val="0"/>
          <w:marTop w:val="0"/>
          <w:marBottom w:val="0"/>
          <w:divBdr>
            <w:top w:val="none" w:sz="0" w:space="0" w:color="auto"/>
            <w:left w:val="none" w:sz="0" w:space="0" w:color="auto"/>
            <w:bottom w:val="none" w:sz="0" w:space="0" w:color="auto"/>
            <w:right w:val="none" w:sz="0" w:space="0" w:color="auto"/>
          </w:divBdr>
        </w:div>
        <w:div w:id="613290059">
          <w:marLeft w:val="0"/>
          <w:marRight w:val="0"/>
          <w:marTop w:val="0"/>
          <w:marBottom w:val="0"/>
          <w:divBdr>
            <w:top w:val="none" w:sz="0" w:space="0" w:color="auto"/>
            <w:left w:val="none" w:sz="0" w:space="0" w:color="auto"/>
            <w:bottom w:val="none" w:sz="0" w:space="0" w:color="auto"/>
            <w:right w:val="none" w:sz="0" w:space="0" w:color="auto"/>
          </w:divBdr>
        </w:div>
        <w:div w:id="123080299">
          <w:marLeft w:val="0"/>
          <w:marRight w:val="0"/>
          <w:marTop w:val="0"/>
          <w:marBottom w:val="0"/>
          <w:divBdr>
            <w:top w:val="none" w:sz="0" w:space="0" w:color="auto"/>
            <w:left w:val="none" w:sz="0" w:space="0" w:color="auto"/>
            <w:bottom w:val="none" w:sz="0" w:space="0" w:color="auto"/>
            <w:right w:val="none" w:sz="0" w:space="0" w:color="auto"/>
          </w:divBdr>
        </w:div>
        <w:div w:id="862859806">
          <w:marLeft w:val="0"/>
          <w:marRight w:val="0"/>
          <w:marTop w:val="0"/>
          <w:marBottom w:val="0"/>
          <w:divBdr>
            <w:top w:val="none" w:sz="0" w:space="0" w:color="auto"/>
            <w:left w:val="none" w:sz="0" w:space="0" w:color="auto"/>
            <w:bottom w:val="none" w:sz="0" w:space="0" w:color="auto"/>
            <w:right w:val="none" w:sz="0" w:space="0" w:color="auto"/>
          </w:divBdr>
        </w:div>
        <w:div w:id="858466452">
          <w:marLeft w:val="0"/>
          <w:marRight w:val="0"/>
          <w:marTop w:val="0"/>
          <w:marBottom w:val="0"/>
          <w:divBdr>
            <w:top w:val="none" w:sz="0" w:space="0" w:color="auto"/>
            <w:left w:val="none" w:sz="0" w:space="0" w:color="auto"/>
            <w:bottom w:val="none" w:sz="0" w:space="0" w:color="auto"/>
            <w:right w:val="none" w:sz="0" w:space="0" w:color="auto"/>
          </w:divBdr>
        </w:div>
        <w:div w:id="1065035244">
          <w:marLeft w:val="0"/>
          <w:marRight w:val="0"/>
          <w:marTop w:val="0"/>
          <w:marBottom w:val="0"/>
          <w:divBdr>
            <w:top w:val="none" w:sz="0" w:space="0" w:color="auto"/>
            <w:left w:val="none" w:sz="0" w:space="0" w:color="auto"/>
            <w:bottom w:val="none" w:sz="0" w:space="0" w:color="auto"/>
            <w:right w:val="none" w:sz="0" w:space="0" w:color="auto"/>
          </w:divBdr>
        </w:div>
        <w:div w:id="1618482866">
          <w:marLeft w:val="0"/>
          <w:marRight w:val="0"/>
          <w:marTop w:val="0"/>
          <w:marBottom w:val="0"/>
          <w:divBdr>
            <w:top w:val="none" w:sz="0" w:space="0" w:color="auto"/>
            <w:left w:val="none" w:sz="0" w:space="0" w:color="auto"/>
            <w:bottom w:val="none" w:sz="0" w:space="0" w:color="auto"/>
            <w:right w:val="none" w:sz="0" w:space="0" w:color="auto"/>
          </w:divBdr>
        </w:div>
        <w:div w:id="12788272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dtc@bristol.ac.uk" TargetMode="External"/><Relationship Id="rId13" Type="http://schemas.openxmlformats.org/officeDocument/2006/relationships/hyperlink" Target="https://www.mendeley.com/guides/apa-citation-guid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fonts.google.com/specimen/Merriweather"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nc-nd/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4395</Words>
  <Characters>25055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2020-06-12T15:55:00Z</dcterms:created>
  <dcterms:modified xsi:type="dcterms:W3CDTF">2020-06-12T15:57:00Z</dcterms:modified>
</cp:coreProperties>
</file>