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0" w:firstLine="0"/>
        <w:rPr/>
      </w:pPr>
      <w:r w:rsidDel="00000000" w:rsidR="00000000" w:rsidRPr="00000000">
        <w:rPr>
          <w:rtl w:val="0"/>
        </w:rPr>
      </w:r>
    </w:p>
    <w:p w:rsidR="00000000" w:rsidDel="00000000" w:rsidP="00000000" w:rsidRDefault="00000000" w:rsidRPr="00000000" w14:paraId="0000000A">
      <w:pPr>
        <w:spacing w:before="0" w:line="276" w:lineRule="auto"/>
        <w:ind w:left="0" w:firstLine="0"/>
        <w:rPr/>
      </w:pPr>
      <w:r w:rsidDel="00000000" w:rsidR="00000000" w:rsidRPr="00000000">
        <w:rPr>
          <w:rtl w:val="0"/>
        </w:rPr>
        <w:t xml:space="preserve">The focal point here is the central computer system designated as the database server, which efficiently retains and administers extensive data quantities. This server fulfills the role of storing information regarding clients, campaigns, and analysis, which subsequently lends itself to later analysis for performance monitoring and tailoring of marketing strategies. The utmost importance lies in fortifying this system due to its routine utilization in facilitating marketing activities.</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4">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