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77777777"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wide range of exploited fishes, including several Pacific salmon species (REF).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reduced individual growth due to unfavorable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 However, coherent changes</w:t>
      </w:r>
      <w:r w:rsidRPr="002709D5">
        <w:rPr>
          <w:rFonts w:ascii="Times New Roman" w:hAnsi="Times New Roman" w:cs="Times New Roman"/>
          <w:sz w:val="24"/>
          <w:szCs w:val="24"/>
        </w:rPr>
        <w:t xml:space="preserve"> growth</w:t>
      </w:r>
      <w:r>
        <w:rPr>
          <w:rFonts w:ascii="Times New Roman" w:hAnsi="Times New Roman" w:cs="Times New Roman"/>
          <w:sz w:val="24"/>
          <w:szCs w:val="24"/>
        </w:rPr>
        <w:t xml:space="preserve">, age-at-maturity, and survival have also occurred among regions and species with disparate fishing pressures </w:t>
      </w:r>
      <w:r w:rsidRPr="002709D5">
        <w:rPr>
          <w:rFonts w:ascii="Times New Roman" w:hAnsi="Times New Roman" w:cs="Times New Roman"/>
          <w:sz w:val="24"/>
          <w:szCs w:val="24"/>
        </w:rPr>
        <w:t xml:space="preserve">(REF), </w:t>
      </w:r>
      <w:r>
        <w:rPr>
          <w:rFonts w:ascii="Times New Roman" w:hAnsi="Times New Roman" w:cs="Times New Roman"/>
          <w:sz w:val="24"/>
          <w:szCs w:val="24"/>
        </w:rPr>
        <w:t xml:space="preserve">which suggests </w:t>
      </w:r>
      <w:r w:rsidRPr="002709D5">
        <w:rPr>
          <w:rFonts w:ascii="Times New Roman" w:hAnsi="Times New Roman" w:cs="Times New Roman"/>
          <w:sz w:val="24"/>
          <w:szCs w:val="24"/>
        </w:rPr>
        <w:t xml:space="preserve">that large-scale environmental drivers </w:t>
      </w:r>
      <w:r>
        <w:rPr>
          <w:rFonts w:ascii="Times New Roman" w:hAnsi="Times New Roman" w:cs="Times New Roman"/>
          <w:sz w:val="24"/>
          <w:szCs w:val="24"/>
        </w:rPr>
        <w:t xml:space="preserve">may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interannual variation in</w:t>
      </w:r>
      <w:r>
        <w:rPr>
          <w:rFonts w:ascii="Times New Roman" w:hAnsi="Times New Roman" w:cs="Times New Roman"/>
          <w:sz w:val="24"/>
          <w:szCs w:val="24"/>
        </w:rPr>
        <w:t xml:space="preserve"> </w:t>
      </w:r>
      <w:r w:rsidRPr="002709D5">
        <w:rPr>
          <w:rFonts w:ascii="Times New Roman" w:hAnsi="Times New Roman" w:cs="Times New Roman"/>
          <w:sz w:val="24"/>
          <w:szCs w:val="24"/>
        </w:rPr>
        <w:t xml:space="preserve">traits such as body size. </w:t>
      </w:r>
      <w:r>
        <w:rPr>
          <w:rFonts w:ascii="Times New Roman" w:hAnsi="Times New Roman" w:cs="Times New Roman"/>
          <w:sz w:val="24"/>
          <w:szCs w:val="24"/>
        </w:rPr>
        <w:t>Given that reductions in body size</w:t>
      </w:r>
      <w:r w:rsidRPr="002709D5">
        <w:rPr>
          <w:rFonts w:ascii="Times New Roman" w:hAnsi="Times New Roman" w:cs="Times New Roman"/>
          <w:sz w:val="24"/>
          <w:szCs w:val="24"/>
        </w:rPr>
        <w:t xml:space="preserve"> </w:t>
      </w:r>
      <w:r>
        <w:rPr>
          <w:rFonts w:ascii="Times New Roman" w:hAnsi="Times New Roman" w:cs="Times New Roman"/>
          <w:sz w:val="24"/>
          <w:szCs w:val="24"/>
        </w:rPr>
        <w:t>may</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negatively impact fisheries via </w:t>
      </w:r>
      <w:r w:rsidRPr="002709D5">
        <w:rPr>
          <w:rFonts w:ascii="Times New Roman" w:hAnsi="Times New Roman" w:cs="Times New Roman"/>
          <w:sz w:val="24"/>
          <w:szCs w:val="24"/>
        </w:rPr>
        <w:t>reduce</w:t>
      </w:r>
      <w:r>
        <w:rPr>
          <w:rFonts w:ascii="Times New Roman" w:hAnsi="Times New Roman" w:cs="Times New Roman"/>
          <w:sz w:val="24"/>
          <w:szCs w:val="24"/>
        </w:rPr>
        <w:t>d</w:t>
      </w:r>
      <w:r w:rsidRPr="002709D5">
        <w:rPr>
          <w:rFonts w:ascii="Times New Roman" w:hAnsi="Times New Roman" w:cs="Times New Roman"/>
          <w:sz w:val="24"/>
          <w:szCs w:val="24"/>
        </w:rPr>
        <w:t xml:space="preserve"> per-capita productivity (REF) or alter</w:t>
      </w:r>
      <w:r>
        <w:rPr>
          <w:rFonts w:ascii="Times New Roman" w:hAnsi="Times New Roman" w:cs="Times New Roman"/>
          <w:sz w:val="24"/>
          <w:szCs w:val="24"/>
        </w:rPr>
        <w:t>ed</w:t>
      </w:r>
      <w:r w:rsidRPr="002709D5">
        <w:rPr>
          <w:rFonts w:ascii="Times New Roman" w:hAnsi="Times New Roman" w:cs="Times New Roman"/>
          <w:sz w:val="24"/>
          <w:szCs w:val="24"/>
        </w:rPr>
        <w:t xml:space="preserve"> community dynamics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understanding the mechanisms </w:t>
      </w:r>
      <w:r w:rsidRPr="002709D5">
        <w:rPr>
          <w:rFonts w:ascii="Times New Roman" w:hAnsi="Times New Roman" w:cs="Times New Roman"/>
          <w:sz w:val="24"/>
          <w:szCs w:val="24"/>
        </w:rPr>
        <w:t xml:space="preserve">that drive </w:t>
      </w:r>
      <w:r>
        <w:rPr>
          <w:rFonts w:ascii="Times New Roman" w:hAnsi="Times New Roman" w:cs="Times New Roman"/>
          <w:sz w:val="24"/>
          <w:szCs w:val="24"/>
        </w:rPr>
        <w:t>variation</w:t>
      </w:r>
      <w:r w:rsidRPr="002709D5">
        <w:rPr>
          <w:rFonts w:ascii="Times New Roman" w:hAnsi="Times New Roman" w:cs="Times New Roman"/>
          <w:sz w:val="24"/>
          <w:szCs w:val="24"/>
        </w:rPr>
        <w:t xml:space="preserve"> is of considerable interest</w:t>
      </w:r>
      <w:r>
        <w:rPr>
          <w:rFonts w:ascii="Times New Roman" w:hAnsi="Times New Roman" w:cs="Times New Roman"/>
          <w:sz w:val="24"/>
          <w:szCs w:val="24"/>
        </w:rPr>
        <w:t>.</w:t>
      </w:r>
      <w:r w:rsidRPr="002709D5">
        <w:rPr>
          <w:rFonts w:ascii="Times New Roman" w:hAnsi="Times New Roman" w:cs="Times New Roman"/>
          <w:sz w:val="24"/>
          <w:szCs w:val="24"/>
        </w:rPr>
        <w:t xml:space="preserve"> </w:t>
      </w:r>
      <w:r w:rsidRPr="00D67FE1">
        <w:rPr>
          <w:rFonts w:ascii="Times New Roman" w:hAnsi="Times New Roman" w:cs="Times New Roman"/>
          <w:sz w:val="24"/>
          <w:szCs w:val="24"/>
          <w:highlight w:val="yellow"/>
        </w:rPr>
        <w:t>as 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p>
    <w:p w14:paraId="765C05C0" w14:textId="77777777" w:rsidR="00640A7C"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Both bottom-up and top-down drivers may regulate salmon </w:t>
      </w:r>
      <w:r>
        <w:rPr>
          <w:rFonts w:ascii="Times New Roman" w:hAnsi="Times New Roman" w:cs="Times New Roman"/>
          <w:sz w:val="24"/>
          <w:szCs w:val="24"/>
        </w:rPr>
        <w:t xml:space="preserve">body size via changes in </w:t>
      </w:r>
      <w:r w:rsidRPr="002709D5">
        <w:rPr>
          <w:rFonts w:ascii="Times New Roman" w:hAnsi="Times New Roman" w:cs="Times New Roman"/>
          <w:sz w:val="24"/>
          <w:szCs w:val="24"/>
        </w:rPr>
        <w:t xml:space="preserve">growth during marine residence. For example, changes in sea surface temperature </w:t>
      </w:r>
      <w:r>
        <w:rPr>
          <w:rFonts w:ascii="Times New Roman" w:hAnsi="Times New Roman" w:cs="Times New Roman"/>
          <w:sz w:val="24"/>
          <w:szCs w:val="24"/>
        </w:rPr>
        <w:t>can</w:t>
      </w:r>
      <w:r w:rsidRPr="002709D5">
        <w:rPr>
          <w:rFonts w:ascii="Times New Roman" w:hAnsi="Times New Roman" w:cs="Times New Roman"/>
          <w:sz w:val="24"/>
          <w:szCs w:val="24"/>
        </w:rPr>
        <w:t xml:space="preserve"> influence metabolic rate (REF), as well as the quantity and quality of prey available to salmon (REF). Salmon growth and survival is often associated with indices such as the Pacific Decadal Oscillation, North Pacific Gyre Oscillation, and ENSO, which integrate environmental conditions over relatively large spatial and temporal scales (REF). Although population-level responses to these temperature indices are regionally coherent, they often vary across the species range with northern populations responding positively to temperature increases and southern populations the opposite (REF). Wind stress indices, such as ALPI or upwelling metrics, may also be correlated with salmon growth by moderating nutrient transport to surface layers during winter and early spring</w:t>
      </w:r>
      <w:r>
        <w:rPr>
          <w:rFonts w:ascii="Times New Roman" w:hAnsi="Times New Roman" w:cs="Times New Roman"/>
          <w:sz w:val="24"/>
          <w:szCs w:val="24"/>
        </w:rPr>
        <w:t>, prior to phytoplankton blooms</w:t>
      </w:r>
      <w:r w:rsidRPr="002709D5">
        <w:rPr>
          <w:rFonts w:ascii="Times New Roman" w:hAnsi="Times New Roman" w:cs="Times New Roman"/>
          <w:sz w:val="24"/>
          <w:szCs w:val="24"/>
        </w:rPr>
        <w:t xml:space="preserve"> (REF). </w:t>
      </w:r>
    </w:p>
    <w:p w14:paraId="43558F3C" w14:textId="77777777" w:rsidR="00640A7C" w:rsidRPr="002709D5" w:rsidRDefault="00640A7C" w:rsidP="00640A7C">
      <w:pPr>
        <w:rPr>
          <w:rFonts w:ascii="Times New Roman" w:hAnsi="Times New Roman" w:cs="Times New Roman"/>
          <w:sz w:val="24"/>
          <w:szCs w:val="24"/>
        </w:rPr>
      </w:pPr>
      <w:r>
        <w:rPr>
          <w:rFonts w:ascii="Times New Roman" w:hAnsi="Times New Roman" w:cs="Times New Roman"/>
          <w:sz w:val="24"/>
          <w:szCs w:val="24"/>
        </w:rPr>
        <w:t>While i</w:t>
      </w:r>
      <w:r w:rsidRPr="002709D5">
        <w:rPr>
          <w:rFonts w:ascii="Times New Roman" w:hAnsi="Times New Roman" w:cs="Times New Roman"/>
          <w:sz w:val="24"/>
          <w:szCs w:val="24"/>
        </w:rPr>
        <w:t>nvestigations into top-down effects are more limited</w:t>
      </w:r>
      <w:r>
        <w:rPr>
          <w:rFonts w:ascii="Times New Roman" w:hAnsi="Times New Roman" w:cs="Times New Roman"/>
          <w:sz w:val="24"/>
          <w:szCs w:val="24"/>
        </w:rPr>
        <w:t>, a growing body of evidence suggests that salmon growth or survival may be reduced when competitor abundance is high (REF).</w:t>
      </w:r>
      <w:r w:rsidRPr="002709D5">
        <w:rPr>
          <w:rFonts w:ascii="Times New Roman" w:hAnsi="Times New Roman" w:cs="Times New Roman"/>
          <w:sz w:val="24"/>
          <w:szCs w:val="24"/>
        </w:rPr>
        <w:t xml:space="preserve"> </w:t>
      </w:r>
      <w:r>
        <w:rPr>
          <w:rFonts w:ascii="Times New Roman" w:hAnsi="Times New Roman" w:cs="Times New Roman"/>
          <w:sz w:val="24"/>
          <w:szCs w:val="24"/>
        </w:rPr>
        <w:t>These effects may be driven by either</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con- or heterospecifics, with </w:t>
      </w:r>
      <w:r w:rsidRPr="002709D5">
        <w:rPr>
          <w:rFonts w:ascii="Times New Roman" w:hAnsi="Times New Roman" w:cs="Times New Roman"/>
          <w:sz w:val="24"/>
          <w:szCs w:val="24"/>
        </w:rPr>
        <w:t xml:space="preserve">pink salmon </w:t>
      </w:r>
      <w:r>
        <w:rPr>
          <w:rFonts w:ascii="Times New Roman" w:hAnsi="Times New Roman" w:cs="Times New Roman"/>
          <w:sz w:val="24"/>
          <w:szCs w:val="24"/>
        </w:rPr>
        <w:t>receiving particularly close attention in recent years due to increases in</w:t>
      </w:r>
      <w:r w:rsidRPr="002709D5">
        <w:rPr>
          <w:rFonts w:ascii="Times New Roman" w:hAnsi="Times New Roman" w:cs="Times New Roman"/>
          <w:sz w:val="24"/>
          <w:szCs w:val="24"/>
        </w:rPr>
        <w:t xml:space="preserve"> hatchery production</w:t>
      </w:r>
      <w:r>
        <w:rPr>
          <w:rFonts w:ascii="Times New Roman" w:hAnsi="Times New Roman" w:cs="Times New Roman"/>
          <w:sz w:val="24"/>
          <w:szCs w:val="24"/>
        </w:rPr>
        <w:t xml:space="preserve"> (REF)</w:t>
      </w:r>
      <w:r w:rsidRPr="002709D5">
        <w:rPr>
          <w:rFonts w:ascii="Times New Roman" w:hAnsi="Times New Roman" w:cs="Times New Roman"/>
          <w:sz w:val="24"/>
          <w:szCs w:val="24"/>
        </w:rPr>
        <w:t>.</w:t>
      </w:r>
      <w:r>
        <w:rPr>
          <w:rFonts w:ascii="Times New Roman" w:hAnsi="Times New Roman" w:cs="Times New Roman"/>
          <w:sz w:val="24"/>
          <w:szCs w:val="24"/>
        </w:rPr>
        <w:t xml:space="preserve"> Generally the negative impacts of pink salmon appear to be strongest when incorporating relatively large aggregates of populations, which suggest competitive interactions occur during offshore residence when stocks are well mixed in the North Pacific (REF).      </w:t>
      </w:r>
    </w:p>
    <w:p w14:paraId="4464CDA2" w14:textId="77777777"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traditionally profitable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greater competitor abundance</w:t>
      </w:r>
      <w:r w:rsidRPr="002709D5">
        <w:rPr>
          <w:rFonts w:ascii="Times New Roman" w:hAnsi="Times New Roman" w:cs="Times New Roman"/>
          <w:sz w:val="24"/>
          <w:szCs w:val="24"/>
        </w:rPr>
        <w:t xml:space="preserve"> (REF), presumably due to reduced opportunities for marine growth. Yet predicting these populations’ response to future, potentially more extreme, environmental conditions is difficult. Even with the relatively long </w:t>
      </w:r>
      <w:r w:rsidRPr="002709D5">
        <w:rPr>
          <w:rFonts w:ascii="Times New Roman" w:hAnsi="Times New Roman" w:cs="Times New Roman"/>
          <w:sz w:val="24"/>
          <w:szCs w:val="24"/>
        </w:rPr>
        <w:lastRenderedPageBreak/>
        <w:t>time series (more than 50 years) available for many sockeye salmon populations, 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whether they may exhibit non-linear responses </w:t>
      </w:r>
      <w:r>
        <w:rPr>
          <w:rFonts w:ascii="Times New Roman" w:hAnsi="Times New Roman" w:cs="Times New Roman"/>
          <w:sz w:val="24"/>
          <w:szCs w:val="24"/>
        </w:rPr>
        <w:t>to environmental conditions outside those observed in recent decades</w:t>
      </w:r>
      <w:r w:rsidRPr="002709D5">
        <w:rPr>
          <w:rFonts w:ascii="Times New Roman" w:hAnsi="Times New Roman" w:cs="Times New Roman"/>
          <w:sz w:val="24"/>
          <w:szCs w:val="24"/>
        </w:rPr>
        <w:t>. Put more simply, are salmon dynamics normally regulated by factors such as sea surface temperature and competition or is this an artefact of</w:t>
      </w:r>
      <w:r>
        <w:rPr>
          <w:rFonts w:ascii="Times New Roman" w:hAnsi="Times New Roman" w:cs="Times New Roman"/>
          <w:sz w:val="24"/>
          <w:szCs w:val="24"/>
        </w:rPr>
        <w:t xml:space="preserve"> rapid changes in these drivers in recent years</w:t>
      </w:r>
      <w:r w:rsidRPr="002709D5">
        <w:rPr>
          <w:rFonts w:ascii="Times New Roman" w:hAnsi="Times New Roman" w:cs="Times New Roman"/>
          <w:sz w:val="24"/>
          <w:szCs w:val="24"/>
        </w:rPr>
        <w:t xml:space="preserve">? </w:t>
      </w:r>
    </w:p>
    <w:p w14:paraId="6A319BB6" w14:textId="77777777" w:rsidR="00640A7C"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To understand how sockeye salmon populations may </w:t>
      </w:r>
      <w:r>
        <w:rPr>
          <w:rFonts w:ascii="Times New Roman" w:hAnsi="Times New Roman" w:cs="Times New Roman"/>
          <w:sz w:val="24"/>
          <w:szCs w:val="24"/>
        </w:rPr>
        <w:t>respond to</w:t>
      </w:r>
      <w:r w:rsidRPr="002709D5">
        <w:rPr>
          <w:rFonts w:ascii="Times New Roman" w:hAnsi="Times New Roman" w:cs="Times New Roman"/>
          <w:sz w:val="24"/>
          <w:szCs w:val="24"/>
        </w:rPr>
        <w:t xml:space="preserve"> future</w:t>
      </w:r>
      <w:r>
        <w:rPr>
          <w:rFonts w:ascii="Times New Roman" w:hAnsi="Times New Roman" w:cs="Times New Roman"/>
          <w:sz w:val="24"/>
          <w:szCs w:val="24"/>
        </w:rPr>
        <w:t xml:space="preserve"> conditions</w:t>
      </w:r>
      <w:r w:rsidRPr="002709D5">
        <w:rPr>
          <w:rFonts w:ascii="Times New Roman" w:hAnsi="Times New Roman" w:cs="Times New Roman"/>
          <w:sz w:val="24"/>
          <w:szCs w:val="24"/>
        </w:rPr>
        <w:t xml:space="preserve">, we used a novel historical dataset to </w:t>
      </w:r>
      <w:r>
        <w:rPr>
          <w:rFonts w:ascii="Times New Roman" w:hAnsi="Times New Roman" w:cs="Times New Roman"/>
          <w:sz w:val="24"/>
          <w:szCs w:val="24"/>
        </w:rPr>
        <w:t>explore</w:t>
      </w:r>
      <w:r w:rsidRPr="002709D5">
        <w:rPr>
          <w:rFonts w:ascii="Times New Roman" w:hAnsi="Times New Roman" w:cs="Times New Roman"/>
          <w:sz w:val="24"/>
          <w:szCs w:val="24"/>
        </w:rPr>
        <w:t xml:space="preserve"> how they responded in the past. Specifically we used age-structured, individual length data collected between 1914 and 1946 to examine two Pacific salmon populations’ response to abiotic and biotic drivers prior to widespread increases in sea surface temperature and hatchery propagation. These data originated from extensively sampled nearshore fisheries targeting Nass</w:t>
      </w:r>
      <w:r>
        <w:rPr>
          <w:rFonts w:ascii="Times New Roman" w:hAnsi="Times New Roman" w:cs="Times New Roman"/>
          <w:sz w:val="24"/>
          <w:szCs w:val="24"/>
        </w:rPr>
        <w:t xml:space="preserve"> River</w:t>
      </w:r>
      <w:r w:rsidRPr="002709D5">
        <w:rPr>
          <w:rFonts w:ascii="Times New Roman" w:hAnsi="Times New Roman" w:cs="Times New Roman"/>
          <w:sz w:val="24"/>
          <w:szCs w:val="24"/>
        </w:rPr>
        <w:t xml:space="preserve"> (northern British Columbia) and Rivers Inlet (central BC) sockeye salmon (</w:t>
      </w:r>
      <w:r w:rsidRPr="002709D5">
        <w:rPr>
          <w:rFonts w:ascii="Times New Roman" w:hAnsi="Times New Roman" w:cs="Times New Roman"/>
          <w:i/>
          <w:sz w:val="24"/>
          <w:szCs w:val="24"/>
        </w:rPr>
        <w:t>Oncorhynchus nerka</w:t>
      </w:r>
      <w:r w:rsidRPr="002709D5">
        <w:rPr>
          <w:rFonts w:ascii="Times New Roman" w:hAnsi="Times New Roman" w:cs="Times New Roman"/>
          <w:sz w:val="24"/>
          <w:szCs w:val="24"/>
        </w:rPr>
        <w:t>).</w:t>
      </w:r>
      <w:r>
        <w:rPr>
          <w:rFonts w:ascii="Times New Roman" w:hAnsi="Times New Roman" w:cs="Times New Roman"/>
          <w:sz w:val="24"/>
          <w:szCs w:val="24"/>
        </w:rPr>
        <w:t xml:space="preserve"> Nass and Rivers Inlet are located close to the inflection point in a latitudinal gradient separating northern Pacific salmon systems that are currently in a phase of high productivity, from southern populations that have typically declined. Although both systems have exhibited reduced productivity in recent decades attributed to reduced marine survival, the proximate mechanism remains unclear.</w:t>
      </w:r>
    </w:p>
    <w:p w14:paraId="38074CBC" w14:textId="0C2F897C" w:rsidR="00884779" w:rsidRPr="002709D5" w:rsidRDefault="00640A7C" w:rsidP="00640A7C">
      <w:pPr>
        <w:rPr>
          <w:rFonts w:ascii="Times New Roman" w:hAnsi="Times New Roman" w:cs="Times New Roman"/>
          <w:sz w:val="24"/>
          <w:szCs w:val="24"/>
        </w:rPr>
      </w:pPr>
      <w:r>
        <w:rPr>
          <w:rFonts w:ascii="Times New Roman" w:hAnsi="Times New Roman" w:cs="Times New Roman"/>
          <w:sz w:val="24"/>
          <w:szCs w:val="24"/>
        </w:rPr>
        <w:t xml:space="preserve">are distributed relatively close to the latitudinal </w:t>
      </w:r>
      <w:r w:rsidRPr="002709D5">
        <w:rPr>
          <w:rFonts w:ascii="Times New Roman" w:hAnsi="Times New Roman" w:cs="Times New Roman"/>
          <w:sz w:val="24"/>
          <w:szCs w:val="24"/>
        </w:rPr>
        <w:t xml:space="preserve"> Additionally</w:t>
      </w:r>
      <w:r>
        <w:rPr>
          <w:rFonts w:ascii="Times New Roman" w:hAnsi="Times New Roman" w:cs="Times New Roman"/>
          <w:sz w:val="24"/>
          <w:szCs w:val="24"/>
        </w:rPr>
        <w:t>, we</w:t>
      </w:r>
      <w:r w:rsidRPr="002709D5">
        <w:rPr>
          <w:rFonts w:ascii="Times New Roman" w:hAnsi="Times New Roman" w:cs="Times New Roman"/>
          <w:sz w:val="24"/>
          <w:szCs w:val="24"/>
        </w:rPr>
        <w:t xml:space="preserve"> </w:t>
      </w:r>
      <w:r>
        <w:rPr>
          <w:rFonts w:ascii="Times New Roman" w:hAnsi="Times New Roman" w:cs="Times New Roman"/>
          <w:sz w:val="24"/>
          <w:szCs w:val="24"/>
        </w:rPr>
        <w:t>used data collected during the past twenty years in the Nass River to</w:t>
      </w:r>
      <w:r w:rsidRPr="002709D5">
        <w:rPr>
          <w:rFonts w:ascii="Times New Roman" w:hAnsi="Times New Roman" w:cs="Times New Roman"/>
          <w:sz w:val="24"/>
          <w:szCs w:val="24"/>
        </w:rPr>
        <w:t xml:space="preserve"> compare</w:t>
      </w:r>
      <w:r>
        <w:rPr>
          <w:rFonts w:ascii="Times New Roman" w:hAnsi="Times New Roman" w:cs="Times New Roman"/>
          <w:sz w:val="24"/>
          <w:szCs w:val="24"/>
        </w:rPr>
        <w:t xml:space="preserve"> contemporary trends in body size to historical patterns</w:t>
      </w:r>
      <w:r w:rsidRPr="002709D5">
        <w:rPr>
          <w:rFonts w:ascii="Times New Roman" w:hAnsi="Times New Roman" w:cs="Times New Roman"/>
          <w:sz w:val="24"/>
          <w:szCs w:val="24"/>
        </w:rPr>
        <w:t>.</w:t>
      </w:r>
      <w:bookmarkStart w:id="0" w:name="_GoBack"/>
      <w:bookmarkEnd w:id="0"/>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7BF815EE" w:rsidR="00B274A1"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We used size data</w:t>
      </w:r>
      <w:r w:rsidR="002709D5" w:rsidRPr="002709D5">
        <w:rPr>
          <w:rFonts w:ascii="Times New Roman" w:hAnsi="Times New Roman" w:cs="Times New Roman"/>
          <w:sz w:val="24"/>
          <w:szCs w:val="24"/>
        </w:rPr>
        <w:t xml:space="preserve"> of individual salmon</w:t>
      </w:r>
      <w:r w:rsidRPr="002709D5">
        <w:rPr>
          <w:rFonts w:ascii="Times New Roman" w:hAnsi="Times New Roman" w:cs="Times New Roman"/>
          <w:sz w:val="24"/>
          <w:szCs w:val="24"/>
        </w:rPr>
        <w:t xml:space="preserve"> collected from</w:t>
      </w:r>
      <w:r w:rsidR="00CA66FE" w:rsidRPr="002709D5">
        <w:rPr>
          <w:rFonts w:ascii="Times New Roman" w:hAnsi="Times New Roman" w:cs="Times New Roman"/>
          <w:sz w:val="24"/>
          <w:szCs w:val="24"/>
        </w:rPr>
        <w:t xml:space="preserve"> two different sources. The first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compiled</w:t>
      </w:r>
      <w:r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r w:rsidRPr="002709D5">
        <w:rPr>
          <w:rFonts w:ascii="Times New Roman" w:hAnsi="Times New Roman" w:cs="Times New Roman"/>
          <w:sz w:val="24"/>
          <w:szCs w:val="24"/>
        </w:rPr>
        <w:t xml:space="preserve">Nass River and Rivers Inlet commercial gillnet fisheries operating between 1914 and 1946. </w:t>
      </w:r>
      <w:r w:rsidR="002865F4" w:rsidRPr="002709D5">
        <w:rPr>
          <w:rFonts w:ascii="Times New Roman" w:hAnsi="Times New Roman" w:cs="Times New Roman"/>
          <w:sz w:val="24"/>
          <w:szCs w:val="24"/>
        </w:rPr>
        <w:t xml:space="preserve">These fisheries occurred in nearshore waters, with </w:t>
      </w:r>
      <w:r w:rsidR="002709D5" w:rsidRPr="002709D5">
        <w:rPr>
          <w:rFonts w:ascii="Times New Roman" w:hAnsi="Times New Roman" w:cs="Times New Roman"/>
          <w:sz w:val="24"/>
          <w:szCs w:val="24"/>
        </w:rPr>
        <w:t>data collected</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rsidRPr="002709D5">
        <w:rPr>
          <w:rFonts w:ascii="Times New Roman" w:hAnsi="Times New Roman" w:cs="Times New Roman"/>
          <w:sz w:val="24"/>
          <w:szCs w:val="24"/>
        </w:rPr>
        <w:t xml:space="preserve"> The second, contemporary dataset included data collected in the Nass Rivers fishwheel test fish</w:t>
      </w:r>
      <w:r w:rsidR="002865F4" w:rsidRPr="002709D5">
        <w:rPr>
          <w:rFonts w:ascii="Times New Roman" w:hAnsi="Times New Roman" w:cs="Times New Roman"/>
          <w:sz w:val="24"/>
          <w:szCs w:val="24"/>
        </w:rPr>
        <w:t>ery, operated by the Nisga’a First Nation between 1994 and 2017. Individuals were sampled daily and length and sex recorded</w:t>
      </w:r>
      <w:commentRangeStart w:id="1"/>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1"/>
      <w:r w:rsidR="002709D5" w:rsidRPr="002709D5">
        <w:rPr>
          <w:rStyle w:val="CommentReference"/>
          <w:rFonts w:ascii="Times New Roman" w:hAnsi="Times New Roman" w:cs="Times New Roman"/>
          <w:sz w:val="24"/>
          <w:szCs w:val="24"/>
        </w:rPr>
        <w:commentReference w:id="1"/>
      </w:r>
    </w:p>
    <w:p w14:paraId="65DCB98D" w14:textId="1A9B2166"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lastRenderedPageBreak/>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aged and scale annuli characteristics were used to distinguish between freshwater and marine residence using </w:t>
      </w:r>
      <w:r w:rsidR="00CA66FE" w:rsidRPr="002709D5">
        <w:rPr>
          <w:rFonts w:ascii="Times New Roman" w:hAnsi="Times New Roman" w:cs="Times New Roman"/>
          <w:i/>
          <w:sz w:val="24"/>
          <w:szCs w:val="24"/>
        </w:rPr>
        <w:t>x</w:t>
      </w:r>
      <w:r w:rsidR="002709D5" w:rsidRPr="002709D5">
        <w:rPr>
          <w:rFonts w:ascii="Times New Roman" w:hAnsi="Times New Roman" w:cs="Times New Roman"/>
          <w:sz w:val="24"/>
          <w:szCs w:val="24"/>
        </w:rPr>
        <w:t xml:space="preserve"> nomenclature. For example, </w:t>
      </w:r>
      <w:r w:rsidR="00CA66FE" w:rsidRPr="002709D5">
        <w:rPr>
          <w:rFonts w:ascii="Times New Roman" w:hAnsi="Times New Roman" w:cs="Times New Roman"/>
          <w:sz w:val="24"/>
          <w:szCs w:val="24"/>
        </w:rPr>
        <w:t>1.2 individuals return to spawn 4 years after their parents spawn, having spent one year in the gravel, one year as a fry in freshwater, and two years at sea.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For the Nass this included 1.2, 1.3, 2.2, and 2.3 individuals, while for Rivers Inlet 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while contemporary aging analyses were conducted by Fisheries and Oceans Canada (1994-2004) or Alaska Department of Fish and Game (2005-2017) schlerochronology lab.</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52C49CA9" w14:textId="429B88EF" w:rsidR="002709D5" w:rsidRPr="0093678C"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We tested the performance of a suite of environmental variables as predictors o</w:t>
      </w:r>
      <w:r w:rsidR="006A3A18">
        <w:rPr>
          <w:rFonts w:ascii="Times New Roman" w:hAnsi="Times New Roman" w:cs="Times New Roman"/>
          <w:sz w:val="24"/>
          <w:szCs w:val="24"/>
        </w:rPr>
        <w:t>f changes in body size. Three</w:t>
      </w:r>
      <w:r w:rsidRPr="002709D5">
        <w:rPr>
          <w:rFonts w:ascii="Times New Roman" w:hAnsi="Times New Roman" w:cs="Times New Roman"/>
          <w:sz w:val="24"/>
          <w:szCs w:val="24"/>
        </w:rPr>
        <w:t xml:space="preserve"> indices </w:t>
      </w:r>
      <w:r w:rsidR="006A3A18">
        <w:rPr>
          <w:rFonts w:ascii="Times New Roman" w:hAnsi="Times New Roman" w:cs="Times New Roman"/>
          <w:sz w:val="24"/>
          <w:szCs w:val="24"/>
        </w:rPr>
        <w:t>describe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2"/>
      <w:r w:rsidRPr="002709D5">
        <w:rPr>
          <w:rFonts w:ascii="Times New Roman" w:hAnsi="Times New Roman" w:cs="Times New Roman"/>
          <w:sz w:val="24"/>
          <w:szCs w:val="24"/>
        </w:rPr>
        <w:t xml:space="preserve">by… </w:t>
      </w:r>
      <w:commentRangeEnd w:id="2"/>
      <w:r w:rsidR="00763ABB">
        <w:rPr>
          <w:rStyle w:val="CommentReference"/>
        </w:rPr>
        <w:commentReference w:id="2"/>
      </w:r>
      <w:r w:rsidR="00763ABB">
        <w:rPr>
          <w:rFonts w:ascii="Times New Roman" w:hAnsi="Times New Roman" w:cs="Times New Roman"/>
          <w:sz w:val="24"/>
          <w:szCs w:val="24"/>
        </w:rPr>
        <w:t xml:space="preserve"> Interannual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r w:rsidRPr="00763ABB">
        <w:rPr>
          <w:rFonts w:ascii="Times New Roman" w:hAnsi="Times New Roman" w:cs="Times New Roman"/>
          <w:sz w:val="24"/>
          <w:szCs w:val="24"/>
        </w:rPr>
        <w:t xml:space="preserve">poleward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research.jisao.washington.edu/pdo/</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poleward of </w:t>
      </w:r>
      <w:commentRangeStart w:id="3"/>
      <w:r w:rsidR="00763ABB" w:rsidRPr="00763ABB">
        <w:rPr>
          <w:rFonts w:ascii="Times New Roman" w:hAnsi="Times New Roman" w:cs="Times New Roman"/>
          <w:sz w:val="24"/>
          <w:szCs w:val="24"/>
        </w:rPr>
        <w:t>20°N</w:t>
      </w:r>
      <w:commentRangeEnd w:id="3"/>
      <w:r w:rsidR="00763ABB">
        <w:rPr>
          <w:rStyle w:val="CommentReference"/>
        </w:rPr>
        <w:commentReference w:id="3"/>
      </w:r>
      <w:r w:rsidR="00253449">
        <w:rPr>
          <w:rFonts w:ascii="Times New Roman" w:hAnsi="Times New Roman" w:cs="Times New Roman"/>
          <w:sz w:val="24"/>
          <w:szCs w:val="24"/>
        </w:rPr>
        <w:t xml:space="preserve"> (</w:t>
      </w:r>
      <w:r w:rsidR="00763ABB">
        <w:rPr>
          <w:rFonts w:ascii="Times New Roman" w:hAnsi="Times New Roman" w:cs="Times New Roman"/>
          <w:sz w:val="24"/>
          <w:szCs w:val="24"/>
        </w:rPr>
        <w:t>using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r w:rsidR="00763ABB">
        <w:rPr>
          <w:rFonts w:ascii="Times New Roman" w:hAnsi="Times New Roman" w:cs="Times New Roman"/>
          <w:sz w:val="24"/>
          <w:szCs w:val="24"/>
        </w:rPr>
        <w:t>The final abiotic covariate we incorporated was the Ale</w:t>
      </w:r>
      <w:r w:rsidR="00253449">
        <w:rPr>
          <w:rFonts w:ascii="Times New Roman" w:hAnsi="Times New Roman" w:cs="Times New Roman"/>
          <w:sz w:val="24"/>
          <w:szCs w:val="24"/>
        </w:rPr>
        <w:t xml:space="preserve">utian Low Pressure Index (ALPI), which represents the relative intensity of the low-pressure system centered over the north Pacific during winter (REF). ALPI reflects the relative intensity of both winter storms (REF) and the position of westerly winds (REF) that 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in the North Pacific Ocean with mean seasonal (December to March) sea level pressure less than or equal to 100.5 kPa, it is provided as an annual index by default.</w:t>
      </w:r>
    </w:p>
    <w:p w14:paraId="5AFC259E" w14:textId="5F62A8D3"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We used catch estimates of sockeye and pink salmon captured throughout the northeast Pacific to test for con- and heterospecific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from the North Pacific Anadromous Fish Commission (REF). Unfortunately catch records for British Columbia and Washington do not begin until 1925. Therefore, we used </w:t>
      </w:r>
      <w:r w:rsidR="00CE0811">
        <w:rPr>
          <w:rFonts w:ascii="Times New Roman" w:hAnsi="Times New Roman" w:cs="Times New Roman"/>
          <w:sz w:val="24"/>
          <w:szCs w:val="24"/>
        </w:rPr>
        <w:lastRenderedPageBreak/>
        <w:t>catches in Alaska in the year of return as a proxy for the total number of sockeye or pink salmon maturing in the Gulf of Alaska that year. Alaskan stocks are often numerically dominant in the North Pacific and likely overlap with sockeye salmon populations rearing in northern British Columbia (REF). However to test the sensitivity of our results to this assumption we completed a supplementary analysis restricted to years when catch data were available from BC and WA (Supplementary Material). C</w:t>
      </w:r>
      <w:r>
        <w:rPr>
          <w:rFonts w:ascii="Times New Roman" w:hAnsi="Times New Roman" w:cs="Times New Roman"/>
          <w:sz w:val="24"/>
          <w:szCs w:val="24"/>
        </w:rPr>
        <w:t xml:space="preserve">atch data are necessarily an imperfect proxy for absolute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 are the most complete index of abundance available for the historical sampling period. To maintain consistency between datasets we also used catch data as a covariate in the modern Nass analysis, though estimates of escapement as well as catch are now available.</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13E1732A" w:rsidR="00CE0811" w:rsidRP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 xml:space="preserve">(GAM)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651D15">
        <w:rPr>
          <w:rFonts w:ascii="Times New Roman" w:hAnsi="Times New Roman" w:cs="Times New Roman"/>
          <w:sz w:val="24"/>
          <w:szCs w:val="24"/>
        </w:rPr>
        <w:t xml:space="preserve">density dependent effects. </w:t>
      </w:r>
      <w:r w:rsidR="00EB5192">
        <w:rPr>
          <w:rFonts w:ascii="Times New Roman" w:hAnsi="Times New Roman" w:cs="Times New Roman"/>
          <w:sz w:val="24"/>
          <w:szCs w:val="24"/>
        </w:rPr>
        <w:t xml:space="preserve">We constrained the modeled relationships to be linear, dome-shaped, or sigmoidal to by limiting each GAM’s parameter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drivers varies in time or space</w:t>
      </w:r>
      <w:r>
        <w:rPr>
          <w:rFonts w:ascii="Times New Roman" w:hAnsi="Times New Roman" w:cs="Times New Roman"/>
          <w:sz w:val="24"/>
          <w:szCs w:val="24"/>
        </w:rPr>
        <w:t>, we analyzed each of the three datasets (i.e. Nass historical (NH), Rivers Inlet historical (RH), and Nass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 that contained up to one abiotic driver (e.g. temperature, PDO, PC2, or ALPI) and one index of salmon abundance (pink, sockeye, or total) (Table 1). To account for differences in size at return among age classes, we also included total age as a fixed effect. We did not include multiple environmental drivers in the same model since they were relatively strongly correlated with one another.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we used generalized additive mixed models, an extension of GAMs that can incorporate 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Akaike information criterion adjusted for small sample sizes (AICc; REF).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3544DA0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04-12T06:59:00Z" w:initials="CF">
    <w:p w14:paraId="5BE6BB43" w14:textId="5EAACF6A" w:rsidR="001039C7" w:rsidRDefault="001039C7">
      <w:pPr>
        <w:pStyle w:val="CommentText"/>
      </w:pPr>
      <w:r>
        <w:rPr>
          <w:rStyle w:val="CommentReference"/>
        </w:rPr>
        <w:annotationRef/>
      </w:r>
      <w:r>
        <w:t>Remove unless we incorporate run timing analyses</w:t>
      </w:r>
    </w:p>
  </w:comment>
  <w:comment w:id="2" w:author="Cameron Freshwater" w:date="2018-04-12T07:15:00Z" w:initials="CF">
    <w:p w14:paraId="6573E385" w14:textId="252CEB3E" w:rsidR="001039C7" w:rsidRDefault="001039C7">
      <w:pPr>
        <w:pStyle w:val="CommentText"/>
      </w:pPr>
      <w:r>
        <w:rPr>
          <w:rStyle w:val="CommentReference"/>
        </w:rPr>
        <w:annotationRef/>
      </w:r>
      <w:r>
        <w:t>Data source</w:t>
      </w:r>
    </w:p>
  </w:comment>
  <w:comment w:id="3" w:author="Cameron Freshwater" w:date="2018-04-12T07:15:00Z" w:initials="CF">
    <w:p w14:paraId="794DCD28" w14:textId="1B1D4BA4" w:rsidR="001039C7" w:rsidRDefault="001039C7">
      <w:pPr>
        <w:pStyle w:val="CommentText"/>
      </w:pPr>
      <w:r>
        <w:rPr>
          <w:rStyle w:val="CommentReference"/>
        </w:rPr>
        <w:annotationRef/>
      </w:r>
      <w:r>
        <w:t>Change domain accordingly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B4954"/>
    <w:rsid w:val="001039C7"/>
    <w:rsid w:val="00106E31"/>
    <w:rsid w:val="00212320"/>
    <w:rsid w:val="00253449"/>
    <w:rsid w:val="002709D5"/>
    <w:rsid w:val="002865F4"/>
    <w:rsid w:val="0039131D"/>
    <w:rsid w:val="003D183C"/>
    <w:rsid w:val="00423D33"/>
    <w:rsid w:val="005A3F5A"/>
    <w:rsid w:val="005F0B15"/>
    <w:rsid w:val="00640A7C"/>
    <w:rsid w:val="00651D15"/>
    <w:rsid w:val="00683789"/>
    <w:rsid w:val="006949F6"/>
    <w:rsid w:val="006A3A18"/>
    <w:rsid w:val="00716175"/>
    <w:rsid w:val="007454FE"/>
    <w:rsid w:val="00763ABB"/>
    <w:rsid w:val="00801853"/>
    <w:rsid w:val="00842D10"/>
    <w:rsid w:val="00853761"/>
    <w:rsid w:val="00884779"/>
    <w:rsid w:val="0093678C"/>
    <w:rsid w:val="009A109A"/>
    <w:rsid w:val="009A5561"/>
    <w:rsid w:val="009B64C1"/>
    <w:rsid w:val="00AA5519"/>
    <w:rsid w:val="00AF1790"/>
    <w:rsid w:val="00B1613E"/>
    <w:rsid w:val="00B274A1"/>
    <w:rsid w:val="00CA66FE"/>
    <w:rsid w:val="00CE0811"/>
    <w:rsid w:val="00D64FF4"/>
    <w:rsid w:val="00D90596"/>
    <w:rsid w:val="00DC6095"/>
    <w:rsid w:val="00EB5192"/>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2010</Words>
  <Characters>11463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14</cp:revision>
  <dcterms:created xsi:type="dcterms:W3CDTF">2018-01-30T23:32:00Z</dcterms:created>
  <dcterms:modified xsi:type="dcterms:W3CDTF">2018-04-26T14:36:00Z</dcterms:modified>
</cp:coreProperties>
</file>