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6042B" w14:textId="77777777" w:rsidR="007F44B3" w:rsidRDefault="00927404" w:rsidP="00927404">
      <w:pPr>
        <w:rPr>
          <w:i/>
        </w:rPr>
      </w:pPr>
      <w:r>
        <w:rPr>
          <w:i/>
        </w:rPr>
        <w:t>Retrospective analysis</w:t>
      </w:r>
    </w:p>
    <w:p w14:paraId="6D2AB2DF" w14:textId="77777777" w:rsidR="00927404" w:rsidRDefault="00927404" w:rsidP="00927404">
      <w:pPr>
        <w:pStyle w:val="ListParagraph"/>
        <w:numPr>
          <w:ilvl w:val="0"/>
          <w:numId w:val="2"/>
        </w:numPr>
      </w:pPr>
      <w:r>
        <w:t>We first explored recent patterns of aggregate variability in the Fraser River sockeye salmon metapopulation by decomposing aggregate variability into each CU’s (i.e. component’s) variability and synchrony among CUs.</w:t>
      </w:r>
    </w:p>
    <w:p w14:paraId="1A1CF945" w14:textId="77777777" w:rsidR="00927404" w:rsidRDefault="00927404" w:rsidP="00927404">
      <w:pPr>
        <w:pStyle w:val="ListParagraph"/>
        <w:numPr>
          <w:ilvl w:val="0"/>
          <w:numId w:val="2"/>
        </w:numPr>
      </w:pPr>
      <w:r>
        <w:t>We examined these indices in two metrics</w:t>
      </w:r>
    </w:p>
    <w:p w14:paraId="6493810A" w14:textId="77777777" w:rsidR="00927404" w:rsidRDefault="00927404" w:rsidP="00927404">
      <w:pPr>
        <w:pStyle w:val="ListParagraph"/>
        <w:numPr>
          <w:ilvl w:val="1"/>
          <w:numId w:val="2"/>
        </w:numPr>
      </w:pPr>
      <w:r>
        <w:t xml:space="preserve">First, productivity, which is the number of recruits to the fishery produced per capita. </w:t>
      </w:r>
    </w:p>
    <w:p w14:paraId="09CA4696" w14:textId="77777777" w:rsidR="00927404" w:rsidRDefault="00927404" w:rsidP="00927404">
      <w:pPr>
        <w:pStyle w:val="ListParagraph"/>
        <w:numPr>
          <w:ilvl w:val="2"/>
          <w:numId w:val="2"/>
        </w:numPr>
      </w:pPr>
      <w:r>
        <w:t>Recruits are enumerated after returning to coastal waters and being captured in fisheries, dying en route to spawning grounds, or successfully reaching spawning habitat.</w:t>
      </w:r>
    </w:p>
    <w:p w14:paraId="300295D3" w14:textId="77777777" w:rsidR="00927404" w:rsidRDefault="00927404" w:rsidP="00927404">
      <w:pPr>
        <w:pStyle w:val="ListParagraph"/>
        <w:numPr>
          <w:ilvl w:val="2"/>
          <w:numId w:val="2"/>
        </w:numPr>
      </w:pPr>
      <w:r>
        <w:t>This metric represents trends in metapopulation dynamics independent of two major mechanisms of disturbance in Pacific salmon populations - exploitation in fisheries and en route mortality.</w:t>
      </w:r>
    </w:p>
    <w:p w14:paraId="6E3A955E" w14:textId="77777777" w:rsidR="00927404" w:rsidRDefault="00927404" w:rsidP="00927404">
      <w:pPr>
        <w:pStyle w:val="ListParagraph"/>
        <w:numPr>
          <w:ilvl w:val="1"/>
          <w:numId w:val="2"/>
        </w:numPr>
      </w:pPr>
      <w:r>
        <w:t>To explore the potential impact of these drivers we also examined trends in absolute spawner abundance, which is simply the number of recruits that successfully reach the spawning grounds</w:t>
      </w:r>
    </w:p>
    <w:p w14:paraId="58812F8F" w14:textId="77777777" w:rsidR="00927404" w:rsidRDefault="00927404" w:rsidP="00927404">
      <w:pPr>
        <w:pStyle w:val="ListParagraph"/>
        <w:numPr>
          <w:ilvl w:val="0"/>
          <w:numId w:val="2"/>
        </w:numPr>
      </w:pPr>
      <w:r>
        <w:t xml:space="preserve">We calculated ten-year moving window averages of each metric and used linear models to test two hypotheses </w:t>
      </w:r>
    </w:p>
    <w:p w14:paraId="6F0A56E4" w14:textId="77777777" w:rsidR="00927404" w:rsidRDefault="00927404" w:rsidP="00927404">
      <w:pPr>
        <w:pStyle w:val="ListParagraph"/>
        <w:numPr>
          <w:ilvl w:val="1"/>
          <w:numId w:val="2"/>
        </w:numPr>
      </w:pPr>
      <w:r>
        <w:t>1) Has there been a significant increase in aggregate variability, consistent with a collapsed portfolio?</w:t>
      </w:r>
    </w:p>
    <w:p w14:paraId="7AB44FC7" w14:textId="77777777" w:rsidR="00927404" w:rsidRDefault="00927404" w:rsidP="00927404">
      <w:pPr>
        <w:pStyle w:val="ListParagraph"/>
        <w:numPr>
          <w:ilvl w:val="1"/>
          <w:numId w:val="2"/>
        </w:numPr>
      </w:pPr>
      <w:r>
        <w:t>2) Is aggregate variability more strongly correlated with component variability or synchrony, consistent with a shift in the dynamics of specific CUs or the metapopulation as a whole.</w:t>
      </w:r>
    </w:p>
    <w:p w14:paraId="7265754F" w14:textId="77777777" w:rsidR="00927404" w:rsidRDefault="00927404" w:rsidP="00927404">
      <w:pPr>
        <w:rPr>
          <w:i/>
        </w:rPr>
      </w:pPr>
      <w:r>
        <w:rPr>
          <w:i/>
        </w:rPr>
        <w:t>Forward simulation</w:t>
      </w:r>
    </w:p>
    <w:p w14:paraId="395246D2" w14:textId="77777777" w:rsidR="00927404" w:rsidRDefault="009F6DEE" w:rsidP="00927404">
      <w:pPr>
        <w:pStyle w:val="ListParagraph"/>
        <w:numPr>
          <w:ilvl w:val="0"/>
          <w:numId w:val="3"/>
        </w:numPr>
      </w:pPr>
      <w:r>
        <w:t>To</w:t>
      </w:r>
      <w:r w:rsidR="00927404">
        <w:t xml:space="preserve"> explore the potential consequences of different </w:t>
      </w:r>
      <w:r>
        <w:t>aggregate variability scenarios, we used a stochastic closed-loop model to forward simulate the dynamics of Fraser River sockeye salmon.</w:t>
      </w:r>
    </w:p>
    <w:p w14:paraId="2473A827" w14:textId="77777777" w:rsidR="009F6DEE" w:rsidRDefault="009F6DEE" w:rsidP="009F6DEE">
      <w:pPr>
        <w:pStyle w:val="ListParagraph"/>
        <w:numPr>
          <w:ilvl w:val="1"/>
          <w:numId w:val="3"/>
        </w:numPr>
      </w:pPr>
      <w:r>
        <w:t>The model includes population dynamics and harvesting, which follows current management control rules, as well as process, observation, and management implementation uncertainty.</w:t>
      </w:r>
    </w:p>
    <w:p w14:paraId="0406AD0C" w14:textId="77777777" w:rsidR="009F6DEE" w:rsidRDefault="009F6DEE" w:rsidP="009F6DEE">
      <w:pPr>
        <w:pStyle w:val="ListParagraph"/>
        <w:numPr>
          <w:ilvl w:val="0"/>
          <w:numId w:val="3"/>
        </w:numPr>
      </w:pPr>
      <w:r>
        <w:t>The salmon metapopulation dynamics were modeled using an age-structured Ricker model with demographic stochasticity.</w:t>
      </w:r>
    </w:p>
    <w:p w14:paraId="0F2966C6" w14:textId="77777777" w:rsidR="009F6DEE" w:rsidRDefault="009F6DEE" w:rsidP="009F6DEE">
      <w:pPr>
        <w:pStyle w:val="ListParagraph"/>
        <w:numPr>
          <w:ilvl w:val="1"/>
          <w:numId w:val="3"/>
        </w:numPr>
      </w:pPr>
      <w:r>
        <w:t>Define model</w:t>
      </w:r>
    </w:p>
    <w:p w14:paraId="4258835C" w14:textId="77777777" w:rsidR="009F6DEE" w:rsidRDefault="009F6DEE" w:rsidP="009F6DEE">
      <w:pPr>
        <w:pStyle w:val="ListParagraph"/>
        <w:numPr>
          <w:ilvl w:val="1"/>
          <w:numId w:val="3"/>
        </w:numPr>
      </w:pPr>
      <w:r>
        <w:t>A subset of Fraser River sockeye salmon populations exhibit cyclic dynamics and these CUs’ dynamics were simulated using a Larkin model, an extension of the Ricker that accounts for delayed density dependence among cycle lines</w:t>
      </w:r>
    </w:p>
    <w:p w14:paraId="58B43A8F" w14:textId="77777777" w:rsidR="009F6DEE" w:rsidRDefault="009F6DEE" w:rsidP="009F6DEE">
      <w:pPr>
        <w:pStyle w:val="ListParagraph"/>
        <w:numPr>
          <w:ilvl w:val="2"/>
          <w:numId w:val="3"/>
        </w:numPr>
      </w:pPr>
      <w:r>
        <w:t>Define model</w:t>
      </w:r>
    </w:p>
    <w:p w14:paraId="15376D7F" w14:textId="77777777" w:rsidR="009F6DEE" w:rsidRDefault="009F6DEE" w:rsidP="009F6DEE">
      <w:pPr>
        <w:pStyle w:val="ListParagraph"/>
        <w:numPr>
          <w:ilvl w:val="2"/>
          <w:numId w:val="3"/>
        </w:numPr>
      </w:pPr>
      <w:r>
        <w:t>Whether CUs were modeled with the Ricker or Larkin was based upon their most recent assessment (WSP 2017 doc)</w:t>
      </w:r>
    </w:p>
    <w:p w14:paraId="0A706A0C" w14:textId="77777777" w:rsidR="009F6DEE" w:rsidRDefault="009F6DEE" w:rsidP="009F6DEE">
      <w:pPr>
        <w:pStyle w:val="ListParagraph"/>
        <w:numPr>
          <w:ilvl w:val="1"/>
          <w:numId w:val="3"/>
        </w:numPr>
      </w:pPr>
      <w:r>
        <w:t xml:space="preserve">To generate future recruits we used alpha and beta parameters that were estimated from CU-specific stock recruit models. </w:t>
      </w:r>
    </w:p>
    <w:p w14:paraId="15A0F7B9" w14:textId="77777777" w:rsidR="009F6DEE" w:rsidRDefault="009F6DEE" w:rsidP="009F6DEE">
      <w:pPr>
        <w:pStyle w:val="ListParagraph"/>
        <w:numPr>
          <w:ilvl w:val="2"/>
          <w:numId w:val="3"/>
        </w:numPr>
      </w:pPr>
      <w:r>
        <w:lastRenderedPageBreak/>
        <w:t xml:space="preserve">To account for uncertainty in the true underlying stock recruit relationship we sampled with replacement from the posterior distribution of each CU’s estimated parameters each simulation run. </w:t>
      </w:r>
    </w:p>
    <w:p w14:paraId="5B4C31DF" w14:textId="77777777" w:rsidR="009F6DEE" w:rsidRDefault="009F6DEE" w:rsidP="009F6DEE">
      <w:pPr>
        <w:pStyle w:val="ListParagraph"/>
        <w:numPr>
          <w:ilvl w:val="2"/>
          <w:numId w:val="3"/>
        </w:numPr>
      </w:pPr>
      <w:r>
        <w:t>Note that although these models provide estimates of stock-recruit deviations, we parameterized sigma independently (see operating model variants)</w:t>
      </w:r>
    </w:p>
    <w:p w14:paraId="152224A9" w14:textId="77777777" w:rsidR="00BB68E3" w:rsidRDefault="009F6DEE" w:rsidP="009F6DEE">
      <w:pPr>
        <w:pStyle w:val="ListParagraph"/>
        <w:numPr>
          <w:ilvl w:val="0"/>
          <w:numId w:val="3"/>
        </w:numPr>
      </w:pPr>
      <w:r>
        <w:t>Harvest occurred each year with exploitation</w:t>
      </w:r>
      <w:r w:rsidR="00BB68E3">
        <w:t xml:space="preserve"> rates determined by a harvest control rule replicating the TAM rule that has been used to regulate catch rates on the Fraser River since X</w:t>
      </w:r>
    </w:p>
    <w:p w14:paraId="59E52968" w14:textId="77777777" w:rsidR="00BB68E3" w:rsidRDefault="00BB68E3" w:rsidP="00BB68E3">
      <w:pPr>
        <w:pStyle w:val="ListParagraph"/>
        <w:numPr>
          <w:ilvl w:val="1"/>
          <w:numId w:val="3"/>
        </w:numPr>
      </w:pPr>
      <w:r>
        <w:t>A forecast of recruit abundance was made each year at the management unit level, the scale at which harvest typically occurs in mixed stock, marine fisheries.</w:t>
      </w:r>
    </w:p>
    <w:p w14:paraId="47725598" w14:textId="77777777" w:rsidR="009F6DEE" w:rsidRPr="00927404" w:rsidRDefault="00BB68E3" w:rsidP="00BB68E3">
      <w:pPr>
        <w:pStyle w:val="ListParagraph"/>
        <w:numPr>
          <w:ilvl w:val="1"/>
          <w:numId w:val="3"/>
        </w:numPr>
      </w:pPr>
      <w:r>
        <w:t>A total exploitation rate was set based whether forecasted abundance was below or above two MU- and cycle line-specific reference points after accounting for losses due to en route mortality.</w:t>
      </w:r>
      <w:bookmarkStart w:id="0" w:name="_GoBack"/>
      <w:bookmarkEnd w:id="0"/>
      <w:r>
        <w:t xml:space="preserve"> </w:t>
      </w:r>
      <w:r w:rsidR="009F6DEE">
        <w:t xml:space="preserve"> </w:t>
      </w:r>
    </w:p>
    <w:sectPr w:rsidR="009F6DEE" w:rsidRPr="00927404" w:rsidSect="00B647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7487"/>
    <w:multiLevelType w:val="hybridMultilevel"/>
    <w:tmpl w:val="712A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545B4"/>
    <w:multiLevelType w:val="hybridMultilevel"/>
    <w:tmpl w:val="BC22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95F13"/>
    <w:multiLevelType w:val="hybridMultilevel"/>
    <w:tmpl w:val="66F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60"/>
    <w:rsid w:val="007E4660"/>
    <w:rsid w:val="007F44B3"/>
    <w:rsid w:val="00927404"/>
    <w:rsid w:val="009C426E"/>
    <w:rsid w:val="009F6DEE"/>
    <w:rsid w:val="00B64706"/>
    <w:rsid w:val="00BB68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E46C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474</Words>
  <Characters>2708</Characters>
  <Application>Microsoft Macintosh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Freshwater</dc:creator>
  <cp:keywords/>
  <dc:description/>
  <cp:lastModifiedBy>Cameron Freshwater</cp:lastModifiedBy>
  <cp:revision>2</cp:revision>
  <dcterms:created xsi:type="dcterms:W3CDTF">2018-06-01T03:11:00Z</dcterms:created>
  <dcterms:modified xsi:type="dcterms:W3CDTF">2018-06-01T03:44:00Z</dcterms:modified>
</cp:coreProperties>
</file>