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6F32B" w14:textId="44BB4BDD" w:rsidR="005326C5" w:rsidRDefault="008C1650" w:rsidP="00161092">
      <w:pPr>
        <w:ind w:firstLine="720"/>
      </w:pPr>
      <w:r>
        <w:t>In many ecological systems diversity increase</w:t>
      </w:r>
      <w:r w:rsidR="00815021">
        <w:t>s</w:t>
      </w:r>
      <w:r>
        <w:t xml:space="preserve"> the availability and stability of e</w:t>
      </w:r>
      <w:r w:rsidR="00161092">
        <w:t xml:space="preserve">cosystem services. </w:t>
      </w:r>
      <w:r w:rsidR="00815021">
        <w:t>Such d</w:t>
      </w:r>
      <w:r w:rsidR="00161092">
        <w:t xml:space="preserve">iversity-stability relationships typically arise due to the dynamics of </w:t>
      </w:r>
      <w:r w:rsidR="00996327">
        <w:t xml:space="preserve">individual species or populations varying </w:t>
      </w:r>
      <w:r w:rsidR="00815021">
        <w:t xml:space="preserve">asynchronously with one another, resulting in reduced </w:t>
      </w:r>
      <w:r w:rsidR="00161092">
        <w:t xml:space="preserve">temporal variability of </w:t>
      </w:r>
      <w:r w:rsidR="00815021">
        <w:t xml:space="preserve">the </w:t>
      </w:r>
      <w:r w:rsidR="00161092">
        <w:t>aggregate relative to its components.</w:t>
      </w:r>
      <w:r w:rsidR="005326C5">
        <w:t xml:space="preserve"> </w:t>
      </w:r>
      <w:r w:rsidR="00815021">
        <w:t>To maximize stability, resource managers are increasingly focused on monitoring and conserving</w:t>
      </w:r>
      <w:r w:rsidR="005F3EF6">
        <w:t xml:space="preserve"> ecological aggregates, rather than single species or component populations.</w:t>
      </w:r>
      <w:r w:rsidR="005F3EF6" w:rsidRPr="005F3EF6">
        <w:t xml:space="preserve"> </w:t>
      </w:r>
      <w:r w:rsidR="005F3EF6">
        <w:t xml:space="preserve">For example, </w:t>
      </w:r>
      <w:r w:rsidR="00815021">
        <w:t xml:space="preserve">many government agencies tasked with </w:t>
      </w:r>
      <w:r w:rsidR="005F3EF6">
        <w:t>managing multispecies fisheries have transitioned from single-species stock assessments to ecosystem-based approaches that evaluate the status of multiple trophic levels (REF).</w:t>
      </w:r>
    </w:p>
    <w:p w14:paraId="743B5D28" w14:textId="14D39B56" w:rsidR="00996327" w:rsidRDefault="005326C5" w:rsidP="000E1287">
      <w:pPr>
        <w:ind w:firstLine="720"/>
      </w:pPr>
      <w:r>
        <w:t xml:space="preserve"> </w:t>
      </w:r>
      <w:r w:rsidR="00996327">
        <w:t xml:space="preserve">At the coarsest level, </w:t>
      </w:r>
      <w:r w:rsidR="002343E7">
        <w:t>the correlation between diversity and temporal stability</w:t>
      </w:r>
      <w:r w:rsidR="00196031">
        <w:t xml:space="preserve"> (commonly </w:t>
      </w:r>
      <w:r w:rsidR="00996327">
        <w:t>referred to as portfolio effect</w:t>
      </w:r>
      <w:r w:rsidR="00196031">
        <w:t>s)</w:t>
      </w:r>
      <w:r w:rsidR="00996327">
        <w:t xml:space="preserve"> is an artif</w:t>
      </w:r>
      <w:r w:rsidR="00196031">
        <w:t>act of statistical averaging so that variability decreases with the number of components (</w:t>
      </w:r>
      <w:r w:rsidR="00996327">
        <w:t>REF).</w:t>
      </w:r>
      <w:r w:rsidR="00161092">
        <w:t xml:space="preserve"> </w:t>
      </w:r>
      <w:r w:rsidR="00274866">
        <w:t xml:space="preserve">Yet aggregate variability is </w:t>
      </w:r>
      <w:r w:rsidR="00196031">
        <w:t>also moderated by processes independent of component richness</w:t>
      </w:r>
      <w:r w:rsidR="00274866">
        <w:t xml:space="preserve">. For example, </w:t>
      </w:r>
      <w:r w:rsidR="00996327">
        <w:t>many ecological aggregates exhibit evidence of increase</w:t>
      </w:r>
      <w:r w:rsidR="00274866">
        <w:t xml:space="preserve">d temporal variability </w:t>
      </w:r>
      <w:r w:rsidR="00815021">
        <w:t xml:space="preserve">in recent years </w:t>
      </w:r>
      <w:r w:rsidR="00274866">
        <w:t xml:space="preserve">even though </w:t>
      </w:r>
      <w:r w:rsidR="00815021">
        <w:t>the number of components they contain is unchanged</w:t>
      </w:r>
      <w:r w:rsidR="002343E7">
        <w:t xml:space="preserve">. </w:t>
      </w:r>
      <w:proofErr w:type="gramStart"/>
      <w:r w:rsidR="002343E7">
        <w:t>Example 1.</w:t>
      </w:r>
      <w:proofErr w:type="gramEnd"/>
      <w:r w:rsidR="002343E7">
        <w:t xml:space="preserve"> </w:t>
      </w:r>
      <w:proofErr w:type="gramStart"/>
      <w:r w:rsidR="002343E7">
        <w:t>Example 2.</w:t>
      </w:r>
      <w:proofErr w:type="gramEnd"/>
      <w:r w:rsidR="002343E7">
        <w:t xml:space="preserve"> </w:t>
      </w:r>
      <w:r w:rsidR="00274866">
        <w:t>Such</w:t>
      </w:r>
      <w:r w:rsidR="002343E7">
        <w:t xml:space="preserve"> aggregates, often referred to as “collapsed portfolios”, are </w:t>
      </w:r>
      <w:r w:rsidR="00274866">
        <w:t>of particular conservation concern because they are less</w:t>
      </w:r>
      <w:r w:rsidR="002343E7">
        <w:t xml:space="preserve"> capable of providing </w:t>
      </w:r>
      <w:r w:rsidR="00196031">
        <w:t>important</w:t>
      </w:r>
      <w:r w:rsidR="002343E7">
        <w:t xml:space="preserve">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w:t>
      </w:r>
      <w:r w:rsidR="005F3EF6">
        <w:t>can be quantified as</w:t>
      </w:r>
      <w:r w:rsidR="000E1287">
        <w:t xml:space="preserve"> a function of the mean variability of each component </w:t>
      </w:r>
      <w:r w:rsidR="005F3EF6">
        <w:t>(weighted by its abundance) and</w:t>
      </w:r>
      <w:r w:rsidR="000E1287">
        <w:t xml:space="preserve"> synchrony</w:t>
      </w:r>
      <w:r w:rsidR="005F3EF6">
        <w:t xml:space="preserve"> among components</w:t>
      </w:r>
      <w:r w:rsidR="000E1287">
        <w:t xml:space="preserve">. These metrics are robust to differences in evenness, diversity, and abundance among communities or </w:t>
      </w:r>
      <w:proofErr w:type="spellStart"/>
      <w:r w:rsidR="000E1287">
        <w:t>metapopulations</w:t>
      </w:r>
      <w:proofErr w:type="spellEnd"/>
      <w:r w:rsidR="000E1287">
        <w:t>, allowing disparate systems</w:t>
      </w:r>
      <w:r w:rsidR="005F3EF6">
        <w:t xml:space="preserve"> to be compared</w:t>
      </w:r>
      <w:r w:rsidR="00196031">
        <w:t xml:space="preserve"> </w:t>
      </w:r>
      <w:proofErr w:type="gramStart"/>
      <w:r w:rsidR="00196031">
        <w:t>directly</w:t>
      </w:r>
      <w:proofErr w:type="gramEnd"/>
      <w:r w:rsidR="000E1287">
        <w:t xml:space="preserve">. </w:t>
      </w:r>
    </w:p>
    <w:p w14:paraId="2471CF74" w14:textId="63FCB60D" w:rsidR="00BF12B8" w:rsidRDefault="002B2200" w:rsidP="00BF12B8">
      <w:pPr>
        <w:ind w:firstLine="720"/>
      </w:pPr>
      <w:r>
        <w:t>D</w:t>
      </w:r>
      <w:r w:rsidR="00C14A36">
        <w:t>ecomposing aggregate variability into trends in synchrony and component variability</w:t>
      </w:r>
      <w:r w:rsidR="00BF12B8">
        <w:t xml:space="preserve"> can </w:t>
      </w:r>
      <w:r w:rsidR="002E258D">
        <w:t xml:space="preserve">guide </w:t>
      </w:r>
      <w:r w:rsidR="00BF12B8">
        <w:t xml:space="preserve">conservation </w:t>
      </w:r>
      <w:r w:rsidR="002E258D">
        <w:t>and</w:t>
      </w:r>
      <w:r w:rsidR="00BF12B8">
        <w:t xml:space="preserve"> management strategies</w:t>
      </w:r>
      <w:r w:rsidR="002E258D">
        <w:t xml:space="preserve"> in multiple ways</w:t>
      </w:r>
      <w:r w:rsidR="00BF12B8">
        <w:t xml:space="preserve">. </w:t>
      </w:r>
      <w:r w:rsidR="002E258D">
        <w:t>First, changes in each metric</w:t>
      </w:r>
      <w:r w:rsidR="00BF12B8">
        <w:t xml:space="preserve"> provide </w:t>
      </w:r>
      <w:r w:rsidR="002E258D">
        <w:t xml:space="preserve">distinct </w:t>
      </w:r>
      <w:r w:rsidR="00BF12B8">
        <w:t xml:space="preserve">information </w:t>
      </w:r>
      <w:r w:rsidR="002E258D">
        <w:t>about the scale at which</w:t>
      </w:r>
      <w:r w:rsidR="00C14A36">
        <w:t xml:space="preserve"> </w:t>
      </w:r>
      <w:r w:rsidR="00BF12B8">
        <w:t xml:space="preserve">destabilizing </w:t>
      </w:r>
      <w:r w:rsidR="00C14A36">
        <w:t>processes</w:t>
      </w:r>
      <w:r w:rsidR="002E258D">
        <w:t xml:space="preserve"> have occurred</w:t>
      </w:r>
      <w:r w:rsidR="00C14A36">
        <w:t xml:space="preserve">. </w:t>
      </w:r>
      <w:r w:rsidR="005F3EF6">
        <w:t>If</w:t>
      </w:r>
      <w:r w:rsidR="00C14A36">
        <w:t xml:space="preserve"> </w:t>
      </w:r>
      <w:r w:rsidR="002E258D">
        <w:t xml:space="preserve">component </w:t>
      </w:r>
      <w:r w:rsidR="00C14A36">
        <w:t xml:space="preserve">variability has increased, but synchrony has remained relatively stable, then apparent changes in </w:t>
      </w:r>
      <w:proofErr w:type="spellStart"/>
      <w:r w:rsidR="00C14A36">
        <w:t>metapopulation</w:t>
      </w:r>
      <w:proofErr w:type="spellEnd"/>
      <w:r w:rsidR="00C14A36">
        <w:t xml:space="preserve"> dynamics are likely the result of</w:t>
      </w:r>
      <w:r w:rsidR="000E1287">
        <w:t xml:space="preserve"> </w:t>
      </w:r>
      <w:r w:rsidR="00C14A36">
        <w:t>local</w:t>
      </w:r>
      <w:r w:rsidR="006068C0">
        <w:t xml:space="preserve"> </w:t>
      </w:r>
      <w:r w:rsidR="00C14A36">
        <w:t>processes</w:t>
      </w:r>
      <w:r w:rsidR="006068C0">
        <w:t>, which may be addressed in isolation</w:t>
      </w:r>
      <w:r w:rsidR="00C14A36">
        <w:t xml:space="preserve">. Conversely, coherent increases in both synchrony and aggregate variability would suggest that regional drivers </w:t>
      </w:r>
      <w:r w:rsidR="003B7E04">
        <w:t>have become</w:t>
      </w:r>
      <w:r w:rsidR="00C14A36">
        <w:t xml:space="preserve"> increasingly </w:t>
      </w:r>
      <w:r w:rsidR="003B7E04">
        <w:t>dominant, as well as</w:t>
      </w:r>
      <w:r w:rsidR="00C14A36">
        <w:t xml:space="preserve"> destabilizing. </w:t>
      </w:r>
      <w:r w:rsidR="00BF12B8">
        <w:t xml:space="preserve">These </w:t>
      </w:r>
      <w:r w:rsidR="00C14A36">
        <w:t xml:space="preserve">patterns can in turn guide </w:t>
      </w:r>
      <w:r w:rsidR="003B7E04">
        <w:t>directed</w:t>
      </w:r>
      <w:r w:rsidR="00C14A36">
        <w:t xml:space="preserve"> management </w:t>
      </w:r>
      <w:r w:rsidR="003B7E04">
        <w:t>actions</w:t>
      </w:r>
      <w:r w:rsidR="00C14A36">
        <w:t xml:space="preserve">. For example, </w:t>
      </w:r>
      <w:r w:rsidR="00BF12B8">
        <w:t>targeted</w:t>
      </w:r>
      <w:r w:rsidR="00C14A36">
        <w:t xml:space="preserve"> </w:t>
      </w:r>
      <w:r w:rsidR="00BF12B8">
        <w:t>interventions to stabilize the dynamics of specific populations</w:t>
      </w:r>
      <w:r w:rsidR="003B7E04">
        <w:t xml:space="preserve"> (e.g. reducing mortality rates</w:t>
      </w:r>
      <w:r w:rsidR="00A80702">
        <w:t>, captive breeding programs</w:t>
      </w:r>
      <w:r w:rsidR="003B7E04">
        <w:t>)</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35FAEED0" w:rsidR="00BF12B8" w:rsidRDefault="00BF12B8" w:rsidP="005027FD">
      <w:pPr>
        <w:ind w:firstLine="720"/>
      </w:pPr>
      <w:r>
        <w:t xml:space="preserve">Second, changes in component variability </w:t>
      </w:r>
      <w:r w:rsidR="002E258D">
        <w:t>as opposed to</w:t>
      </w:r>
      <w:r>
        <w:t xml:space="preserve"> synchrony may </w:t>
      </w:r>
      <w:r w:rsidR="003B7E04">
        <w:t xml:space="preserve">indicate different </w:t>
      </w:r>
      <w:r w:rsidR="00A80702">
        <w:t>degrees</w:t>
      </w:r>
      <w:r w:rsidR="003B7E04">
        <w:t xml:space="preserve"> of</w:t>
      </w:r>
      <w:r>
        <w:t xml:space="preserve"> conservation risk.</w:t>
      </w:r>
      <w:r w:rsidR="00A80702">
        <w:t xml:space="preserve"> Within a</w:t>
      </w:r>
      <w:r w:rsidR="00370CB7">
        <w:t xml:space="preserve"> component species or population, i</w:t>
      </w:r>
      <w:r w:rsidR="00DE7503">
        <w:t xml:space="preserve">ncreased variability </w:t>
      </w:r>
      <w:r w:rsidR="00370CB7">
        <w:t>may be</w:t>
      </w:r>
      <w:r w:rsidR="00DE7503">
        <w:t xml:space="preserve"> detrimental to persistence </w:t>
      </w:r>
      <w:r w:rsidR="002E258D">
        <w:t xml:space="preserve">due to </w:t>
      </w:r>
      <w:r w:rsidR="00370CB7">
        <w:t>an increased</w:t>
      </w:r>
      <w:r w:rsidR="002E258D">
        <w:t xml:space="preserve"> likelihood of extirpation (REF).</w:t>
      </w:r>
      <w:r w:rsidR="006068C0">
        <w:t xml:space="preserve"> </w:t>
      </w:r>
      <w:r w:rsidR="005027FD">
        <w:t xml:space="preserve">In managed systems such as fisheries, greater temporal variability </w:t>
      </w:r>
      <w:r w:rsidR="00A80702">
        <w:t>can</w:t>
      </w:r>
      <w:r w:rsidR="005027FD">
        <w:t xml:space="preserve"> also decrease the accuracy of status assessments</w:t>
      </w:r>
      <w:r w:rsidR="00A80702">
        <w:t>, potentially resulting in</w:t>
      </w:r>
      <w:r w:rsidR="005027FD">
        <w:t xml:space="preserve"> overexploitation (REF). On the other hand, g</w:t>
      </w:r>
      <w:r w:rsidR="002E258D">
        <w:t>reater synchrony</w:t>
      </w:r>
      <w:r w:rsidR="00370CB7">
        <w:t xml:space="preserve">, </w:t>
      </w:r>
      <w:r w:rsidR="005027FD">
        <w:t xml:space="preserve">particularly when </w:t>
      </w:r>
      <w:r w:rsidR="00370CB7">
        <w:t>paired with downward trends in abundance,</w:t>
      </w:r>
      <w:r w:rsidR="002E258D">
        <w:t xml:space="preserve"> </w:t>
      </w:r>
      <w:r w:rsidR="006068C0">
        <w:t>may serve</w:t>
      </w:r>
      <w:r w:rsidR="00DE7503">
        <w:t xml:space="preserve"> as an early warning signal of hysteresis </w:t>
      </w:r>
      <w:r w:rsidR="002E258D">
        <w:t>(REF</w:t>
      </w:r>
      <w:r w:rsidR="00370CB7">
        <w:t>)</w:t>
      </w:r>
      <w:r w:rsidR="00DE7503">
        <w:t>.</w:t>
      </w:r>
      <w:r w:rsidR="001463EA">
        <w:t xml:space="preserve"> </w:t>
      </w:r>
      <w:r w:rsidR="0032697E">
        <w:t xml:space="preserve"> </w:t>
      </w:r>
      <w:r w:rsidR="005027FD">
        <w:t>Intuitively, ecological aggregates in which both processes are occurring simultaneously may be at particularly high risk of decline.</w:t>
      </w:r>
    </w:p>
    <w:p w14:paraId="033E85F8" w14:textId="2A7A1DC6" w:rsidR="000835A0" w:rsidRDefault="003B7E04" w:rsidP="006A4872">
      <w:pPr>
        <w:ind w:firstLine="720"/>
      </w:pPr>
      <w:r>
        <w:lastRenderedPageBreak/>
        <w:t>In this study, we</w:t>
      </w:r>
      <w:r w:rsidR="006A4872">
        <w:t xml:space="preserve"> </w:t>
      </w:r>
      <w:r w:rsidR="00370CB7">
        <w:t>decompose</w:t>
      </w:r>
      <w:r>
        <w:t xml:space="preserve"> aggregate</w:t>
      </w:r>
      <w:r w:rsidR="00370CB7">
        <w:t xml:space="preserve"> temporal</w:t>
      </w:r>
      <w:r>
        <w:t xml:space="preserve"> variability </w:t>
      </w:r>
      <w:r w:rsidR="00D413CD">
        <w:t>in a</w:t>
      </w:r>
      <w:r w:rsidR="006A4872">
        <w:t xml:space="preserve"> Pacific salmon</w:t>
      </w:r>
      <w:r w:rsidR="00D413CD">
        <w:t xml:space="preserve"> </w:t>
      </w:r>
      <w:proofErr w:type="spellStart"/>
      <w:r w:rsidR="00D413CD">
        <w:t>metapopulation</w:t>
      </w:r>
      <w:proofErr w:type="spellEnd"/>
      <w:r w:rsidR="00370CB7">
        <w:t xml:space="preserve"> into component variability and synchrony</w:t>
      </w:r>
      <w:r w:rsidR="005027FD">
        <w:t>,</w:t>
      </w:r>
      <w:r w:rsidR="00370CB7">
        <w:t xml:space="preserve"> </w:t>
      </w:r>
      <w:proofErr w:type="gramStart"/>
      <w:r w:rsidR="00370CB7">
        <w:t>then</w:t>
      </w:r>
      <w:proofErr w:type="gramEnd"/>
      <w:r w:rsidR="00370CB7">
        <w:t xml:space="preserve"> use stochastic simulations to evaluate the long-term consequences of these changes </w:t>
      </w:r>
      <w:r w:rsidR="00590F69">
        <w:t>on</w:t>
      </w:r>
      <w:r w:rsidR="00370CB7">
        <w:t xml:space="preserve"> conservation </w:t>
      </w:r>
      <w:r w:rsidR="00590F69">
        <w:t>outcomes</w:t>
      </w:r>
      <w:r w:rsidR="00370CB7">
        <w:t>.</w:t>
      </w:r>
      <w:r w:rsidR="00D413CD">
        <w:t xml:space="preserve">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exploitation on the dynamics of these populations, the clo</w:t>
      </w:r>
      <w:r w:rsidR="00370CB7">
        <w:t>sed-loop simulation incorporate</w:t>
      </w:r>
      <w:r w:rsidR="00E06BE2">
        <w:t xml:space="preserve">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439B9DE"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 </w:t>
      </w:r>
      <w:r w:rsidR="00992367">
        <w:t xml:space="preserve">The Fraser River sockeye salmon aggregate is composed of </w:t>
      </w:r>
      <w:r w:rsidR="00392E97">
        <w:t>24</w:t>
      </w:r>
      <w:r w:rsidR="00992367">
        <w:t xml:space="preserve"> CUs, which are grouped into four management units (MUs) based on adult migration timing.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750ECEF8" w14:textId="24391D11" w:rsidR="00C72C7A" w:rsidRDefault="00C72C7A" w:rsidP="00C72C7A">
      <w:pPr>
        <w:ind w:firstLine="720"/>
      </w:pPr>
      <w:r>
        <w:t xml:space="preserve">Although the majority of Fraser River sockeye salmon were historically harvested in Canadian marine fisheries, mortality from at least three other sources can be substantial. First, American commercial fisheries in Juan de Fuca Strait off the coast of Washington harvest returning sockeye </w:t>
      </w:r>
      <w:r>
        <w:lastRenderedPageBreak/>
        <w:t xml:space="preserve">salmon before they reach Canadian waters. Second, individuals that pass through American and Canadian marine fisheries can experience high rates of </w:t>
      </w:r>
      <w:proofErr w:type="spellStart"/>
      <w:r>
        <w:t>en</w:t>
      </w:r>
      <w:proofErr w:type="spellEnd"/>
      <w:r>
        <w:t xml:space="preserve"> route mortality before reaching their spawning grounds, presumably due to a combination of natural mortality (thermal stress, pathogen infection, </w:t>
      </w:r>
      <w:proofErr w:type="gramStart"/>
      <w:r>
        <w:t>predation</w:t>
      </w:r>
      <w:proofErr w:type="gramEnd"/>
      <w:r>
        <w:t xml:space="preserve">) and unreported harvest (REF). </w:t>
      </w:r>
      <w:proofErr w:type="spellStart"/>
      <w:r>
        <w:t>En</w:t>
      </w:r>
      <w:proofErr w:type="spellEnd"/>
      <w:r>
        <w:t xml:space="preserve"> route mortality, which can exceed 60% in certain years (REF), appears to be correlated with migration phenology, in-river temperatures (REF), and freshwater flow (REF). Finally, Fraser River sockeye may be harvested in a range of in-river fisheries (e.g. food, social and ceremonial First Nations fisheries, terminal demonstration fisheries), which are closer to spawning grounds and therefore more stock-specific.</w:t>
      </w:r>
    </w:p>
    <w:p w14:paraId="6322742C" w14:textId="75C24636" w:rsidR="003B1DEE" w:rsidRDefault="003B1DEE" w:rsidP="00C72C7A">
      <w:pPr>
        <w:ind w:firstLine="720"/>
      </w:pPr>
      <w:commentRangeStart w:id="0"/>
      <w:r>
        <w:t xml:space="preserve">A range </w:t>
      </w:r>
      <w:commentRangeEnd w:id="0"/>
      <w:r w:rsidR="006C114F">
        <w:rPr>
          <w:rStyle w:val="CommentReference"/>
        </w:rPr>
        <w:commentReference w:id="0"/>
      </w:r>
      <w:r>
        <w:t xml:space="preserve">of ecological processes may underpin changes in variability and synchrony in Fraser River sockeye salmon. </w:t>
      </w:r>
      <w:r w:rsidR="006C114F">
        <w:t>Component v</w:t>
      </w:r>
      <w:r>
        <w:t xml:space="preserve">ariability </w:t>
      </w:r>
      <w:r w:rsidR="006C114F">
        <w:t>(i.e. within CU temporal variation)</w:t>
      </w:r>
      <w:r>
        <w:t xml:space="preserve"> may </w:t>
      </w:r>
      <w:r w:rsidR="006C114F">
        <w:t>increase</w:t>
      </w:r>
      <w:r>
        <w:t xml:space="preserve"> due to changes in local</w:t>
      </w:r>
      <w:r w:rsidR="006C114F">
        <w:t xml:space="preserve"> environmental</w:t>
      </w:r>
      <w:r>
        <w:t xml:space="preserve"> conditions, such as loss of spawning habitat</w:t>
      </w:r>
      <w:r w:rsidR="006C114F">
        <w:t xml:space="preserve"> (REF)</w:t>
      </w:r>
      <w:r>
        <w:t>, high levels of mortality during incubation (e.g. scouring events</w:t>
      </w:r>
      <w:r w:rsidR="006C114F">
        <w:t xml:space="preserve"> (REF)</w:t>
      </w:r>
      <w:r>
        <w:t>, high water temperatures</w:t>
      </w:r>
      <w:r w:rsidR="006C114F">
        <w:t xml:space="preserve"> (REF)</w:t>
      </w:r>
      <w:r>
        <w:t>), or changes in competition and predation during juvenile freshwater stages</w:t>
      </w:r>
      <w:r w:rsidR="006C114F">
        <w:t xml:space="preserve"> (REF)</w:t>
      </w:r>
      <w:r>
        <w:t xml:space="preserve">. </w:t>
      </w:r>
      <w:r w:rsidR="00C72C7A">
        <w:t>S</w:t>
      </w:r>
      <w:r>
        <w:t xml:space="preserve">ynchrony </w:t>
      </w:r>
      <w:r w:rsidR="00C72C7A">
        <w:t xml:space="preserve">among components </w:t>
      </w:r>
      <w:r>
        <w:t xml:space="preserve">within </w:t>
      </w:r>
      <w:proofErr w:type="spellStart"/>
      <w:r w:rsidR="00C72C7A">
        <w:t>metapopulations</w:t>
      </w:r>
      <w:proofErr w:type="spellEnd"/>
      <w:r>
        <w:t xml:space="preserve"> is </w:t>
      </w:r>
      <w:r w:rsidR="00C72C7A">
        <w:t>often associated with</w:t>
      </w:r>
      <w:r>
        <w:t xml:space="preserve"> connectivity (i.e. dispersal)</w:t>
      </w:r>
      <w:r w:rsidR="00C72C7A">
        <w:t xml:space="preserve">. Although Fraser River sockeye salmon likely function as a </w:t>
      </w:r>
      <w:proofErr w:type="spellStart"/>
      <w:r w:rsidR="00C72C7A">
        <w:t>metapopulation</w:t>
      </w:r>
      <w:proofErr w:type="spellEnd"/>
      <w:r w:rsidR="00C72C7A">
        <w:t xml:space="preserve"> </w:t>
      </w:r>
      <w:r w:rsidR="001463EA">
        <w:t>over</w:t>
      </w:r>
      <w:r w:rsidR="00C72C7A">
        <w:t xml:space="preserve"> evolutionary time scales, </w:t>
      </w:r>
      <w:r w:rsidR="001463EA">
        <w:t xml:space="preserve">dispersal is assumed to be nil </w:t>
      </w:r>
      <w:r w:rsidR="00C72C7A">
        <w:t xml:space="preserve">from a management perspective, with each CU representing a genetically distinct population assemblage (REF).  In the absence of dispersal, </w:t>
      </w:r>
      <w:r w:rsidR="001463EA">
        <w:t xml:space="preserve">synchronous dynamics may be driven by a common response to </w:t>
      </w:r>
      <w:r w:rsidR="00C72C7A">
        <w:t>shared environmental drivers (i.e. Moran effect), competitors, or predators. In the case of Fraser River sockeye salmon, such mechanisms may be more likely to occur during marine residence, when populations from throughout North America migrate to the Gulf of Alaska.</w:t>
      </w:r>
    </w:p>
    <w:p w14:paraId="667FFEEE" w14:textId="56DB34D1"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estimates of spawner abundance and recruitment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 for 19 relatively data-rich CUs</w:t>
      </w:r>
      <w:r w:rsidR="00961DFC">
        <w:t xml:space="preserve"> </w:t>
      </w:r>
      <w:r w:rsidR="00392E97">
        <w:t>(</w:t>
      </w:r>
      <w:r w:rsidR="00961DFC">
        <w:t>Grant et al. 2011). Depending on</w:t>
      </w:r>
      <w:r>
        <w:t xml:space="preserve"> the CU, these time series bega</w:t>
      </w:r>
      <w:r w:rsidR="00961DFC">
        <w:t xml:space="preserve">n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ED5A49">
      <w:pPr>
        <w:tabs>
          <w:tab w:val="left" w:pos="709"/>
        </w:tabs>
        <w:rPr>
          <w:i/>
        </w:rPr>
      </w:pPr>
      <w:r>
        <w:rPr>
          <w:i/>
        </w:rPr>
        <w:t>Synchrony metrics</w:t>
      </w:r>
    </w:p>
    <w:p w14:paraId="3DBCF2F6" w14:textId="77777777"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variance of an aggregate’s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58421388"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 xml:space="preserve">making up an aggregate. Thus the simplified numerator represents the variance of the total abundance of the aggregate consisting of </w:t>
      </w:r>
      <w:r>
        <w:rPr>
          <w:i/>
        </w:rPr>
        <w:t>n</w:t>
      </w:r>
      <w:r>
        <w:t xml:space="preserve"> </w:t>
      </w:r>
      <w:r>
        <w:lastRenderedPageBreak/>
        <w:t>populations. The denominator is the variance of a hypothetical population aggregate with the same population-level variances, but perfectly synchronized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38F651F4"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71288C75" w:rsidR="004E2EDE" w:rsidRDefault="00A16FF3" w:rsidP="00A91A4F">
      <w:proofErr w:type="gramStart"/>
      <w:r>
        <w:t>w</w:t>
      </w:r>
      <w:r w:rsidR="00BC14E9">
        <w:t>here</w:t>
      </w:r>
      <w:proofErr w:type="gramEnd"/>
      <w:r w:rsidR="00BC14E9">
        <w:t xml:space="preserv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proofErr w:type="spellStart"/>
      <w:r w:rsidR="00BC14E9">
        <w:rPr>
          <w:i/>
        </w:rPr>
        <w:t>R</w:t>
      </w:r>
      <w:proofErr w:type="spellEnd"/>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4E2EDE">
        <w:t>To incorporate normally distributed</w:t>
      </w:r>
      <w:r w:rsidR="00EB655E">
        <w:t xml:space="preserve"> </w:t>
      </w:r>
      <w:r w:rsidR="004E2EDE">
        <w:t xml:space="preserve">process </w:t>
      </w:r>
      <w:proofErr w:type="gramStart"/>
      <w:r w:rsidR="004E2EDE">
        <w:t>error</w:t>
      </w:r>
      <w:r w:rsidR="00EB655E">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E2EDE">
        <w:t>, we linearized Equation 4:</w:t>
      </w:r>
    </w:p>
    <w:p w14:paraId="6D175EBC" w14:textId="544846FF" w:rsidR="00D136FD" w:rsidRDefault="004E2EDE" w:rsidP="00D136FD">
      <w:pPr>
        <w:rPr>
          <w:rFonts w:eastAsiaTheme="minorEastAsia"/>
        </w:rPr>
      </w:pPr>
      <w:r>
        <w:t>Equation 5</w:t>
      </w:r>
      <w:r>
        <w:tab/>
      </w:r>
      <w:r w:rsidR="00D136FD">
        <w:rPr>
          <w:rFonts w:eastAsiaTheme="minorEastAsia"/>
        </w:rPr>
        <w:tab/>
      </w:r>
      <w:r w:rsidR="00D136FD">
        <w:rPr>
          <w:rFonts w:eastAsiaTheme="minorEastAsia"/>
        </w:rPr>
        <w:tab/>
      </w:r>
      <m:oMath>
        <m:sSub>
          <m:sSubPr>
            <m:ctrlPr>
              <w:rPr>
                <w:rFonts w:ascii="Cambria Math" w:hAnsi="Cambria Math"/>
                <w:i/>
              </w:rPr>
            </m:ctrlPr>
          </m:sSubPr>
          <m:e>
            <m:r>
              <m:rPr>
                <m:sty m:val="p"/>
              </m:rPr>
              <w:rPr>
                <w:rFonts w:ascii="Cambria Math" w:hAnsi="Cambria Math"/>
              </w:rPr>
              <m:t>log⁡</m:t>
            </m:r>
            <m:r>
              <w:rPr>
                <w:rFonts w:ascii="Cambria Math" w:hAnsi="Cambria Math"/>
              </w:rPr>
              <m:t>R</m:t>
            </m:r>
          </m:e>
          <m:sub>
            <m:r>
              <w:rPr>
                <w:rFonts w:ascii="Cambria Math" w:hAnsi="Cambria Math"/>
              </w:rPr>
              <m:t>i,y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i,y</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p>
    <w:p w14:paraId="34887F4F" w14:textId="31D38F96" w:rsidR="005D6C13" w:rsidRPr="00B40124" w:rsidRDefault="00C93206" w:rsidP="005D6C1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3CB63127" w14:textId="77777777" w:rsidR="005D6C13" w:rsidRDefault="005D6C13" w:rsidP="005D6C13">
      <w:pPr>
        <w:jc w:val="center"/>
        <w:rPr>
          <w:rFonts w:eastAsiaTheme="minorEastAsia"/>
        </w:rPr>
      </w:pPr>
    </w:p>
    <w:p w14:paraId="78C68F26" w14:textId="0282AAD0"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w:t>
      </w:r>
      <w:r w:rsidR="00B42D41">
        <w:lastRenderedPageBreak/>
        <w:t>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rather than spawner abundance alone,</w:t>
      </w:r>
      <w:r w:rsidR="002A7562">
        <w:t xml:space="preserve"> because this metric accounts for density dependent processes</w:t>
      </w:r>
      <w:r>
        <w:t xml:space="preserve"> and </w:t>
      </w:r>
      <w:proofErr w:type="spellStart"/>
      <w:r>
        <w:t>cyclicity</w:t>
      </w:r>
      <w:proofErr w:type="spellEnd"/>
      <w:r w:rsidR="002A7562">
        <w:t xml:space="preserve">, as well as changes in </w:t>
      </w:r>
      <w:proofErr w:type="spellStart"/>
      <w:r w:rsidR="002A7562">
        <w:t>en</w:t>
      </w:r>
      <w:proofErr w:type="spellEnd"/>
      <w:r w:rsidR="002A7562">
        <w:t xml:space="preserve">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2C77A1F0" w14:textId="77777777" w:rsidR="00A91A4F" w:rsidRDefault="00A91A4F" w:rsidP="00A91A4F">
      <w:pPr>
        <w:rPr>
          <w:i/>
        </w:rPr>
      </w:pPr>
      <w:r>
        <w:rPr>
          <w:i/>
        </w:rPr>
        <w:t>Forward simulation</w:t>
      </w:r>
    </w:p>
    <w:p w14:paraId="04FE67ED" w14:textId="4D7C3B30" w:rsidR="00B40124" w:rsidRDefault="00B42D41" w:rsidP="00463DBD">
      <w:pPr>
        <w:tabs>
          <w:tab w:val="left" w:pos="284"/>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w:t>
      </w:r>
      <w:r w:rsidR="000715F4">
        <w:t xml:space="preserve"> incorporating process</w:t>
      </w:r>
      <w:r>
        <w:t xml:space="preserve"> and management implementation uncertainty. </w:t>
      </w:r>
      <w:r w:rsidR="00C36435">
        <w:t>The</w:t>
      </w:r>
      <w:r>
        <w:t xml:space="preserve"> dynamics</w:t>
      </w:r>
      <w:r w:rsidR="00C36435">
        <w:t xml:space="preserve"> of salmon CUs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w:t>
      </w:r>
      <w:proofErr w:type="gramStart"/>
      <w:r w:rsidR="00B40124">
        <w:t xml:space="preserve">of </w:t>
      </w:r>
      <w:proofErr w:type="gramEnd"/>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51A9A698" w:rsidR="00B40124" w:rsidRPr="00B40124" w:rsidRDefault="00C93206"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s</m:t>
          </m:r>
          <w:bookmarkStart w:id="1" w:name="_GoBack"/>
          <w:bookmarkEnd w:id="1"/>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111C0A5D" w:rsidR="004F6C38" w:rsidRDefault="00C93206"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ctrlPr>
                <w:rPr>
                  <w:rFonts w:ascii="Cambria Math" w:eastAsiaTheme="minorEastAsia" w:hAnsi="Cambria Math"/>
                  <w:i/>
                </w:rPr>
              </m:ctrlPr>
            </m:e>
          </m:d>
        </m:oMath>
      </m:oMathPara>
    </w:p>
    <w:p w14:paraId="52FA9412" w14:textId="51B4E343" w:rsidR="004F6C38" w:rsidRPr="004F6C38" w:rsidRDefault="00C93206" w:rsidP="004F6C38">
      <w:pPr>
        <w:jc w:val="center"/>
        <w:rPr>
          <w:rFonts w:eastAsiaTheme="minorEastAsia"/>
        </w:rPr>
      </w:pPr>
      <m:oMathPara>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mr>
              </m:m>
            </m:e>
          </m:d>
        </m:oMath>
      </m:oMathPara>
    </w:p>
    <w:p w14:paraId="63BBDC2D" w14:textId="66305885" w:rsidR="004F6C38" w:rsidRPr="00901BDD"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oMath>
      <w:r>
        <w:rPr>
          <w:rFonts w:eastAsiaTheme="minorEastAsia"/>
        </w:rPr>
        <w:t xml:space="preserve"> </w:t>
      </w:r>
      <w:r w:rsidR="00901BDD">
        <w:rPr>
          <w:rFonts w:eastAsiaTheme="minorEastAsia"/>
        </w:rPr>
        <w:t xml:space="preserve">between CUs </w:t>
      </w:r>
      <w:proofErr w:type="spellStart"/>
      <w:r w:rsidR="00901BDD">
        <w:rPr>
          <w:rFonts w:eastAsiaTheme="minorEastAsia"/>
          <w:i/>
        </w:rPr>
        <w:t>i</w:t>
      </w:r>
      <w:proofErr w:type="spellEnd"/>
      <w:r w:rsidR="00901BDD">
        <w:rPr>
          <w:rFonts w:eastAsiaTheme="minorEastAsia"/>
        </w:rPr>
        <w:t xml:space="preserve"> </w:t>
      </w:r>
      <w:r w:rsidR="000715F4">
        <w:rPr>
          <w:rFonts w:eastAsiaTheme="minorEastAsia"/>
        </w:rPr>
        <w:t>through</w:t>
      </w:r>
      <w:r w:rsidR="00901BDD">
        <w:rPr>
          <w:rFonts w:eastAsiaTheme="minorEastAsia"/>
        </w:rPr>
        <w:t xml:space="preserve"> </w:t>
      </w:r>
      <w:r w:rsidR="00901BDD">
        <w:rPr>
          <w:rFonts w:eastAsiaTheme="minorEastAsia"/>
          <w:i/>
        </w:rPr>
        <w:t>j</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p>
    <w:p w14:paraId="3B2FF82F" w14:textId="78EFD9E0" w:rsidR="001E3FCB" w:rsidRDefault="005A0A00" w:rsidP="002800A9">
      <w:pPr>
        <w:ind w:firstLine="720"/>
      </w:pPr>
      <w:r>
        <w:t>To adequately represent the framework used to manage Fraser River sockeye salmon w</w:t>
      </w:r>
      <w:commentRangeStart w:id="2"/>
      <w:r w:rsidR="0045142B">
        <w:t>e modeled four sequential sources of mortality</w:t>
      </w:r>
      <w:commentRangeEnd w:id="2"/>
      <w:r w:rsidR="0045142B">
        <w:rPr>
          <w:rStyle w:val="CommentReference"/>
        </w:rPr>
        <w:commentReference w:id="2"/>
      </w:r>
      <w:r w:rsidR="00FE3E50">
        <w:t xml:space="preserve">: </w:t>
      </w:r>
      <w:r w:rsidR="0045142B">
        <w:t xml:space="preserve">American fisheries, Canadian mixed-stock fisheries, </w:t>
      </w:r>
      <w:proofErr w:type="spellStart"/>
      <w:r w:rsidR="0045142B">
        <w:t>en</w:t>
      </w:r>
      <w:proofErr w:type="spellEnd"/>
      <w:r w:rsidR="0045142B">
        <w:t xml:space="preserve">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among years due to the cycles present in several CUs</w:t>
      </w:r>
      <w:r w:rsidR="002800A9">
        <w:t xml:space="preserve"> and</w:t>
      </w:r>
      <w:r>
        <w:t xml:space="preserve"> are typically adjusted downwards to account for mortality during upstream migration.</w:t>
      </w:r>
      <w:r w:rsidR="00192B01">
        <w:t xml:space="preserve"> </w:t>
      </w:r>
      <w:commentRangeStart w:id="3"/>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3"/>
      <w:r w:rsidR="002800A9">
        <w:rPr>
          <w:rStyle w:val="CommentReference"/>
        </w:rPr>
        <w:commentReference w:id="3"/>
      </w:r>
    </w:p>
    <w:p w14:paraId="4FE1128E" w14:textId="77777777" w:rsidR="002800A9" w:rsidRPr="00BF0BBF" w:rsidRDefault="002800A9" w:rsidP="002800A9">
      <w:pPr>
        <w:ind w:firstLine="720"/>
      </w:pPr>
    </w:p>
    <w:p w14:paraId="713E5E3C" w14:textId="00B22906" w:rsidR="00422BF4" w:rsidRPr="00422BF4" w:rsidRDefault="00422BF4" w:rsidP="00D40465">
      <w:pPr>
        <w:rPr>
          <w:i/>
        </w:rPr>
      </w:pPr>
      <w:r>
        <w:rPr>
          <w:i/>
        </w:rPr>
        <w:t>Sources of uncertainty</w:t>
      </w:r>
    </w:p>
    <w:p w14:paraId="0139705A" w14:textId="1DAF0D9A" w:rsidR="00422BF4" w:rsidRDefault="00C36435" w:rsidP="007C1550">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C26602">
        <w:t xml:space="preserve"> via changes in </w:t>
      </w:r>
      <m:oMath>
        <m:r>
          <w:rPr>
            <w:rFonts w:ascii="Cambria Math" w:hAnsi="Cambria Math"/>
          </w:rPr>
          <m:t>σ</m:t>
        </m:r>
      </m:oMath>
      <w:r w:rsidR="00C26602">
        <w:t xml:space="preserve"> or </w:t>
      </w:r>
      <m:oMath>
        <m:r>
          <w:rPr>
            <w:rFonts w:ascii="Cambria Math" w:hAnsi="Cambria Math"/>
          </w:rPr>
          <m:t>ρ</m:t>
        </m:r>
      </m:oMath>
      <w:r w:rsidR="007C1550">
        <w:rPr>
          <w:rFonts w:eastAsiaTheme="minorEastAsia"/>
        </w:rPr>
        <w:t xml:space="preserve">, resulting in nine operating models defined by unique variance-covariance matrices </w:t>
      </w:r>
      <m:oMath>
        <m:r>
          <m:rPr>
            <m:sty m:val="p"/>
          </m:rPr>
          <w:rPr>
            <w:rFonts w:ascii="Cambria Math" w:hAnsi="Cambria Math" w:cs="Arial"/>
            <w:color w:val="222222"/>
            <w:shd w:val="clear" w:color="auto" w:fill="FFFFFF"/>
          </w:rPr>
          <m:t>Σ</m:t>
        </m:r>
      </m:oMath>
      <w:r w:rsidR="007C1550">
        <w:rPr>
          <w:rFonts w:eastAsiaTheme="minorEastAsia"/>
          <w:bCs/>
          <w:color w:val="222222"/>
          <w:shd w:val="clear" w:color="auto" w:fill="FFFFFF"/>
        </w:rPr>
        <w:t xml:space="preserve"> (Table 1)</w:t>
      </w:r>
      <w:r w:rsidR="007C1550">
        <w:rPr>
          <w:rFonts w:eastAsiaTheme="minorEastAsia"/>
        </w:rPr>
        <w:t xml:space="preserve">. Each operating model represents a unique component variability and synchrony “treatment”. </w:t>
      </w:r>
      <w:r w:rsidR="00422BF4">
        <w:t xml:space="preserve">We introduced additional stochasticity into the model via </w:t>
      </w:r>
      <w:proofErr w:type="spellStart"/>
      <w:r w:rsidR="00155B1C">
        <w:t>interannual</w:t>
      </w:r>
      <w:proofErr w:type="spellEnd"/>
      <w:r w:rsidR="00155B1C">
        <w:t xml:space="preserve"> </w:t>
      </w:r>
      <w:r w:rsidR="00422BF4">
        <w:t xml:space="preserve">variation in age at maturity (lognormal), </w:t>
      </w:r>
      <w:r w:rsidR="007C1550">
        <w:t>in-season abundance error</w:t>
      </w:r>
      <w:r w:rsidR="00422BF4">
        <w:t xml:space="preserve">, </w:t>
      </w:r>
      <w:proofErr w:type="spellStart"/>
      <w:r w:rsidR="00F07D48">
        <w:t>en</w:t>
      </w:r>
      <w:proofErr w:type="spellEnd"/>
      <w:r w:rsidR="00F07D48">
        <w:t xml:space="preserve"> route mortality, </w:t>
      </w:r>
      <w:r w:rsidR="00422BF4">
        <w:t>and outcome uncertainty (</w:t>
      </w:r>
      <w:r w:rsidR="00BF0BBF">
        <w:t>Table 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6C0A86CB" w14:textId="77777777" w:rsidR="002800A9" w:rsidRDefault="002800A9" w:rsidP="00D40465"/>
    <w:p w14:paraId="10B8BFCB" w14:textId="1AA29256" w:rsidR="00422BF4" w:rsidRDefault="00422BF4" w:rsidP="00D40465">
      <w:pPr>
        <w:rPr>
          <w:i/>
        </w:rPr>
      </w:pPr>
      <w:r>
        <w:rPr>
          <w:i/>
        </w:rPr>
        <w:t>Evaluating model performance</w:t>
      </w:r>
    </w:p>
    <w:p w14:paraId="73276F1E" w14:textId="7979D822"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altered the likelihood of achieving different management objectives. </w:t>
      </w:r>
      <w:r w:rsidR="00114E9C">
        <w:rPr>
          <w:rFonts w:ascii="Calibri" w:hAnsi="Calibri"/>
        </w:rPr>
        <w:t xml:space="preserve">Two PMs are driven solely by abundance. </w:t>
      </w:r>
      <w:r w:rsidR="00F07D48">
        <w:rPr>
          <w:rFonts w:ascii="Calibri" w:hAnsi="Calibri"/>
        </w:rPr>
        <w:t>Me</w:t>
      </w:r>
      <w:r w:rsidR="001A61A9">
        <w:rPr>
          <w:rFonts w:ascii="Calibri" w:hAnsi="Calibri"/>
        </w:rPr>
        <w:t>dian</w:t>
      </w:r>
      <w:r w:rsidR="00F07D48">
        <w:rPr>
          <w:rFonts w:ascii="Calibri" w:hAnsi="Calibri"/>
        </w:rPr>
        <w:t xml:space="preserve">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w:t>
      </w:r>
      <w:r w:rsidR="00114E9C">
        <w:rPr>
          <w:rFonts w:ascii="Calibri" w:hAnsi="Calibri"/>
        </w:rPr>
        <w:t>The second abundance PM, median</w:t>
      </w:r>
      <w:r w:rsidR="00F07D48">
        <w:rPr>
          <w:rFonts w:ascii="Calibri" w:hAnsi="Calibri"/>
        </w:rPr>
        <w:t xml:space="preserve"> catch</w:t>
      </w:r>
      <w:r w:rsidR="00114E9C">
        <w:rPr>
          <w:rFonts w:ascii="Calibri" w:hAnsi="Calibri"/>
        </w:rPr>
        <w:t>,</w:t>
      </w:r>
      <w:r w:rsidR="00F07D48">
        <w:rPr>
          <w:rFonts w:ascii="Calibri" w:hAnsi="Calibri"/>
        </w:rPr>
        <w:t xml:space="preserve"> represents the number of individuals captured in the mixed stock fishery. As a result, </w:t>
      </w:r>
      <w:r w:rsidR="00114E9C">
        <w:rPr>
          <w:rFonts w:ascii="Calibri" w:hAnsi="Calibri"/>
        </w:rPr>
        <w:t>median</w:t>
      </w:r>
      <w:r w:rsidR="00AF0717">
        <w:rPr>
          <w:rFonts w:ascii="Calibri" w:hAnsi="Calibri"/>
        </w:rPr>
        <w:t xml:space="preserve"> catch</w:t>
      </w:r>
      <w:r w:rsidR="00F07D48">
        <w:rPr>
          <w:rFonts w:ascii="Calibri" w:hAnsi="Calibri"/>
        </w:rPr>
        <w:t xml:space="preserve"> integrates the effects of additional uncertainty (e.g. forecast, implementation)</w:t>
      </w:r>
      <w:r w:rsidR="00AF0717">
        <w:rPr>
          <w:rFonts w:ascii="Calibri" w:hAnsi="Calibri"/>
        </w:rPr>
        <w:t xml:space="preserve"> relative to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0891A476" w14:textId="77777777" w:rsidR="002800A9" w:rsidRDefault="002800A9" w:rsidP="00D40465">
      <w:pPr>
        <w:rPr>
          <w:rFonts w:ascii="Calibri" w:hAnsi="Calibri"/>
        </w:rPr>
      </w:pPr>
    </w:p>
    <w:p w14:paraId="138226A1" w14:textId="77777777" w:rsidR="002800A9" w:rsidRDefault="002800A9" w:rsidP="002800A9">
      <w:r>
        <w:t>Biological benchmarks are commonly used to assess population status relative to a desired state (REF). In this study, we calculated benchmarks derived from stock-recruit relationships and referenced in Canada’s Wild Salmon Policy (REF). The upper benchmark is the estimated spawner abundance necessary to achieve maximum sustainable yield (</w:t>
      </w:r>
      <w:r>
        <w:rPr>
          <w:i/>
        </w:rPr>
        <w:t>S</w:t>
      </w:r>
      <w:r>
        <w:rPr>
          <w:vertAlign w:val="subscript"/>
        </w:rPr>
        <w:t>MSY</w:t>
      </w:r>
      <w:r>
        <w:t xml:space="preserve">), estimated using the Lambert W function following </w:t>
      </w:r>
      <w:proofErr w:type="spellStart"/>
      <w:r>
        <w:t>Scheuerell</w:t>
      </w:r>
      <w:proofErr w:type="spellEnd"/>
      <w:r>
        <w:t xml:space="preserve"> (2016) </w:t>
      </w:r>
    </w:p>
    <w:p w14:paraId="031099E0" w14:textId="77777777" w:rsidR="002800A9" w:rsidRDefault="002800A9" w:rsidP="002800A9">
      <w:r>
        <w:t>Equation 8</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2EEBE05F" w14:textId="77777777" w:rsidR="002800A9" w:rsidRDefault="002800A9" w:rsidP="002800A9">
      <w:pPr>
        <w:ind w:firstLine="720"/>
      </w:pPr>
      <w:r>
        <w:lastRenderedPageBreak/>
        <w:t xml:space="preserve">The lower benchmark is the estimated spawner abundance necessary to recover to </w:t>
      </w:r>
      <w:r>
        <w:rPr>
          <w:i/>
        </w:rPr>
        <w:t>S</w:t>
      </w:r>
      <w:r>
        <w:rPr>
          <w:vertAlign w:val="subscript"/>
        </w:rPr>
        <w:t xml:space="preserve">MSY </w:t>
      </w:r>
      <w:r>
        <w:t>in one generation in the absence of fishing mortality (</w:t>
      </w:r>
      <w:proofErr w:type="spellStart"/>
      <w:r>
        <w:rPr>
          <w:i/>
        </w:rPr>
        <w:t>S</w:t>
      </w:r>
      <w:r w:rsidRPr="00741E3C">
        <w:rPr>
          <w:vertAlign w:val="subscript"/>
        </w:rPr>
        <w:t>gen</w:t>
      </w:r>
      <w:proofErr w:type="spellEnd"/>
      <w:r>
        <w:t xml:space="preserve">), which was solved numerically according to the following equation (Holt et al. 2009) </w:t>
      </w:r>
      <w:r>
        <w:tab/>
      </w:r>
      <w:r>
        <w:tab/>
      </w:r>
      <w:r>
        <w:tab/>
      </w:r>
    </w:p>
    <w:p w14:paraId="2A0B669F" w14:textId="77777777" w:rsidR="002800A9" w:rsidRDefault="002800A9" w:rsidP="002800A9">
      <w:r>
        <w:t>Equation 9</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14:paraId="126C9E88" w14:textId="77777777" w:rsidR="002800A9" w:rsidRPr="00BF0BBF" w:rsidRDefault="002800A9" w:rsidP="002800A9">
      <w:r>
        <w:t>S</w:t>
      </w:r>
      <w:r>
        <w:rPr>
          <w:vertAlign w:val="subscript"/>
        </w:rPr>
        <w:t>MSY</w:t>
      </w:r>
      <w:r>
        <w:t xml:space="preserve"> is intended to represent an abundance at which a CU can sustain harvest and provide its full suite of ecosystem services indefinitely. </w:t>
      </w:r>
      <w:proofErr w:type="spellStart"/>
      <w:r>
        <w:t>S</w:t>
      </w:r>
      <w:r>
        <w:rPr>
          <w:vertAlign w:val="subscript"/>
        </w:rPr>
        <w:t>gen</w:t>
      </w:r>
      <w:proofErr w:type="spellEnd"/>
      <w:r>
        <w:t xml:space="preserve"> is intended to be precautionary lower benchmark. Therefore, it represents an abundance at which a CU is at increased risk of extirpation, particularly if additional mortality is introduced by harvest; however </w:t>
      </w:r>
      <w:proofErr w:type="spellStart"/>
      <w:r>
        <w:t>S</w:t>
      </w:r>
      <w:r>
        <w:rPr>
          <w:vertAlign w:val="subscript"/>
        </w:rPr>
        <w:t>gen</w:t>
      </w:r>
      <w:proofErr w:type="spellEnd"/>
      <w:r>
        <w:t xml:space="preserve"> is greater than the abundance that would trigger protection under at-risk species legislation. Within the Wild Salmon Policy framework, CUs with </w:t>
      </w:r>
      <w:proofErr w:type="gramStart"/>
      <w:r>
        <w:t>an abundance</w:t>
      </w:r>
      <w:proofErr w:type="gramEnd"/>
      <w:r>
        <w:t xml:space="preserve"> greater than S</w:t>
      </w:r>
      <w:r>
        <w:rPr>
          <w:vertAlign w:val="subscript"/>
        </w:rPr>
        <w:t>MSY</w:t>
      </w:r>
      <w:r>
        <w:t xml:space="preserve"> are considered green status, those with abundances below S</w:t>
      </w:r>
      <w:r>
        <w:rPr>
          <w:vertAlign w:val="subscript"/>
        </w:rPr>
        <w:t xml:space="preserve">MSY </w:t>
      </w:r>
      <w:r>
        <w:t xml:space="preserve">and above </w:t>
      </w:r>
      <w:proofErr w:type="spellStart"/>
      <w:r>
        <w:t>S</w:t>
      </w:r>
      <w:r>
        <w:rPr>
          <w:vertAlign w:val="subscript"/>
        </w:rPr>
        <w:t>gen</w:t>
      </w:r>
      <w:proofErr w:type="spellEnd"/>
      <w:r>
        <w:t xml:space="preserve"> are amber, and those below </w:t>
      </w:r>
      <w:proofErr w:type="spellStart"/>
      <w:r>
        <w:t>S</w:t>
      </w:r>
      <w:r>
        <w:rPr>
          <w:vertAlign w:val="subscript"/>
        </w:rPr>
        <w:t>gen</w:t>
      </w:r>
      <w:proofErr w:type="spellEnd"/>
      <w:r>
        <w:t xml:space="preserve"> are red.</w:t>
      </w:r>
    </w:p>
    <w:p w14:paraId="565EF24C" w14:textId="77777777" w:rsidR="002800A9" w:rsidRDefault="002800A9" w:rsidP="00D40465">
      <w:pPr>
        <w:rPr>
          <w:rFonts w:ascii="Calibri" w:hAnsi="Calibri"/>
        </w:rPr>
      </w:pP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w:t>
      </w:r>
      <w:r w:rsidR="001D4E33">
        <w:rPr>
          <w:rFonts w:ascii="Calibri" w:hAnsi="Calibri"/>
        </w:rPr>
        <w:t>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7-30T09:28:00Z" w:initials="D">
    <w:p w14:paraId="0A0B01FF" w14:textId="4F81549E" w:rsidR="006C114F" w:rsidRDefault="006C114F">
      <w:pPr>
        <w:pStyle w:val="CommentText"/>
      </w:pPr>
      <w:r>
        <w:rPr>
          <w:rStyle w:val="CommentReference"/>
        </w:rPr>
        <w:annotationRef/>
      </w:r>
      <w:r>
        <w:t>Is this paragraph out of place?</w:t>
      </w:r>
    </w:p>
  </w:comment>
  <w:comment w:id="2" w:author="DFO-MPO" w:date="2018-08-07T12:07:00Z" w:initials="D">
    <w:p w14:paraId="2ECF67AD" w14:textId="77777777" w:rsidR="0045142B" w:rsidRDefault="0045142B" w:rsidP="0045142B">
      <w:pPr>
        <w:pStyle w:val="CommentText"/>
      </w:pPr>
      <w:r>
        <w:rPr>
          <w:rStyle w:val="CommentReference"/>
        </w:rPr>
        <w:annotationRef/>
      </w:r>
      <w:r>
        <w:t xml:space="preserve">I’ve left the distinct sources of mortality in because they’re cooked into the model by default and, in the case of </w:t>
      </w:r>
      <w:proofErr w:type="spellStart"/>
      <w:r>
        <w:t>en</w:t>
      </w:r>
      <w:proofErr w:type="spellEnd"/>
      <w:r>
        <w:t>-route mortality, because they interact with the TAM rule. However does this lead to unnecessary complexity?</w:t>
      </w:r>
    </w:p>
  </w:comment>
  <w:comment w:id="3" w:author="DFO-MPO" w:date="2018-08-08T14:32:00Z" w:initials="D">
    <w:p w14:paraId="007F8DDE" w14:textId="11155BD1" w:rsidR="002800A9" w:rsidRDefault="002800A9">
      <w:pPr>
        <w:pStyle w:val="CommentText"/>
      </w:pPr>
      <w:r>
        <w:rPr>
          <w:rStyle w:val="CommentReference"/>
        </w:rPr>
        <w:annotationRef/>
      </w:r>
      <w:r>
        <w:t>Is this sufficient detail for the main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0323C"/>
    <w:rsid w:val="000130FD"/>
    <w:rsid w:val="00022839"/>
    <w:rsid w:val="00041C3D"/>
    <w:rsid w:val="00064853"/>
    <w:rsid w:val="000715F4"/>
    <w:rsid w:val="00076F0E"/>
    <w:rsid w:val="000835A0"/>
    <w:rsid w:val="000873ED"/>
    <w:rsid w:val="000C23EB"/>
    <w:rsid w:val="000E1287"/>
    <w:rsid w:val="00107E59"/>
    <w:rsid w:val="00114E9C"/>
    <w:rsid w:val="001463EA"/>
    <w:rsid w:val="00155B1C"/>
    <w:rsid w:val="00161092"/>
    <w:rsid w:val="00162C8A"/>
    <w:rsid w:val="00192B01"/>
    <w:rsid w:val="00196031"/>
    <w:rsid w:val="001A61A9"/>
    <w:rsid w:val="001D4E33"/>
    <w:rsid w:val="001E3FCB"/>
    <w:rsid w:val="001F4BE2"/>
    <w:rsid w:val="00207CE4"/>
    <w:rsid w:val="002317A6"/>
    <w:rsid w:val="002343E7"/>
    <w:rsid w:val="002632D7"/>
    <w:rsid w:val="00273B50"/>
    <w:rsid w:val="00274866"/>
    <w:rsid w:val="002800A9"/>
    <w:rsid w:val="00294313"/>
    <w:rsid w:val="002A7562"/>
    <w:rsid w:val="002B2200"/>
    <w:rsid w:val="002B2D86"/>
    <w:rsid w:val="002E258D"/>
    <w:rsid w:val="002E5DFE"/>
    <w:rsid w:val="002F10BF"/>
    <w:rsid w:val="0032697E"/>
    <w:rsid w:val="003507A2"/>
    <w:rsid w:val="003655FD"/>
    <w:rsid w:val="00370CB7"/>
    <w:rsid w:val="00392E97"/>
    <w:rsid w:val="003B1DEE"/>
    <w:rsid w:val="003B7E04"/>
    <w:rsid w:val="003C1DAB"/>
    <w:rsid w:val="003E748B"/>
    <w:rsid w:val="003F5C0E"/>
    <w:rsid w:val="00422BF4"/>
    <w:rsid w:val="0045142B"/>
    <w:rsid w:val="00463DBD"/>
    <w:rsid w:val="0047719C"/>
    <w:rsid w:val="00484993"/>
    <w:rsid w:val="00485670"/>
    <w:rsid w:val="00486597"/>
    <w:rsid w:val="004A4853"/>
    <w:rsid w:val="004E2EDE"/>
    <w:rsid w:val="004F6C38"/>
    <w:rsid w:val="005027FD"/>
    <w:rsid w:val="00531AE1"/>
    <w:rsid w:val="005326C5"/>
    <w:rsid w:val="005641CB"/>
    <w:rsid w:val="00590F69"/>
    <w:rsid w:val="005A0A00"/>
    <w:rsid w:val="005D28A8"/>
    <w:rsid w:val="005D6C13"/>
    <w:rsid w:val="005D760D"/>
    <w:rsid w:val="005F3EF6"/>
    <w:rsid w:val="006068C0"/>
    <w:rsid w:val="00645D76"/>
    <w:rsid w:val="00697A59"/>
    <w:rsid w:val="006A3951"/>
    <w:rsid w:val="006A4872"/>
    <w:rsid w:val="006C114F"/>
    <w:rsid w:val="0070590B"/>
    <w:rsid w:val="00714028"/>
    <w:rsid w:val="007141E5"/>
    <w:rsid w:val="007350E4"/>
    <w:rsid w:val="00741E3C"/>
    <w:rsid w:val="0079592C"/>
    <w:rsid w:val="007A279A"/>
    <w:rsid w:val="007C1550"/>
    <w:rsid w:val="007D5362"/>
    <w:rsid w:val="008018CA"/>
    <w:rsid w:val="00815021"/>
    <w:rsid w:val="008214FE"/>
    <w:rsid w:val="00837CE3"/>
    <w:rsid w:val="00886C25"/>
    <w:rsid w:val="008B4C24"/>
    <w:rsid w:val="008C1650"/>
    <w:rsid w:val="00901BDD"/>
    <w:rsid w:val="009215C5"/>
    <w:rsid w:val="00937B72"/>
    <w:rsid w:val="00940776"/>
    <w:rsid w:val="00961B8C"/>
    <w:rsid w:val="00961DFC"/>
    <w:rsid w:val="009736AE"/>
    <w:rsid w:val="009801E9"/>
    <w:rsid w:val="00992367"/>
    <w:rsid w:val="00996327"/>
    <w:rsid w:val="009E2CC0"/>
    <w:rsid w:val="00A16FF3"/>
    <w:rsid w:val="00A44098"/>
    <w:rsid w:val="00A80702"/>
    <w:rsid w:val="00A91A4F"/>
    <w:rsid w:val="00A957BB"/>
    <w:rsid w:val="00AE3B72"/>
    <w:rsid w:val="00AF0717"/>
    <w:rsid w:val="00B40124"/>
    <w:rsid w:val="00B42D41"/>
    <w:rsid w:val="00B96B00"/>
    <w:rsid w:val="00BB7A46"/>
    <w:rsid w:val="00BC14E9"/>
    <w:rsid w:val="00BF0BBF"/>
    <w:rsid w:val="00BF12B8"/>
    <w:rsid w:val="00C14A36"/>
    <w:rsid w:val="00C26602"/>
    <w:rsid w:val="00C36435"/>
    <w:rsid w:val="00C72C7A"/>
    <w:rsid w:val="00C93206"/>
    <w:rsid w:val="00D136FD"/>
    <w:rsid w:val="00D2599C"/>
    <w:rsid w:val="00D40465"/>
    <w:rsid w:val="00D413CD"/>
    <w:rsid w:val="00D53F99"/>
    <w:rsid w:val="00D63DB9"/>
    <w:rsid w:val="00D95057"/>
    <w:rsid w:val="00D971BA"/>
    <w:rsid w:val="00DA470D"/>
    <w:rsid w:val="00DC48B1"/>
    <w:rsid w:val="00DE7503"/>
    <w:rsid w:val="00E06BE2"/>
    <w:rsid w:val="00E53403"/>
    <w:rsid w:val="00E63CBB"/>
    <w:rsid w:val="00EB655E"/>
    <w:rsid w:val="00EC016C"/>
    <w:rsid w:val="00ED5A49"/>
    <w:rsid w:val="00ED7E4C"/>
    <w:rsid w:val="00F07D48"/>
    <w:rsid w:val="00F22932"/>
    <w:rsid w:val="00F42DD1"/>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1625</TotalTime>
  <Pages>1</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52</cp:revision>
  <cp:lastPrinted>2018-05-03T17:52:00Z</cp:lastPrinted>
  <dcterms:created xsi:type="dcterms:W3CDTF">2018-04-17T18:31:00Z</dcterms:created>
  <dcterms:modified xsi:type="dcterms:W3CDTF">2018-08-13T23:37:00Z</dcterms:modified>
</cp:coreProperties>
</file>