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44BB4BDD" w:rsidR="005326C5" w:rsidRDefault="008C1650" w:rsidP="00161092">
      <w:pPr>
        <w:ind w:firstLine="720"/>
      </w:pPr>
      <w:r>
        <w:t>In many ecological systems diversity increase</w:t>
      </w:r>
      <w:r w:rsidR="00815021">
        <w:t>s</w:t>
      </w:r>
      <w:r>
        <w:t xml:space="preserve"> the availability and stability of e</w:t>
      </w:r>
      <w:r w:rsidR="00161092">
        <w:t xml:space="preserve">cosystem services. </w:t>
      </w:r>
      <w:r w:rsidR="00815021">
        <w:t>Such d</w:t>
      </w:r>
      <w:r w:rsidR="00161092">
        <w:t xml:space="preserve">iversity-stability relationships typically arise due to the dynamics of </w:t>
      </w:r>
      <w:r w:rsidR="00996327">
        <w:t xml:space="preserve">individual species or populations varying </w:t>
      </w:r>
      <w:r w:rsidR="00815021">
        <w:t xml:space="preserve">asynchronously with one another, resulting in reduced </w:t>
      </w:r>
      <w:r w:rsidR="00161092">
        <w:t xml:space="preserve">temporal variability of </w:t>
      </w:r>
      <w:r w:rsidR="00815021">
        <w:t xml:space="preserve">the </w:t>
      </w:r>
      <w:r w:rsidR="00161092">
        <w:t>aggregate relative to its components.</w:t>
      </w:r>
      <w:r w:rsidR="005326C5">
        <w:t xml:space="preserve"> </w:t>
      </w:r>
      <w:r w:rsidR="00815021">
        <w:t>To maximize stability, resource managers are increasingly focused on monitoring and conserving</w:t>
      </w:r>
      <w:r w:rsidR="005F3EF6">
        <w:t xml:space="preserve"> ecological aggregates, rather than single species or component populations.</w:t>
      </w:r>
      <w:r w:rsidR="005F3EF6" w:rsidRPr="005F3EF6">
        <w:t xml:space="preserve"> </w:t>
      </w:r>
      <w:r w:rsidR="005F3EF6">
        <w:t xml:space="preserve">For example, </w:t>
      </w:r>
      <w:r w:rsidR="00815021">
        <w:t xml:space="preserve">many government agencies tasked with </w:t>
      </w:r>
      <w:r w:rsidR="005F3EF6">
        <w:t>managing multispecies fisheries have transitioned from single-species stock assessments to ecosystem-based approaches that evaluate the status of multiple trophic levels (REF).</w:t>
      </w:r>
    </w:p>
    <w:p w14:paraId="743B5D28" w14:textId="12098BB3" w:rsidR="00996327" w:rsidRDefault="005326C5" w:rsidP="000E1287">
      <w:pPr>
        <w:ind w:firstLine="720"/>
      </w:pPr>
      <w:r>
        <w:t xml:space="preserve"> </w:t>
      </w:r>
      <w:r w:rsidR="00996327">
        <w:t xml:space="preserve">At the coarsest level, </w:t>
      </w:r>
      <w:r w:rsidR="002343E7">
        <w:t>the correlation between diversity and temporal stability</w:t>
      </w:r>
      <w:r w:rsidR="00996327">
        <w:t>, commonly referred to as the portfolio effect, is an artif</w:t>
      </w:r>
      <w:r w:rsidR="00815021">
        <w:t xml:space="preserve">act of statistical averaging, i.e. stability is directly related to the number of components in the system </w:t>
      </w:r>
      <w:r w:rsidR="00996327">
        <w:t>(REF).</w:t>
      </w:r>
      <w:r w:rsidR="00161092">
        <w:t xml:space="preserve"> </w:t>
      </w:r>
      <w:r w:rsidR="00274866">
        <w:t xml:space="preserve">Yet aggregate variability is clearly driven by processes beyond the number of component species or populations. For example, </w:t>
      </w:r>
      <w:r w:rsidR="00996327">
        <w:t>many ecological aggregates exhibit evidence of increase</w:t>
      </w:r>
      <w:r w:rsidR="00274866">
        <w:t xml:space="preserve">d temporal variability </w:t>
      </w:r>
      <w:r w:rsidR="00815021">
        <w:t xml:space="preserve">in recent years </w:t>
      </w:r>
      <w:r w:rsidR="00274866">
        <w:t xml:space="preserve">even though </w:t>
      </w:r>
      <w:r w:rsidR="00815021">
        <w:t>the number of components they contain is unchanged</w:t>
      </w:r>
      <w:r w:rsidR="002343E7">
        <w:t xml:space="preserve">. </w:t>
      </w:r>
      <w:proofErr w:type="gramStart"/>
      <w:r w:rsidR="002343E7">
        <w:t>Example 1.</w:t>
      </w:r>
      <w:proofErr w:type="gramEnd"/>
      <w:r w:rsidR="002343E7">
        <w:t xml:space="preserve"> </w:t>
      </w:r>
      <w:proofErr w:type="gramStart"/>
      <w:r w:rsidR="002343E7">
        <w:t>Example 2.</w:t>
      </w:r>
      <w:proofErr w:type="gramEnd"/>
      <w:r w:rsidR="002343E7">
        <w:t xml:space="preserve"> </w:t>
      </w:r>
      <w:r w:rsidR="00274866">
        <w:t>Such</w:t>
      </w:r>
      <w:r w:rsidR="002343E7">
        <w:t xml:space="preserve"> aggregates, often referred to as “collapsed portfolios”, are </w:t>
      </w:r>
      <w:r w:rsidR="00274866">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w:t>
      </w:r>
      <w:r w:rsidR="005F3EF6">
        <w:t>can be quantified as</w:t>
      </w:r>
      <w:r w:rsidR="000E1287">
        <w:t xml:space="preserve"> a function of the mean variability of each component </w:t>
      </w:r>
      <w:r w:rsidR="005F3EF6">
        <w:t>(weighted by its abundance) and</w:t>
      </w:r>
      <w:r w:rsidR="000E1287">
        <w:t xml:space="preserve"> synchrony</w:t>
      </w:r>
      <w:r w:rsidR="005F3EF6">
        <w:t xml:space="preserve"> among components</w:t>
      </w:r>
      <w:r w:rsidR="000E1287">
        <w:t xml:space="preserve">. These metrics are robust to differences in evenness, diversity, and abundance among communities or </w:t>
      </w:r>
      <w:proofErr w:type="spellStart"/>
      <w:r w:rsidR="000E1287">
        <w:t>metapopulations</w:t>
      </w:r>
      <w:proofErr w:type="spellEnd"/>
      <w:r w:rsidR="000E1287">
        <w:t xml:space="preserve">, </w:t>
      </w:r>
      <w:proofErr w:type="gramStart"/>
      <w:r w:rsidR="000E1287">
        <w:t>allowing</w:t>
      </w:r>
      <w:proofErr w:type="gramEnd"/>
      <w:r w:rsidR="000E1287">
        <w:t xml:space="preserve"> disparate systems</w:t>
      </w:r>
      <w:r w:rsidR="005F3EF6">
        <w:t xml:space="preserve"> to be directly compared</w:t>
      </w:r>
      <w:r w:rsidR="000E1287">
        <w:t xml:space="preserve">. </w:t>
      </w:r>
      <w:r w:rsidR="00815021">
        <w:t>Although component variability and synchrony can have complex knock-on effects on population dynamics</w:t>
      </w:r>
      <w:r w:rsidR="002E258D">
        <w:t xml:space="preserve"> (REF)</w:t>
      </w:r>
      <w:r w:rsidR="00815021">
        <w:t xml:space="preserve">, </w:t>
      </w:r>
      <w:r w:rsidR="002E258D">
        <w:t>analyses that simultaneously evaluate both metrics in ecological aggregates are relatively rare.</w:t>
      </w:r>
      <w:r w:rsidR="00815021">
        <w:t xml:space="preserve"> </w:t>
      </w:r>
    </w:p>
    <w:p w14:paraId="2471CF74" w14:textId="2073B38D" w:rsidR="00BF12B8" w:rsidRDefault="002E258D" w:rsidP="00BF12B8">
      <w:pPr>
        <w:ind w:firstLine="720"/>
      </w:pPr>
      <w:r>
        <w:t>We believe that d</w:t>
      </w:r>
      <w:r w:rsidR="00C14A36">
        <w:t>ecomposing aggregate variability into trends in synchrony and component variability</w:t>
      </w:r>
      <w:r w:rsidR="00BF12B8">
        <w:t xml:space="preserve"> can </w:t>
      </w:r>
      <w:r>
        <w:t xml:space="preserve">guide </w:t>
      </w:r>
      <w:r w:rsidR="00BF12B8">
        <w:t xml:space="preserve">conservation </w:t>
      </w:r>
      <w:r>
        <w:t>and</w:t>
      </w:r>
      <w:r w:rsidR="00BF12B8">
        <w:t xml:space="preserve"> management strategies</w:t>
      </w:r>
      <w:r>
        <w:t xml:space="preserve"> in multiple ways</w:t>
      </w:r>
      <w:r w:rsidR="00BF12B8">
        <w:t xml:space="preserve">. </w:t>
      </w:r>
      <w:r>
        <w:t>First, changes in each metric</w:t>
      </w:r>
      <w:r w:rsidR="00BF12B8">
        <w:t xml:space="preserve"> provide </w:t>
      </w:r>
      <w:r>
        <w:t xml:space="preserve">distinct </w:t>
      </w:r>
      <w:r w:rsidR="00BF12B8">
        <w:t xml:space="preserve">information </w:t>
      </w:r>
      <w:r>
        <w:t>about the scale at which</w:t>
      </w:r>
      <w:r w:rsidR="00C14A36">
        <w:t xml:space="preserve"> </w:t>
      </w:r>
      <w:r w:rsidR="00BF12B8">
        <w:t xml:space="preserve">destabilizing </w:t>
      </w:r>
      <w:r w:rsidR="00C14A36">
        <w:t>processes</w:t>
      </w:r>
      <w:r>
        <w:t xml:space="preserve"> have occurred</w:t>
      </w:r>
      <w:r w:rsidR="00C14A36">
        <w:t xml:space="preserve">. </w:t>
      </w:r>
      <w:r w:rsidR="005F3EF6">
        <w:t>If</w:t>
      </w:r>
      <w:r w:rsidR="00C14A36">
        <w:t xml:space="preserve"> the </w:t>
      </w:r>
      <w:r>
        <w:t xml:space="preserve">component </w:t>
      </w:r>
      <w:r w:rsidR="00C14A36">
        <w:t xml:space="preserve">variability has increased, but synchrony has remained relatively stable, then apparent changes in </w:t>
      </w:r>
      <w:proofErr w:type="spellStart"/>
      <w:r w:rsidR="00C14A36">
        <w:t>metapopulation</w:t>
      </w:r>
      <w:proofErr w:type="spellEnd"/>
      <w:r w:rsidR="00C14A36">
        <w:t xml:space="preserve"> dynamics are likely the result of</w:t>
      </w:r>
      <w:r w:rsidR="000E1287">
        <w:t xml:space="preserve"> </w:t>
      </w:r>
      <w:r w:rsidR="00C14A36">
        <w:t>local</w:t>
      </w:r>
      <w:r w:rsidR="005F3EF6">
        <w:t>, perhaps isolated,</w:t>
      </w:r>
      <w:r w:rsidR="00C14A36">
        <w:t xml:space="preserve"> processes.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C14A36">
        <w:t xml:space="preserve">. For example, </w:t>
      </w:r>
      <w:r w:rsidR="00BF12B8">
        <w:t>targeted</w:t>
      </w:r>
      <w:r w:rsidR="00C14A36">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1E3A52D7" w:rsidR="00BF12B8" w:rsidRDefault="00BF12B8" w:rsidP="0032697E">
      <w:pPr>
        <w:ind w:firstLine="720"/>
      </w:pPr>
      <w:r>
        <w:t xml:space="preserve">Second, changes in component variability </w:t>
      </w:r>
      <w:r w:rsidR="002E258D">
        <w:t>as opposed to</w:t>
      </w:r>
      <w:r>
        <w:t xml:space="preserve"> synchrony may </w:t>
      </w:r>
      <w:r w:rsidR="003B7E04">
        <w:t xml:space="preserve">indicate different </w:t>
      </w:r>
      <w:r w:rsidR="002E258D">
        <w:t>categories</w:t>
      </w:r>
      <w:r w:rsidR="003B7E04">
        <w:t xml:space="preserve"> of</w:t>
      </w:r>
      <w:r>
        <w:t xml:space="preserve"> conservation risk.</w:t>
      </w:r>
      <w:r w:rsidR="00370CB7">
        <w:t xml:space="preserve"> Within an individual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 Greater synchrony</w:t>
      </w:r>
      <w:r w:rsidR="00370CB7">
        <w:t>, paired with downward trends in abundance,</w:t>
      </w:r>
      <w:r w:rsidR="002E258D">
        <w:t xml:space="preserve"> </w:t>
      </w:r>
      <w:r w:rsidR="00370CB7">
        <w:t>is often viewed</w:t>
      </w:r>
      <w:r w:rsidR="00DE7503">
        <w:t xml:space="preserve"> as an early warning signal of hysteresis or regime shifts in ecological aggregates</w:t>
      </w:r>
      <w:r w:rsidR="002E258D">
        <w:t xml:space="preserve"> (REF</w:t>
      </w:r>
      <w:r w:rsidR="00370CB7">
        <w:t>)</w:t>
      </w:r>
      <w:r w:rsidR="00DE7503">
        <w:t>.</w:t>
      </w:r>
      <w:r w:rsidR="0032697E">
        <w:t xml:space="preserve"> Evidence suggests that many ecological systems are </w:t>
      </w:r>
      <w:r w:rsidR="00370CB7">
        <w:t>exhibiting both increasingly</w:t>
      </w:r>
      <w:r w:rsidR="0032697E">
        <w:t xml:space="preserve"> variable and synchronized dynamics (REF)</w:t>
      </w:r>
      <w:r w:rsidR="00DE7503">
        <w:t>,</w:t>
      </w:r>
      <w:r w:rsidR="0032697E">
        <w:t xml:space="preserve"> which intuitively should be associated with </w:t>
      </w:r>
      <w:r w:rsidR="00370CB7">
        <w:t>particularly dire</w:t>
      </w:r>
      <w:r w:rsidR="0032697E">
        <w:t xml:space="preserve"> conservation outcomes. </w:t>
      </w:r>
    </w:p>
    <w:p w14:paraId="033E85F8" w14:textId="4CC9EC31" w:rsidR="000835A0" w:rsidRDefault="003B7E04" w:rsidP="006A4872">
      <w:pPr>
        <w:ind w:firstLine="720"/>
      </w:pPr>
      <w:r>
        <w:lastRenderedPageBreak/>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 then use stochastic simulations to evaluate the long-term consequences of these changes to conservation goals.</w:t>
      </w:r>
      <w:r w:rsidR="00D413CD">
        <w:t xml:space="preserve">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2031C88"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 xml:space="preserve">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w:t>
      </w:r>
      <w:r>
        <w:lastRenderedPageBreak/>
        <w:t xml:space="preserve">salmon before they reach Canadian waters. Second, individuals that pass through American and Canadian marine fisheries can experience high rates of </w:t>
      </w:r>
      <w:proofErr w:type="spellStart"/>
      <w:r>
        <w:t>en</w:t>
      </w:r>
      <w:proofErr w:type="spellEnd"/>
      <w:r>
        <w:t xml:space="preserve"> route mortality before reaching their spawning grounds, presumably due to a combination of natural mortality (thermal stress, pathogen infection, </w:t>
      </w:r>
      <w:proofErr w:type="gramStart"/>
      <w:r>
        <w:t>predation</w:t>
      </w:r>
      <w:proofErr w:type="gramEnd"/>
      <w:r>
        <w:t>) and unreported harvest</w:t>
      </w:r>
      <w:r>
        <w:t xml:space="preserve"> (REF)</w:t>
      </w:r>
      <w:r>
        <w:t xml:space="preserve">. </w:t>
      </w:r>
      <w:proofErr w:type="spellStart"/>
      <w:r>
        <w:t>En</w:t>
      </w:r>
      <w:proofErr w:type="spellEnd"/>
      <w:r>
        <w:t xml:space="preserve">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w:t>
      </w:r>
      <w:r>
        <w:t>d therefore more stock-specific.</w:t>
      </w:r>
    </w:p>
    <w:p w14:paraId="6322742C" w14:textId="36253E07" w:rsidR="003B1DEE" w:rsidRDefault="003B1DEE" w:rsidP="00C72C7A">
      <w:pPr>
        <w:ind w:firstLine="720"/>
      </w:pPr>
      <w:commentRangeStart w:id="0"/>
      <w:r>
        <w:t xml:space="preserve">A range </w:t>
      </w:r>
      <w:commentRangeEnd w:id="0"/>
      <w:r w:rsidR="006C114F">
        <w:rPr>
          <w:rStyle w:val="CommentReference"/>
        </w:rPr>
        <w:commentReference w:id="0"/>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on long, evolutionary time scales, from a management perspective dispersal is assumed to be nil, with each CU representing a genetically distinct population assemblage (REF).  In the absence of dispersal, synchrony is linked with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65FADAD3"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61E2507A" w:rsidR="000C23EB" w:rsidRDefault="00697A59" w:rsidP="00FF04FF">
      <w:r>
        <w:t>Equation 1</w:t>
      </w:r>
      <w:r>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w:t>
      </w:r>
      <w:r>
        <w:lastRenderedPageBreak/>
        <w:t>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108AB961" w:rsidR="00ED7E4C" w:rsidRDefault="00BB7A46" w:rsidP="000C23EB">
      <w:r>
        <w:t>Equation</w:t>
      </w:r>
      <w:r w:rsidR="000C23EB">
        <w:t xml:space="preserve"> 2 </w:t>
      </w:r>
      <w:r w:rsidR="00697A59">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31A48B8F" w:rsidR="000C23EB" w:rsidRDefault="00BB7A46" w:rsidP="000C23EB">
      <w:r>
        <w:t>Equation</w:t>
      </w:r>
      <w:r w:rsidR="000C23EB">
        <w:t xml:space="preserve"> 3 </w:t>
      </w:r>
      <w:r w:rsidR="0047719C">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3598F6E" w:rsidR="00BC14E9" w:rsidRDefault="000C23EB" w:rsidP="00A91A4F">
      <w:r>
        <w:tab/>
      </w:r>
      <w:r w:rsidR="00076F0E">
        <w:t>To explore changes in aggregate variability of Fraser River sockeye salmon, w</w:t>
      </w:r>
      <w:r>
        <w:t>e</w:t>
      </w:r>
      <w:r w:rsidR="002A7562">
        <w:t xml:space="preserve"> calculated continuous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 xml:space="preserve">process </w:t>
      </w:r>
      <w:proofErr w:type="gramStart"/>
      <w:r w:rsidR="004E2EDE">
        <w:t>error</w:t>
      </w:r>
      <w:r w:rsidR="00EB655E">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0F361B1D"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w:t>
      </w:r>
      <w:r w:rsidR="002A7562">
        <w:lastRenderedPageBreak/>
        <w:t>dependent processes</w:t>
      </w:r>
      <w:r>
        <w:t xml:space="preserve"> and </w:t>
      </w:r>
      <w:proofErr w:type="spellStart"/>
      <w:r>
        <w:t>cyclicity</w:t>
      </w:r>
      <w:proofErr w:type="spellEnd"/>
      <w:r w:rsidR="002A7562">
        <w:t xml:space="preserve">, as well as changes in </w:t>
      </w:r>
      <w:proofErr w:type="spellStart"/>
      <w:r w:rsidR="002A7562">
        <w:t>en</w:t>
      </w:r>
      <w:proofErr w:type="spellEnd"/>
      <w:r w:rsidR="002A7562">
        <w:t xml:space="preserve">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735644C4" w:rsidR="00B42D41" w:rsidRPr="00B42D41" w:rsidRDefault="00B42D41" w:rsidP="00A91A4F">
      <w:commentRangeStart w:id="1"/>
      <w:r>
        <w:t xml:space="preserve">We next tested for linear increases </w:t>
      </w:r>
      <w:proofErr w:type="gramStart"/>
      <w:r>
        <w:t xml:space="preserve">in </w:t>
      </w:r>
      <w:proofErr w:type="gramEnd"/>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m:oMath>
        <m:r>
          <w:rPr>
            <w:rFonts w:ascii="Cambria Math" w:hAnsi="Cambria Math"/>
          </w:rPr>
          <m:t>φ</m:t>
        </m:r>
      </m:oMath>
      <w:r>
        <w:rPr>
          <w:rFonts w:ascii="Calibri" w:hAnsi="Calibri"/>
        </w:rPr>
        <w:t xml:space="preserve"> or </w:t>
      </w:r>
      <w:r>
        <w:t>CV</w:t>
      </w:r>
      <w:r>
        <w:rPr>
          <w:vertAlign w:val="subscript"/>
        </w:rPr>
        <w:t xml:space="preserve">C </w:t>
      </w:r>
      <w:r>
        <w:t>by comparing correlation coefficients</w:t>
      </w:r>
      <w:commentRangeEnd w:id="1"/>
      <w:r w:rsidR="00370CB7">
        <w:rPr>
          <w:rStyle w:val="CommentReference"/>
        </w:rPr>
        <w:commentReference w:id="1"/>
      </w:r>
      <w:r>
        <w:t>.</w:t>
      </w:r>
    </w:p>
    <w:p w14:paraId="2C77A1F0" w14:textId="77777777" w:rsidR="00A91A4F" w:rsidRDefault="00A91A4F" w:rsidP="00A91A4F">
      <w:pPr>
        <w:rPr>
          <w:i/>
        </w:rPr>
      </w:pPr>
      <w:r>
        <w:rPr>
          <w:i/>
        </w:rPr>
        <w:t>Forward simulation</w:t>
      </w:r>
    </w:p>
    <w:p w14:paraId="04FE67ED" w14:textId="77777777" w:rsidR="00B40124" w:rsidRDefault="00B42D41" w:rsidP="00B40124">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 incorporating process, observation,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B40124">
        <w:t xml:space="preserve"> and </w:t>
      </w:r>
      <m:oMath>
        <m:r>
          <w:rPr>
            <w:rFonts w:ascii="Cambria Math" w:hAnsi="Cambria Math"/>
          </w:rPr>
          <m:t>β</m:t>
        </m:r>
      </m:oMath>
      <w:r w:rsidR="00B40124">
        <w:rPr>
          <w:i/>
        </w:rPr>
        <w:t xml:space="preserve"> </w:t>
      </w:r>
      <w:r w:rsidR="00B40124">
        <w:t>generated from an external, CU-specific Bayesian stock recruit analysis (ref to FRSSI).</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7EC1969C" w:rsidR="00B40124" w:rsidRPr="00B40124" w:rsidRDefault="00B40124" w:rsidP="00B40124">
      <m:oMathPara>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m:t>
              </m:r>
              <m:r>
                <w:rPr>
                  <w:rFonts w:ascii="Cambria Math" w:hAnsi="Cambria Math"/>
                </w:rPr>
                <m:t>-1</m:t>
              </m:r>
            </m:sub>
          </m:sSub>
          <m:r>
            <w:rPr>
              <w:rFonts w:ascii="Cambria Math" w:hAnsi="Cambria Math"/>
            </w:rPr>
            <m:t>τ</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5DCE0794" w:rsidR="004F6C38" w:rsidRDefault="00886C25"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0</m:t>
              </m:r>
              <m:r>
                <m:rPr>
                  <m:sty m:val="p"/>
                </m:rPr>
                <w:rPr>
                  <w:rFonts w:ascii="Cambria Math" w:hAnsi="Cambria Math"/>
                </w:rPr>
                <m:t xml:space="preserve">, </m:t>
              </m:r>
              <m:r>
                <m:rPr>
                  <m:sty m:val="p"/>
                </m:rPr>
                <w:rPr>
                  <w:rFonts w:ascii="Cambria Math" w:hAnsi="Cambria Math"/>
                </w:rPr>
                <m:t>∑</m:t>
              </m:r>
              <m:r>
                <w:rPr>
                  <w:rFonts w:ascii="Cambria Math" w:hAnsi="Cambria Math"/>
                </w:rPr>
                <m:t>i,j</m:t>
              </m:r>
              <m:ctrlPr>
                <w:rPr>
                  <w:rFonts w:ascii="Cambria Math" w:eastAsiaTheme="minorEastAsia" w:hAnsi="Cambria Math"/>
                  <w:i/>
                </w:rPr>
              </m:ctrlPr>
            </m:e>
          </m:d>
        </m:oMath>
      </m:oMathPara>
    </w:p>
    <w:p w14:paraId="52FA9412" w14:textId="2A4B8587" w:rsidR="004F6C38" w:rsidRPr="004F6C38" w:rsidRDefault="004F6C38" w:rsidP="004F6C38">
      <w:pPr>
        <w:jc w:val="center"/>
        <w:rPr>
          <w:rFonts w:eastAsiaTheme="minorEastAsia"/>
        </w:rPr>
      </w:pPr>
      <m:oMathPara>
        <m:oMath>
          <m:r>
            <m:rPr>
              <m:sty m:val="p"/>
            </m:rPr>
            <w:rPr>
              <w:rFonts w:ascii="Cambria Math" w:hAnsi="Cambria Math"/>
            </w:rPr>
            <m:t>∑</m:t>
          </m:r>
          <m:r>
            <w:rPr>
              <w:rFonts w:ascii="Cambria Math" w:hAnsi="Cambria Math"/>
            </w:rPr>
            <m:t>i,j</m:t>
          </m:r>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71939616"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r>
          <m:rPr>
            <m:sty m:val="p"/>
          </m:rPr>
          <w:rPr>
            <w:rFonts w:ascii="Cambria Math" w:hAnsi="Cambria Math"/>
          </w:rPr>
          <m:t>∑</m:t>
        </m:r>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and </w:t>
      </w:r>
      <w:r w:rsidR="00901BDD">
        <w:rPr>
          <w:rFonts w:eastAsiaTheme="minorEastAsia"/>
          <w:i/>
        </w:rPr>
        <w:t>j</w:t>
      </w:r>
      <w:r w:rsidR="00901BDD">
        <w:rPr>
          <w:rFonts w:eastAsiaTheme="minorEastAsia"/>
        </w:rPr>
        <w:t xml:space="preserve">. </w:t>
      </w:r>
      <w:bookmarkStart w:id="2" w:name="_GoBack"/>
      <w:bookmarkEnd w:id="2"/>
    </w:p>
    <w:p w14:paraId="71A9B131" w14:textId="720F5924" w:rsidR="00741E3C" w:rsidRDefault="001E3FCB" w:rsidP="00D40465">
      <w:r>
        <w:t>Each</w:t>
      </w:r>
      <w:r w:rsidR="00C36435">
        <w:t xml:space="preserve"> year</w:t>
      </w:r>
      <w:r w:rsidR="00741E3C">
        <w:t xml:space="preserve"> </w:t>
      </w:r>
      <w:r>
        <w:t>we calculated</w:t>
      </w:r>
      <w:r w:rsidR="00741E3C">
        <w:t xml:space="preserve"> </w:t>
      </w:r>
      <w:r w:rsidR="00D40465">
        <w:t xml:space="preserve">exploitation rates </w:t>
      </w:r>
      <w:r>
        <w:t>using</w:t>
      </w:r>
      <w:r w:rsidR="00D40465">
        <w:t xml:space="preserve"> a harvest control rule (HCR) that replicates the Total Allowable Mortality framework currently used to </w:t>
      </w:r>
      <w:r w:rsidR="00A44098">
        <w:t>manage</w:t>
      </w:r>
      <w:r w:rsidR="00741E3C">
        <w:t xml:space="preserve"> </w:t>
      </w:r>
      <w:r w:rsidR="00D40465">
        <w:t xml:space="preserve">Fraser River sockeye salmon </w:t>
      </w:r>
      <w:r>
        <w:t>fisheries</w:t>
      </w:r>
      <w:r w:rsidR="00EB655E">
        <w:t xml:space="preserve"> (REF)</w:t>
      </w:r>
      <w:r>
        <w:t>. Br</w:t>
      </w:r>
      <w:r w:rsidR="00A44098">
        <w:t>oadly speaking, this HCR</w:t>
      </w:r>
      <w:r>
        <w:t xml:space="preserve"> </w:t>
      </w:r>
      <w:r w:rsidR="00EB655E">
        <w:t xml:space="preserve">uses </w:t>
      </w:r>
      <w:r>
        <w:t>in-</w:t>
      </w:r>
      <w:r w:rsidR="00EB655E">
        <w:t xml:space="preserve">season forecasts of recruitment </w:t>
      </w:r>
      <w:r w:rsidR="00EB655E">
        <w:t xml:space="preserve">to adjust target exploitation rates </w:t>
      </w:r>
      <w:r w:rsidR="00EB655E">
        <w:t>to meet</w:t>
      </w:r>
      <w:r w:rsidR="00A44098">
        <w:t xml:space="preserve"> escapement goals</w:t>
      </w:r>
      <w:r>
        <w:t xml:space="preserve">. </w:t>
      </w:r>
      <w:r w:rsidR="00EB655E">
        <w:t>If</w:t>
      </w:r>
      <w:r>
        <w:t xml:space="preserve"> in-season forecasts of recruitment exceed </w:t>
      </w:r>
      <w:r w:rsidR="00EB655E">
        <w:t>escapement goals</w:t>
      </w:r>
      <w:r>
        <w:t>, the HCR switches to a fixed</w:t>
      </w:r>
      <w:r w:rsidR="00EB655E">
        <w:t xml:space="preserve"> maximum</w:t>
      </w:r>
      <w:r>
        <w:t xml:space="preserve"> target mortality rate. Details of the harvest control rule are </w:t>
      </w:r>
      <w:r w:rsidR="002632D7">
        <w:t>described in Appendix 1</w:t>
      </w:r>
      <w:r>
        <w:t>. Since</w:t>
      </w:r>
      <w:r w:rsidR="002317A6">
        <w:t xml:space="preserve"> </w:t>
      </w:r>
      <w:r>
        <w:t>target exploitation</w:t>
      </w:r>
      <w:r w:rsidR="002317A6">
        <w:t xml:space="preserve"> rates </w:t>
      </w:r>
      <w:r>
        <w:t xml:space="preserve">in mixed stock marine fisheries </w:t>
      </w:r>
      <w:r w:rsidR="002317A6">
        <w:t xml:space="preserve">are </w:t>
      </w:r>
      <w:r>
        <w:t>adjusted based on abundance</w:t>
      </w:r>
      <w:r w:rsidR="002317A6">
        <w:t xml:space="preserve"> </w:t>
      </w:r>
      <w:r>
        <w:t xml:space="preserve">at the </w:t>
      </w:r>
      <w:r w:rsidR="00A44098">
        <w:t>management unit (MU)</w:t>
      </w:r>
      <w:r>
        <w:t xml:space="preserve"> level, we si</w:t>
      </w:r>
      <w:r w:rsidR="00A16FF3">
        <w:t>mulated the forecast process as</w:t>
      </w:r>
    </w:p>
    <w:p w14:paraId="41536C1D" w14:textId="6751525E" w:rsidR="00741E3C" w:rsidRDefault="00A16FF3" w:rsidP="00D40465">
      <w:r>
        <w:t xml:space="preserve">Equation 6 </w:t>
      </w:r>
      <w:r w:rsidR="00A44098">
        <w:tab/>
      </w:r>
      <w:r w:rsidR="00A44098">
        <w:tab/>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w:rPr>
            <w:rFonts w:ascii="Cambria Math" w:eastAsiaTheme="minorEastAsia" w:hAnsi="Cambria Math"/>
          </w:rPr>
          <m:t xml:space="preserve"> </m:t>
        </m:r>
        <m:r>
          <m:rPr>
            <m:sty m:val="p"/>
          </m:rPr>
          <w:rPr>
            <w:rFonts w:ascii="Cambria Math" w:eastAsiaTheme="minorEastAsia" w:hAnsi="Cambria Math"/>
          </w:rPr>
          <m:t>normal(</m:t>
        </m:r>
        <m:sSub>
          <m:sSubPr>
            <m:ctrlPr>
              <w:rPr>
                <w:rFonts w:ascii="Cambria Math" w:eastAsiaTheme="minorEastAsia" w:hAnsi="Cambria Math"/>
              </w:rPr>
            </m:ctrlPr>
          </m:sSubPr>
          <m:e>
            <m:r>
              <m:rPr>
                <m:sty m:val="p"/>
              </m:rPr>
              <w:rPr>
                <w:rFonts w:ascii="Cambria Math" w:eastAsiaTheme="minorEastAsia" w:hAnsi="Cambria Math"/>
              </w:rPr>
              <m:t>τ</m:t>
            </m:r>
          </m:e>
          <m:sub>
            <m:r>
              <w:rPr>
                <w:rFonts w:ascii="Cambria Math" w:eastAsiaTheme="minorEastAsia" w:hAnsi="Cambria Math"/>
              </w:rPr>
              <m:t>m</m:t>
            </m:r>
          </m:sub>
        </m:sSub>
        <m:r>
          <m:rPr>
            <m:sty m:val="p"/>
          </m:rPr>
          <w:rPr>
            <w:rFonts w:ascii="Cambria Math" w:eastAsiaTheme="minorEastAsia" w:hAnsi="Cambria Math"/>
          </w:rPr>
          <m:t>, 0.15</m:t>
        </m:r>
        <m:r>
          <w:rPr>
            <w:rFonts w:ascii="Cambria Math" w:eastAsiaTheme="minorEastAsia" w:hAnsi="Cambria Math"/>
          </w:rPr>
          <m:t>)</m:t>
        </m:r>
      </m:oMath>
    </w:p>
    <w:p w14:paraId="7A43371D" w14:textId="37CDA575" w:rsidR="003C1DAB" w:rsidRDefault="00D53F99" w:rsidP="00D40465">
      <w:proofErr w:type="gramStart"/>
      <w:r>
        <w:t>w</w:t>
      </w:r>
      <w:r w:rsidR="00741E3C">
        <w:t>here</w:t>
      </w:r>
      <w:proofErr w:type="gramEnd"/>
      <w:r>
        <w:t xml:space="preserve"> </w:t>
      </w:r>
      <m:oMath>
        <m:acc>
          <m:accPr>
            <m:ctrlPr>
              <w:rPr>
                <w:rFonts w:ascii="Cambria Math" w:hAnsi="Cambria Math"/>
                <w:i/>
              </w:rPr>
            </m:ctrlPr>
          </m:accPr>
          <m:e>
            <m:r>
              <w:rPr>
                <w:rFonts w:ascii="Cambria Math" w:hAnsi="Cambria Math"/>
              </w:rPr>
              <m:t>R</m:t>
            </m:r>
          </m:e>
        </m:acc>
      </m:oMath>
      <w:r>
        <w:t xml:space="preserve"> is the forecasted abundance of recruits from </w:t>
      </w:r>
      <w:r w:rsidR="00A44098">
        <w:t>MU</w:t>
      </w:r>
      <w:r>
        <w:t xml:space="preserve"> </w:t>
      </w:r>
      <w:r>
        <w:rPr>
          <w:i/>
        </w:rPr>
        <w:t>m</w:t>
      </w:r>
      <w:r w:rsidR="003C1DAB">
        <w:rPr>
          <w:i/>
        </w:rPr>
        <w:t>.</w:t>
      </w:r>
      <w:r>
        <w:rPr>
          <w:rFonts w:eastAsiaTheme="minorEastAsia"/>
        </w:rPr>
        <w:t xml:space="preserve"> </w:t>
      </w:r>
      <w:r w:rsidR="003C1DAB">
        <w:rPr>
          <w:rFonts w:eastAsiaTheme="minorEastAsia"/>
        </w:rPr>
        <w:t xml:space="preserve">Mean </w:t>
      </w:r>
      <w:r w:rsidR="003C1DAB">
        <w:t>f</w:t>
      </w:r>
      <w:r w:rsidR="00741E3C">
        <w:t xml:space="preserve">orecast error </w:t>
      </w:r>
      <m:oMath>
        <m:r>
          <w:rPr>
            <w:rFonts w:ascii="Cambria Math" w:hAnsi="Cambria Math"/>
          </w:rPr>
          <m:t>w</m:t>
        </m:r>
      </m:oMath>
      <w:r w:rsidR="003C1DAB">
        <w:t xml:space="preserve"> </w:t>
      </w:r>
      <w:r w:rsidR="00741E3C">
        <w:t>was parameterized using deviations between in-season and post-season estimates</w:t>
      </w:r>
      <w:r w:rsidR="001E3FCB">
        <w:t xml:space="preserve"> of salmon abundance</w:t>
      </w:r>
      <w:r w:rsidR="00741E3C">
        <w:t xml:space="preserve"> from </w:t>
      </w:r>
      <w:r w:rsidR="00741E3C" w:rsidRPr="00741E3C">
        <w:rPr>
          <w:highlight w:val="yellow"/>
        </w:rPr>
        <w:t>2007-2011</w:t>
      </w:r>
      <w:r w:rsidR="002632D7">
        <w:t xml:space="preserve"> </w:t>
      </w:r>
      <w:r w:rsidR="002632D7">
        <w:lastRenderedPageBreak/>
        <w:t>(Fraser River Panel reports)</w:t>
      </w:r>
      <w:r>
        <w:t>.</w:t>
      </w:r>
      <w:r w:rsidR="00741E3C">
        <w:t xml:space="preserve"> </w:t>
      </w:r>
      <w:r w:rsidR="003C1DAB">
        <w:t>In order to produce realistic deviation</w:t>
      </w:r>
      <w:r w:rsidR="0070590B">
        <w:t>s</w:t>
      </w:r>
      <w:r w:rsidR="003C1DAB">
        <w:t xml:space="preserve"> in forecast error, the normal distribution was truncated at 0.</w:t>
      </w:r>
    </w:p>
    <w:p w14:paraId="70787B9F" w14:textId="34D89CDF" w:rsidR="00422BF4" w:rsidRDefault="00A44098" w:rsidP="00B40124">
      <w:pPr>
        <w:ind w:firstLine="720"/>
      </w:pPr>
      <w:r>
        <w:rPr>
          <w:rFonts w:eastAsiaTheme="minorEastAsia"/>
        </w:rPr>
        <w:t xml:space="preserve">We </w:t>
      </w:r>
      <w:r w:rsidR="002317A6">
        <w:t>calculate</w:t>
      </w:r>
      <w:r>
        <w:t>d</w:t>
      </w:r>
      <w:r w:rsidR="002317A6">
        <w:t xml:space="preserve"> an MU-specific target harvest rate</w:t>
      </w:r>
      <w:r>
        <w:t xml:space="preserve"> </w:t>
      </w:r>
      <w:r>
        <w:t xml:space="preserve">(based on </w:t>
      </w:r>
      <m:oMath>
        <m:acc>
          <m:accPr>
            <m:ctrlPr>
              <w:rPr>
                <w:rFonts w:ascii="Cambria Math" w:hAnsi="Cambria Math"/>
                <w:i/>
              </w:rPr>
            </m:ctrlPr>
          </m:accPr>
          <m:e>
            <m:r>
              <w:rPr>
                <w:rFonts w:ascii="Cambria Math" w:hAnsi="Cambria Math"/>
              </w:rPr>
              <m:t>R</m:t>
            </m:r>
          </m:e>
        </m:acc>
      </m:oMath>
      <w:r>
        <w:rPr>
          <w:rFonts w:eastAsiaTheme="minorEastAsia"/>
        </w:rPr>
        <w:t xml:space="preserve"> relative to escapement goals)</w:t>
      </w:r>
      <w:r w:rsidR="0070590B">
        <w:t xml:space="preserve"> and</w:t>
      </w:r>
      <w:r w:rsidR="00C36435">
        <w:t xml:space="preserve"> we calculated a realized exploitation rate for each CU by adjusting </w:t>
      </w:r>
      <w:r w:rsidR="0070590B">
        <w:t>its</w:t>
      </w:r>
      <w:r w:rsidR="00C36435">
        <w:t xml:space="preserv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or changes in catchability</w:t>
      </w:r>
      <w:r w:rsidR="00714028">
        <w:t>,</w:t>
      </w:r>
      <w:r w:rsidR="00C36435">
        <w:t xml:space="preserve"> </w:t>
      </w:r>
      <w:r w:rsidR="00714028">
        <w:t>which</w:t>
      </w:r>
      <w:r w:rsidR="00C36435">
        <w:t xml:space="preserve"> </w:t>
      </w:r>
      <w:proofErr w:type="gramStart"/>
      <w:r w:rsidR="00C36435">
        <w:t>lead</w:t>
      </w:r>
      <w:proofErr w:type="gramEnd"/>
      <w:r w:rsidR="00C36435">
        <w:t xml:space="preserve"> to deviations between target and realized exploitation </w:t>
      </w:r>
      <w:commentRangeStart w:id="3"/>
      <w:r w:rsidR="00C36435">
        <w:t>rates</w:t>
      </w:r>
      <w:commentRangeEnd w:id="3"/>
      <w:r w:rsidR="007D5362">
        <w:rPr>
          <w:rStyle w:val="CommentReference"/>
        </w:rPr>
        <w:commentReference w:id="3"/>
      </w:r>
      <w:r w:rsidR="00C36435">
        <w:t xml:space="preserve">. </w:t>
      </w:r>
    </w:p>
    <w:p w14:paraId="2E86638E" w14:textId="3AB42572" w:rsidR="00AF0717" w:rsidRDefault="00AF0717" w:rsidP="00D40465">
      <w:r>
        <w:tab/>
        <w:t xml:space="preserve">Biological benchmarks are commonly used to assess population status relative to a </w:t>
      </w:r>
      <w:r w:rsidR="00741E3C">
        <w:t>desired</w:t>
      </w:r>
      <w:r>
        <w:t xml:space="preserve"> state (REF). </w:t>
      </w:r>
      <w:r w:rsidR="001E3FCB">
        <w:t>In this study, w</w:t>
      </w:r>
      <w:r>
        <w:t xml:space="preserve">e </w:t>
      </w:r>
      <w:r w:rsidR="001E3FCB">
        <w:t>calculated</w:t>
      </w:r>
      <w:r>
        <w:t xml:space="preserve"> benchmarks </w:t>
      </w:r>
      <w:r w:rsidR="00531AE1">
        <w:t xml:space="preserve">derived from stock-recruit relationships and </w:t>
      </w:r>
      <w:r>
        <w:t>referenced</w:t>
      </w:r>
      <w:r w:rsidR="00531AE1">
        <w:t xml:space="preserve"> in Canada’s Wild Salmon Policy (REF)</w:t>
      </w:r>
      <w:r>
        <w:t>. The upper benchmark is the estimated spawner abundance necessary to achieve maximum sustainable yield (</w:t>
      </w:r>
      <w:r>
        <w:rPr>
          <w:i/>
        </w:rPr>
        <w:t>S</w:t>
      </w:r>
      <w:r>
        <w:rPr>
          <w:vertAlign w:val="subscript"/>
        </w:rPr>
        <w:t>MSY</w:t>
      </w:r>
      <w:r>
        <w:t>)</w:t>
      </w:r>
      <w:r w:rsidR="00741E3C">
        <w:t>,</w:t>
      </w:r>
      <w:r>
        <w:t xml:space="preserve"> estimated </w:t>
      </w:r>
      <w:r w:rsidR="0070590B">
        <w:t xml:space="preserve">using the Lambert W function following </w:t>
      </w:r>
      <w:proofErr w:type="spellStart"/>
      <w:r w:rsidR="0070590B">
        <w:t>Scheuerell</w:t>
      </w:r>
      <w:proofErr w:type="spellEnd"/>
      <w:r w:rsidR="0070590B">
        <w:t xml:space="preserve"> (2016)</w:t>
      </w:r>
      <w:r>
        <w:t xml:space="preserve"> </w:t>
      </w:r>
    </w:p>
    <w:p w14:paraId="05D3D8AF" w14:textId="3C26CDE1" w:rsidR="00AF0717" w:rsidRDefault="0070590B" w:rsidP="00D40465">
      <w:r>
        <w:t>Equation 7</w:t>
      </w:r>
      <w:r w:rsidR="00A44098">
        <w:tab/>
      </w:r>
      <w:r w:rsidR="00A44098">
        <w:tab/>
      </w:r>
      <w:r w:rsidR="00A44098">
        <w:tab/>
      </w:r>
      <w:r w:rsidR="00AF0717">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6D1C0E8F" w14:textId="55216A37" w:rsidR="00AF0717" w:rsidRDefault="00AF0717" w:rsidP="0070590B">
      <w:pPr>
        <w:ind w:firstLine="720"/>
      </w:pPr>
      <w:r>
        <w:t xml:space="preserve">The lower benchmark is the estimated spawner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70590B">
        <w:t xml:space="preserve">), which was </w:t>
      </w:r>
      <w:r w:rsidR="008214FE">
        <w:t>solved numerically according to the following equation (Holt et al. 2009)</w:t>
      </w:r>
      <w:r w:rsidR="0070590B">
        <w:t xml:space="preserve"> </w:t>
      </w:r>
      <w:r w:rsidR="0070590B">
        <w:tab/>
      </w:r>
      <w:r w:rsidR="0070590B">
        <w:tab/>
      </w:r>
      <w:r w:rsidR="0070590B">
        <w:tab/>
      </w:r>
    </w:p>
    <w:p w14:paraId="5E078919" w14:textId="5C192820" w:rsidR="00162C8A" w:rsidRDefault="008214FE" w:rsidP="00D40465">
      <w:r>
        <w:t>Equation 8</w:t>
      </w:r>
      <w:r w:rsidR="00A44098">
        <w:tab/>
      </w:r>
      <w:r w:rsidR="00A44098">
        <w:tab/>
      </w:r>
      <w:r w:rsidR="00A44098">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3B2FF82F" w14:textId="54FC626D" w:rsidR="001E3FCB" w:rsidRPr="00BF0BBF" w:rsidRDefault="001E3FCB" w:rsidP="00D40465">
      <w:r>
        <w:t>S</w:t>
      </w:r>
      <w:r>
        <w:rPr>
          <w:vertAlign w:val="subscript"/>
        </w:rPr>
        <w:t>MSY</w:t>
      </w:r>
      <w:r>
        <w:t xml:space="preserve"> is intended to </w:t>
      </w:r>
      <w:r w:rsidR="005D28A8">
        <w:t>represent an abundance at which a CU can sustain harvest and provide its full</w:t>
      </w:r>
      <w:r>
        <w:t xml:space="preserve"> suite of ecosystem service</w:t>
      </w:r>
      <w:r w:rsidR="005D28A8">
        <w:t>s</w:t>
      </w:r>
      <w:r>
        <w:t xml:space="preserve"> indefinitely. </w:t>
      </w:r>
      <w:proofErr w:type="spellStart"/>
      <w:r w:rsidR="00BF0BBF">
        <w:t>S</w:t>
      </w:r>
      <w:r w:rsidR="00BF0BBF">
        <w:rPr>
          <w:vertAlign w:val="subscript"/>
        </w:rPr>
        <w:t>gen</w:t>
      </w:r>
      <w:proofErr w:type="spellEnd"/>
      <w:r w:rsidR="00BF0BBF">
        <w:t xml:space="preserve"> </w:t>
      </w:r>
      <w:r w:rsidR="005D28A8">
        <w:t>is</w:t>
      </w:r>
      <w:r w:rsidR="00BF0BBF">
        <w:t xml:space="preserve"> intended to</w:t>
      </w:r>
      <w:r>
        <w:t xml:space="preserve"> </w:t>
      </w:r>
      <w:r w:rsidR="00BF0BBF">
        <w:t xml:space="preserve">be </w:t>
      </w:r>
      <w:r w:rsidR="00531AE1">
        <w:t>precautionary</w:t>
      </w:r>
      <w:r w:rsidR="005D28A8">
        <w:t xml:space="preserve"> lower benchmark. Therefore, it represents abundance at which a CU is at</w:t>
      </w:r>
      <w:r w:rsidR="00531AE1">
        <w:t xml:space="preserve"> </w:t>
      </w:r>
      <w:r w:rsidR="005D28A8">
        <w:t xml:space="preserve">increased risk of extirpation, which can be </w:t>
      </w:r>
      <w:r w:rsidR="00BF0BBF">
        <w:t>exacerbated by additional mortality introduced by harvest</w:t>
      </w:r>
      <w:r w:rsidR="005D28A8">
        <w:t xml:space="preserve">; however </w:t>
      </w:r>
      <w:proofErr w:type="spellStart"/>
      <w:r w:rsidR="005D28A8">
        <w:t>S</w:t>
      </w:r>
      <w:r w:rsidR="005D28A8">
        <w:rPr>
          <w:vertAlign w:val="subscript"/>
        </w:rPr>
        <w:t>gen</w:t>
      </w:r>
      <w:proofErr w:type="spellEnd"/>
      <w:r w:rsidR="005D28A8">
        <w:t xml:space="preserve"> </w:t>
      </w:r>
      <w:r w:rsidR="00531AE1">
        <w:t xml:space="preserve">is typically greater than the abundance which </w:t>
      </w:r>
      <w:r w:rsidR="005D28A8">
        <w:t>would trigger</w:t>
      </w:r>
      <w:r w:rsidR="00531AE1">
        <w:t xml:space="preserve"> protection under at-risk species legislation</w:t>
      </w:r>
      <w:r w:rsidR="00BF0BBF">
        <w:t>. Within the Wild Salmo</w:t>
      </w:r>
      <w:r w:rsidR="005D28A8">
        <w:t xml:space="preserve">n Policy framework, CUs with </w:t>
      </w:r>
      <w:proofErr w:type="gramStart"/>
      <w:r w:rsidR="005D28A8">
        <w:t xml:space="preserve">an </w:t>
      </w:r>
      <w:r w:rsidR="00BF0BBF">
        <w:t>abundance</w:t>
      </w:r>
      <w:proofErr w:type="gramEnd"/>
      <w:r w:rsidR="00BF0BBF">
        <w:t xml:space="preserve"> greater than S</w:t>
      </w:r>
      <w:r w:rsidR="00BF0BBF">
        <w:rPr>
          <w:vertAlign w:val="subscript"/>
        </w:rPr>
        <w:t>MSY</w:t>
      </w:r>
      <w:r w:rsidR="00BF0BBF">
        <w:t xml:space="preserve"> are </w:t>
      </w:r>
      <w:r w:rsidR="005D28A8">
        <w:t>considered</w:t>
      </w:r>
      <w:r w:rsidR="00BF0BBF">
        <w:t xml:space="preserve"> green status, those with abundance</w:t>
      </w:r>
      <w:r w:rsidR="005D28A8">
        <w:t>s</w:t>
      </w:r>
      <w:r w:rsidR="00BF0BBF">
        <w:t xml:space="preserve"> below S</w:t>
      </w:r>
      <w:r w:rsidR="00BF0BBF">
        <w:rPr>
          <w:vertAlign w:val="subscript"/>
        </w:rPr>
        <w:t xml:space="preserve">MSY </w:t>
      </w:r>
      <w:r w:rsidR="00BF0BBF">
        <w:t xml:space="preserve">and above </w:t>
      </w:r>
      <w:proofErr w:type="spellStart"/>
      <w:r w:rsidR="00BF0BBF">
        <w:t>S</w:t>
      </w:r>
      <w:r w:rsidR="00BF0BBF">
        <w:rPr>
          <w:vertAlign w:val="subscript"/>
        </w:rPr>
        <w:t>gen</w:t>
      </w:r>
      <w:proofErr w:type="spellEnd"/>
      <w:r w:rsidR="00BF0BBF">
        <w:t xml:space="preserve"> are amber, and those below </w:t>
      </w:r>
      <w:proofErr w:type="spellStart"/>
      <w:r w:rsidR="00BF0BBF">
        <w:t>S</w:t>
      </w:r>
      <w:r w:rsidR="00BF0BBF">
        <w:rPr>
          <w:vertAlign w:val="subscript"/>
        </w:rPr>
        <w:t>gen</w:t>
      </w:r>
      <w:proofErr w:type="spellEnd"/>
      <w:r w:rsidR="00BF0BBF">
        <w:t xml:space="preserve"> are red.</w:t>
      </w:r>
    </w:p>
    <w:p w14:paraId="713E5E3C" w14:textId="00B22906" w:rsidR="00422BF4" w:rsidRPr="00422BF4" w:rsidRDefault="00422BF4" w:rsidP="00D40465">
      <w:pPr>
        <w:rPr>
          <w:i/>
        </w:rPr>
      </w:pPr>
      <w:r>
        <w:rPr>
          <w:i/>
        </w:rPr>
        <w:t>Sources of uncertainty</w:t>
      </w:r>
    </w:p>
    <w:p w14:paraId="3D729538" w14:textId="6AADABA5" w:rsidR="005D760D" w:rsidRDefault="00C36435" w:rsidP="00D40465">
      <w:pPr>
        <w:rPr>
          <w:rFonts w:ascii="Calibri" w:hAnsi="Calibri"/>
        </w:rPr>
      </w:pPr>
      <w:r>
        <w:tab/>
      </w:r>
      <w:r w:rsidR="00155B1C">
        <w:t>The</w:t>
      </w:r>
      <w:r w:rsidR="00422BF4">
        <w:t xml:space="preserve"> principal </w:t>
      </w:r>
      <w:proofErr w:type="gramStart"/>
      <w:r w:rsidR="00422BF4">
        <w:t>driver of</w:t>
      </w:r>
      <w:r w:rsidR="00155B1C">
        <w:t xml:space="preserve"> aggregate variability</w:t>
      </w:r>
      <w:r w:rsidR="00422BF4">
        <w:t xml:space="preserve"> in the </w:t>
      </w:r>
      <w:r w:rsidR="00741E3C">
        <w:t xml:space="preserve">simulation </w:t>
      </w:r>
      <w:r w:rsidR="00422BF4">
        <w:t xml:space="preserve">model </w:t>
      </w:r>
      <w:r w:rsidR="005D28A8">
        <w:t>are</w:t>
      </w:r>
      <w:proofErr w:type="gramEnd"/>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 xml:space="preserve">we manipulated </w:t>
      </w:r>
      <w:r w:rsidR="00BF0BBF">
        <w:t>the strength of recruitment deviations by</w:t>
      </w:r>
      <w:r w:rsidR="00422BF4">
        <w:t xml:space="preserve"> increasing </w:t>
      </w:r>
      <w:r w:rsidR="005D760D">
        <w:t>CV</w:t>
      </w:r>
      <w:r w:rsidR="005D760D">
        <w:rPr>
          <w:vertAlign w:val="subscript"/>
        </w:rPr>
        <w:t>C</w:t>
      </w:r>
      <w:r w:rsidR="005D760D">
        <w:t xml:space="preserve"> </w:t>
      </w:r>
      <w:r w:rsidR="00422BF4">
        <w:t xml:space="preserve">or </w:t>
      </w:r>
      <m:oMath>
        <m:r>
          <w:rPr>
            <w:rFonts w:ascii="Cambria Math" w:hAnsi="Cambria Math"/>
          </w:rPr>
          <m:t>φ</m:t>
        </m:r>
      </m:oMath>
      <w:r w:rsidR="00422BF4">
        <w:rPr>
          <w:rFonts w:ascii="Calibri" w:hAnsi="Calibri"/>
        </w:rPr>
        <w:t xml:space="preserve">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w:t>
      </w:r>
      <w:r w:rsidR="00BF0BBF">
        <w:rPr>
          <w:rFonts w:ascii="Calibri" w:hAnsi="Calibri"/>
        </w:rPr>
        <w:t>,</w:t>
      </w:r>
      <w:r w:rsidR="00155B1C">
        <w:rPr>
          <w:rFonts w:ascii="Calibri" w:hAnsi="Calibri"/>
        </w:rPr>
        <w:t xml:space="preserve">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7668335C"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t>
      </w:r>
      <w:r w:rsidR="00531AE1">
        <w:t xml:space="preserve">CU-specific estimates </w:t>
      </w:r>
      <w:r w:rsidR="00531AE1">
        <w:lastRenderedPageBreak/>
        <w:t>of sigma in Fraser River sockeye salmon are relatively large (mean = 0.97, range = 0.76 – 1.39). Therefore, we varied sigma between 0.75 and 1.5 across CV</w:t>
      </w:r>
      <w:r w:rsidR="00531AE1">
        <w:rPr>
          <w:vertAlign w:val="subscript"/>
        </w:rPr>
        <w:t>C</w:t>
      </w:r>
      <w:r w:rsidR="00531AE1">
        <w:t xml:space="preserve"> treatments. To increase </w:t>
      </w:r>
      <w:r w:rsidR="00531AE1">
        <w:rPr>
          <w:rFonts w:ascii="Calibri" w:hAnsi="Calibri"/>
        </w:rPr>
        <w:t>φ, we varied the correlation among CUs from 0 to 1.</w:t>
      </w:r>
      <w:r w:rsidR="00531AE1">
        <w:t xml:space="preserve"> </w:t>
      </w:r>
      <w:r w:rsidR="00FE3B94">
        <w:t>We completed a full 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7CE6EC91" w:rsidR="00422BF4" w:rsidRDefault="00422BF4" w:rsidP="00D40465">
      <w:r>
        <w:tab/>
        <w:t xml:space="preserve">We introduced additional stochasticity into the model via </w:t>
      </w:r>
      <w:proofErr w:type="spellStart"/>
      <w:r w:rsidR="00155B1C">
        <w:t>interannual</w:t>
      </w:r>
      <w:proofErr w:type="spellEnd"/>
      <w:r w:rsidR="00155B1C">
        <w:t xml:space="preserve"> </w:t>
      </w:r>
      <w:r>
        <w:t xml:space="preserve">variation in age at maturity (lognormal), forecasting error, </w:t>
      </w:r>
      <w:proofErr w:type="spellStart"/>
      <w:r w:rsidR="00F07D48">
        <w:t>en</w:t>
      </w:r>
      <w:proofErr w:type="spellEnd"/>
      <w:r w:rsidR="00F07D48">
        <w:t xml:space="preserve"> route mortality, </w:t>
      </w:r>
      <w:r>
        <w:t>and outcome uncertainty (</w:t>
      </w:r>
      <w:r w:rsidR="00BF0BBF">
        <w:t>Table 2</w:t>
      </w:r>
      <w:r>
        <w:t xml:space="preserve">). Although the parameters for these variables did not change across the tested operating models, we increased and decreased each in a series of sensitivity analyses to ensure </w:t>
      </w:r>
      <w:r w:rsidR="00BF0BBF">
        <w:t xml:space="preserve">that </w:t>
      </w:r>
      <w:r>
        <w:t>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5E978E2E"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four performance </w:t>
      </w:r>
      <w:r w:rsidR="00BF0BBF">
        <w:rPr>
          <w:rFonts w:ascii="Calibri" w:hAnsi="Calibri"/>
        </w:rPr>
        <w:t>measures</w:t>
      </w:r>
      <w:r w:rsidR="007D5362">
        <w:rPr>
          <w:rFonts w:ascii="Calibri" w:hAnsi="Calibri"/>
        </w:rPr>
        <w:t xml:space="preserve"> (PMs)</w:t>
      </w:r>
      <w:r>
        <w:rPr>
          <w:rFonts w:ascii="Calibri" w:hAnsi="Calibri"/>
        </w:rPr>
        <w:t xml:space="preserve">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30T09:28:00Z" w:initials="D">
    <w:p w14:paraId="0A0B01FF" w14:textId="4F81549E" w:rsidR="006C114F" w:rsidRDefault="006C114F">
      <w:pPr>
        <w:pStyle w:val="CommentText"/>
      </w:pPr>
      <w:r>
        <w:rPr>
          <w:rStyle w:val="CommentReference"/>
        </w:rPr>
        <w:annotationRef/>
      </w:r>
      <w:r>
        <w:t>Is this paragraph out of place?</w:t>
      </w:r>
    </w:p>
  </w:comment>
  <w:comment w:id="1" w:author="DFO-MPO" w:date="2018-07-26T11:46:00Z" w:initials="D">
    <w:p w14:paraId="5CAE7CF0" w14:textId="58DBFEDD" w:rsidR="00370CB7" w:rsidRDefault="00370CB7">
      <w:pPr>
        <w:pStyle w:val="CommentText"/>
      </w:pPr>
      <w:r>
        <w:rPr>
          <w:rStyle w:val="CommentReference"/>
        </w:rPr>
        <w:annotationRef/>
      </w:r>
      <w:r>
        <w:t>Is it necessary to do this?</w:t>
      </w:r>
    </w:p>
  </w:comment>
  <w:comment w:id="3" w:author="Cameron Freshwater" w:date="2018-06-30T09:30:00Z" w:initials="CF">
    <w:p w14:paraId="0CBBFA59" w14:textId="1CDB947D" w:rsidR="007D5362" w:rsidRDefault="007D5362">
      <w:pPr>
        <w:pStyle w:val="CommentText"/>
      </w:pPr>
      <w:r>
        <w:rPr>
          <w:rStyle w:val="CommentReference"/>
        </w:rPr>
        <w:annotationRef/>
      </w:r>
      <w:r>
        <w:t xml:space="preserve">Should </w:t>
      </w:r>
      <w:proofErr w:type="spellStart"/>
      <w:r>
        <w:t>en</w:t>
      </w:r>
      <w:proofErr w:type="spellEnd"/>
      <w:r>
        <w:t xml:space="preserve"> route mortality be included or excluded from model?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41C3D"/>
    <w:rsid w:val="00076F0E"/>
    <w:rsid w:val="000835A0"/>
    <w:rsid w:val="000C23EB"/>
    <w:rsid w:val="000E1287"/>
    <w:rsid w:val="00107E59"/>
    <w:rsid w:val="00155B1C"/>
    <w:rsid w:val="00161092"/>
    <w:rsid w:val="00162C8A"/>
    <w:rsid w:val="001D4E33"/>
    <w:rsid w:val="001E3FCB"/>
    <w:rsid w:val="001F4BE2"/>
    <w:rsid w:val="00207CE4"/>
    <w:rsid w:val="002317A6"/>
    <w:rsid w:val="002343E7"/>
    <w:rsid w:val="002632D7"/>
    <w:rsid w:val="00274866"/>
    <w:rsid w:val="00294313"/>
    <w:rsid w:val="002A7562"/>
    <w:rsid w:val="002E258D"/>
    <w:rsid w:val="002E5DFE"/>
    <w:rsid w:val="0032697E"/>
    <w:rsid w:val="003507A2"/>
    <w:rsid w:val="003655FD"/>
    <w:rsid w:val="00370CB7"/>
    <w:rsid w:val="00392E97"/>
    <w:rsid w:val="003B1DEE"/>
    <w:rsid w:val="003B7E04"/>
    <w:rsid w:val="003C1DAB"/>
    <w:rsid w:val="003E748B"/>
    <w:rsid w:val="003F5C0E"/>
    <w:rsid w:val="00422BF4"/>
    <w:rsid w:val="0047719C"/>
    <w:rsid w:val="00485670"/>
    <w:rsid w:val="00486597"/>
    <w:rsid w:val="004A4853"/>
    <w:rsid w:val="004E2EDE"/>
    <w:rsid w:val="004F6C38"/>
    <w:rsid w:val="00531AE1"/>
    <w:rsid w:val="005326C5"/>
    <w:rsid w:val="005641CB"/>
    <w:rsid w:val="005D28A8"/>
    <w:rsid w:val="005D760D"/>
    <w:rsid w:val="005F3EF6"/>
    <w:rsid w:val="00645D76"/>
    <w:rsid w:val="00697A59"/>
    <w:rsid w:val="006A3951"/>
    <w:rsid w:val="006A4872"/>
    <w:rsid w:val="006C114F"/>
    <w:rsid w:val="0070590B"/>
    <w:rsid w:val="00714028"/>
    <w:rsid w:val="007141E5"/>
    <w:rsid w:val="007350E4"/>
    <w:rsid w:val="00741E3C"/>
    <w:rsid w:val="0079592C"/>
    <w:rsid w:val="007A279A"/>
    <w:rsid w:val="007D5362"/>
    <w:rsid w:val="008018CA"/>
    <w:rsid w:val="00815021"/>
    <w:rsid w:val="008214FE"/>
    <w:rsid w:val="00837CE3"/>
    <w:rsid w:val="00886C25"/>
    <w:rsid w:val="008B4C24"/>
    <w:rsid w:val="008C1650"/>
    <w:rsid w:val="00901BDD"/>
    <w:rsid w:val="009215C5"/>
    <w:rsid w:val="00937B72"/>
    <w:rsid w:val="00940776"/>
    <w:rsid w:val="00961DFC"/>
    <w:rsid w:val="009736AE"/>
    <w:rsid w:val="009801E9"/>
    <w:rsid w:val="00992367"/>
    <w:rsid w:val="00996327"/>
    <w:rsid w:val="009E2CC0"/>
    <w:rsid w:val="00A16FF3"/>
    <w:rsid w:val="00A44098"/>
    <w:rsid w:val="00A91A4F"/>
    <w:rsid w:val="00A957BB"/>
    <w:rsid w:val="00AE3B72"/>
    <w:rsid w:val="00AF0717"/>
    <w:rsid w:val="00B40124"/>
    <w:rsid w:val="00B42D41"/>
    <w:rsid w:val="00B96B00"/>
    <w:rsid w:val="00BB7A46"/>
    <w:rsid w:val="00BC14E9"/>
    <w:rsid w:val="00BF0BBF"/>
    <w:rsid w:val="00BF12B8"/>
    <w:rsid w:val="00C14A36"/>
    <w:rsid w:val="00C36435"/>
    <w:rsid w:val="00C72C7A"/>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7E4C"/>
    <w:rsid w:val="00F07D48"/>
    <w:rsid w:val="00F22932"/>
    <w:rsid w:val="00F42DD1"/>
    <w:rsid w:val="00F940DB"/>
    <w:rsid w:val="00FA1D62"/>
    <w:rsid w:val="00FC25A5"/>
    <w:rsid w:val="00FE3B94"/>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TotalTime>
  <Pages>8</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44</cp:revision>
  <cp:lastPrinted>2018-05-03T17:52:00Z</cp:lastPrinted>
  <dcterms:created xsi:type="dcterms:W3CDTF">2018-04-17T18:31:00Z</dcterms:created>
  <dcterms:modified xsi:type="dcterms:W3CDTF">2018-07-30T19:25:00Z</dcterms:modified>
</cp:coreProperties>
</file>