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0E" w:rsidRDefault="000835A0" w:rsidP="003F5C0E">
      <w:pPr>
        <w:ind w:firstLine="720"/>
      </w:pPr>
      <w:r>
        <w:t>Many natural resource disciplines have grad</w:t>
      </w:r>
      <w:r w:rsidR="00A957BB">
        <w:t xml:space="preserve">ually shifted towards system-wide </w:t>
      </w:r>
      <w:r>
        <w:t>approach</w:t>
      </w:r>
      <w:r w:rsidR="00A957BB">
        <w:t>es</w:t>
      </w:r>
      <w:r>
        <w:t xml:space="preserve"> that </w:t>
      </w:r>
      <w:r w:rsidR="00A957BB">
        <w:t>attempt</w:t>
      </w:r>
      <w:r>
        <w:t xml:space="preserve"> to maximize the health of</w:t>
      </w:r>
      <w:r w:rsidR="003F5C0E">
        <w:t>,</w:t>
      </w:r>
      <w:r>
        <w:t xml:space="preserve"> and services provided by</w:t>
      </w:r>
      <w:r w:rsidR="003F5C0E">
        <w:t>,</w:t>
      </w:r>
      <w:r>
        <w:t xml:space="preserve"> ecological aggregates, rather than </w:t>
      </w:r>
      <w:r w:rsidR="003F5C0E">
        <w:t xml:space="preserve">their </w:t>
      </w:r>
      <w:r>
        <w:t>individual components.</w:t>
      </w:r>
      <w:r w:rsidR="003F5C0E">
        <w:t xml:space="preserve"> For example, many agencies tasked with managing multispecies fisheries have begun to transition from single-species stock assessments to an ecosystem based approach that evaluates the status of multiple trophic levels. </w:t>
      </w:r>
      <w:r w:rsidR="00A957BB">
        <w:t>One of the key benefits of such a strategy is that t</w:t>
      </w:r>
      <w:r>
        <w:t xml:space="preserve">he dynamics of </w:t>
      </w:r>
      <w:r w:rsidR="003F5C0E">
        <w:t>ecological</w:t>
      </w:r>
      <w:r>
        <w:t xml:space="preserve"> aggregate</w:t>
      </w:r>
      <w:r w:rsidR="003F5C0E">
        <w:t>s</w:t>
      </w:r>
      <w:r>
        <w:t xml:space="preserve"> are </w:t>
      </w:r>
      <w:r w:rsidR="00A957BB">
        <w:t>often</w:t>
      </w:r>
      <w:r w:rsidR="003F5C0E">
        <w:t xml:space="preserve"> </w:t>
      </w:r>
      <w:r>
        <w:t xml:space="preserve">buffered </w:t>
      </w:r>
      <w:r w:rsidR="00A957BB">
        <w:t>by</w:t>
      </w:r>
      <w:r>
        <w:t xml:space="preserve"> components vary</w:t>
      </w:r>
      <w:r w:rsidR="00A957BB">
        <w:t>ing</w:t>
      </w:r>
      <w:r>
        <w:t xml:space="preserve"> </w:t>
      </w:r>
      <w:r w:rsidR="003F5C0E">
        <w:t>asynchronously with one another</w:t>
      </w:r>
      <w:r w:rsidR="00A957BB">
        <w:t xml:space="preserve"> and the availability of ecosystem services are stabilized as a result. The tendency for more diverse systems to exhibit decreased temporal variability has been long recognized in ecology and is commonly referred to as the portfolio effect</w:t>
      </w:r>
      <w:bookmarkStart w:id="0" w:name="_GoBack"/>
      <w:bookmarkEnd w:id="0"/>
      <w:r w:rsidR="00A957BB">
        <w:t>.</w:t>
      </w:r>
    </w:p>
    <w:p w:rsidR="003F5C0E" w:rsidRDefault="003F5C0E" w:rsidP="003F5C0E">
      <w:pPr>
        <w:ind w:firstLine="720"/>
      </w:pPr>
    </w:p>
    <w:p w:rsidR="000835A0" w:rsidRDefault="000835A0" w:rsidP="003F5C0E">
      <w:pPr>
        <w:ind w:firstLine="720"/>
      </w:pPr>
      <w:r>
        <w:t xml:space="preserve">Portfolio effect </w:t>
      </w:r>
      <w:r>
        <w:sym w:font="Wingdings" w:char="F0E0"/>
      </w:r>
      <w:r>
        <w:t xml:space="preserve"> larger number of components, greater aggregate stability</w:t>
      </w:r>
    </w:p>
    <w:p w:rsidR="000835A0" w:rsidRDefault="000835A0" w:rsidP="000835A0">
      <w:pPr>
        <w:pStyle w:val="ListParagraph"/>
        <w:numPr>
          <w:ilvl w:val="0"/>
          <w:numId w:val="2"/>
        </w:numPr>
      </w:pPr>
      <w:r>
        <w:t xml:space="preserve">However, many ecological aggregates have exhibited evidence of increased temporal variability in recent years, despite containing the same number of components </w:t>
      </w:r>
    </w:p>
    <w:p w:rsidR="000835A0" w:rsidRDefault="000835A0" w:rsidP="000835A0">
      <w:pPr>
        <w:pStyle w:val="ListParagraph"/>
        <w:numPr>
          <w:ilvl w:val="1"/>
          <w:numId w:val="2"/>
        </w:numPr>
      </w:pPr>
      <w:r>
        <w:t>Such collapsed aggregates are generally less capable of providing key ecosystem services and their individual components may be at increased risk of extirpation.</w:t>
      </w:r>
    </w:p>
    <w:p w:rsidR="000835A0" w:rsidRDefault="000835A0" w:rsidP="000835A0">
      <w:pPr>
        <w:pStyle w:val="ListParagraph"/>
        <w:numPr>
          <w:ilvl w:val="0"/>
          <w:numId w:val="2"/>
        </w:numPr>
      </w:pPr>
      <w:r>
        <w:t xml:space="preserve">Although changes in aggregate variability are generally associated with anthropogenic disturbance, it is rarely possible to identify specific events that lead to instability </w:t>
      </w:r>
    </w:p>
    <w:p w:rsidR="000835A0" w:rsidRDefault="000835A0" w:rsidP="000835A0">
      <w:pPr>
        <w:pStyle w:val="ListParagraph"/>
        <w:numPr>
          <w:ilvl w:val="1"/>
          <w:numId w:val="2"/>
        </w:numPr>
      </w:pPr>
      <w:r>
        <w:t>Efforts are hampered by the observational nature of the data collected, as well as relatively low statistical power since it is difficult to directly compare aggregates to one another.</w:t>
      </w:r>
    </w:p>
    <w:p w:rsidR="000835A0" w:rsidRDefault="000835A0" w:rsidP="000835A0">
      <w:pPr>
        <w:pStyle w:val="ListParagraph"/>
        <w:numPr>
          <w:ilvl w:val="0"/>
          <w:numId w:val="2"/>
        </w:numPr>
      </w:pPr>
      <w:r>
        <w:t>Yet we can detect important clues about causal mechanisms by examining temporal trends in the processes that contribute to aggregate variability, rather than aggregate variability itself.</w:t>
      </w:r>
    </w:p>
    <w:p w:rsidR="000835A0" w:rsidRDefault="000835A0" w:rsidP="000835A0">
      <w:pPr>
        <w:pStyle w:val="ListParagraph"/>
        <w:numPr>
          <w:ilvl w:val="1"/>
          <w:numId w:val="2"/>
        </w:numPr>
      </w:pPr>
      <w:r>
        <w:t>For example, while aggregate variability is clearly associated with the number of components it is also influenced by the attributes of the components themselves, namely their synchrony (i.e. covariance) and individual variability</w:t>
      </w:r>
    </w:p>
    <w:p w:rsidR="000835A0" w:rsidRDefault="000835A0" w:rsidP="000835A0">
      <w:pPr>
        <w:pStyle w:val="ListParagraph"/>
        <w:numPr>
          <w:ilvl w:val="2"/>
          <w:numId w:val="2"/>
        </w:numPr>
      </w:pPr>
      <w:r>
        <w:t>E.g. assuming the number of components is stable, changes in aggregate variability may be driven by either process.</w:t>
      </w:r>
    </w:p>
    <w:p w:rsidR="000835A0" w:rsidRDefault="000835A0" w:rsidP="000835A0">
      <w:pPr>
        <w:pStyle w:val="ListParagraph"/>
        <w:numPr>
          <w:ilvl w:val="1"/>
          <w:numId w:val="2"/>
        </w:numPr>
      </w:pPr>
      <w:r>
        <w:t xml:space="preserve">Recent work (Thibaut and Connolly) has provided a framework to estimate the relative contribution of each of these processes by decomposing aggregate variability into an index of synchrony and an estimate of component-level variability, weighted by abundance </w:t>
      </w:r>
    </w:p>
    <w:p w:rsidR="000835A0" w:rsidRDefault="000835A0" w:rsidP="000835A0">
      <w:pPr>
        <w:pStyle w:val="ListParagraph"/>
        <w:numPr>
          <w:ilvl w:val="2"/>
          <w:numId w:val="2"/>
        </w:numPr>
      </w:pPr>
      <w:r>
        <w:t>Importantly these metrics are robust to differences in evenness, as well as abundance, allowing for comparisons among distinct aggregates</w:t>
      </w:r>
    </w:p>
    <w:p w:rsidR="000835A0" w:rsidRDefault="000835A0" w:rsidP="000835A0">
      <w:pPr>
        <w:pStyle w:val="ListParagraph"/>
        <w:numPr>
          <w:ilvl w:val="0"/>
          <w:numId w:val="2"/>
        </w:numPr>
      </w:pPr>
      <w:r>
        <w:t>Decomposing changes in aggregate variability into trends in synchrony and component variability may provide clues that are critical to identifying destabilizing ecological processes.</w:t>
      </w:r>
    </w:p>
    <w:p w:rsidR="000835A0" w:rsidRDefault="000835A0" w:rsidP="000835A0">
      <w:pPr>
        <w:pStyle w:val="ListParagraph"/>
        <w:numPr>
          <w:ilvl w:val="1"/>
          <w:numId w:val="2"/>
        </w:numPr>
      </w:pPr>
      <w:r>
        <w:t>For example, if the variability of a subset of dominant components has dramatically increased, but synchrony has remained relatively stable, then it would suggest that localized processes are responsible.</w:t>
      </w:r>
    </w:p>
    <w:p w:rsidR="000835A0" w:rsidRDefault="000835A0" w:rsidP="000835A0">
      <w:pPr>
        <w:pStyle w:val="ListParagraph"/>
        <w:numPr>
          <w:ilvl w:val="1"/>
          <w:numId w:val="2"/>
        </w:numPr>
      </w:pPr>
      <w:r>
        <w:lastRenderedPageBreak/>
        <w:t xml:space="preserve">Conversely, if synchrony and aggregate variability have increased in tandem, it would suggest that regional processes are at wrok. </w:t>
      </w:r>
    </w:p>
    <w:p w:rsidR="000835A0" w:rsidRDefault="000835A0" w:rsidP="000835A0">
      <w:pPr>
        <w:pStyle w:val="ListParagraph"/>
        <w:numPr>
          <w:ilvl w:val="0"/>
          <w:numId w:val="2"/>
        </w:numPr>
      </w:pPr>
      <w:commentRangeStart w:id="1"/>
      <w:r>
        <w:t xml:space="preserve">Moreover, temporal patterns in synchrony and component variability may be useful in guiding conservation efforts and management interventions. </w:t>
      </w:r>
    </w:p>
    <w:p w:rsidR="000835A0" w:rsidRDefault="000835A0" w:rsidP="000835A0">
      <w:pPr>
        <w:pStyle w:val="ListParagraph"/>
        <w:numPr>
          <w:ilvl w:val="1"/>
          <w:numId w:val="2"/>
        </w:numPr>
      </w:pPr>
      <w:r>
        <w:t xml:space="preserve">A targeted effort to increase the productivity of an unstable subpopulation may lead to substantial benefits at the aggregate level, but these benefits may be dampened if the aggregate has become highly synchronized. </w:t>
      </w:r>
    </w:p>
    <w:p w:rsidR="000835A0" w:rsidRDefault="000835A0" w:rsidP="000835A0">
      <w:pPr>
        <w:pStyle w:val="ListParagraph"/>
        <w:numPr>
          <w:ilvl w:val="1"/>
          <w:numId w:val="2"/>
        </w:numPr>
      </w:pPr>
      <w:r>
        <w:t>Similarly, a larger number of components may be required to stabilize the ecosystem functions of a highly synchronized aggregate</w:t>
      </w:r>
      <w:commentRangeEnd w:id="1"/>
      <w:r>
        <w:rPr>
          <w:rStyle w:val="CommentReference"/>
        </w:rPr>
        <w:commentReference w:id="1"/>
      </w:r>
    </w:p>
    <w:p w:rsidR="000835A0" w:rsidRDefault="000835A0" w:rsidP="000835A0">
      <w:pPr>
        <w:pStyle w:val="ListParagraph"/>
        <w:numPr>
          <w:ilvl w:val="0"/>
          <w:numId w:val="2"/>
        </w:numPr>
      </w:pPr>
      <w:r>
        <w:t xml:space="preserve">We use an empirical dataset to first present evidence that increased aggregate variability in a Pacific salmon metapopulation is associated with greater levels of synchrony, rather than changes in the variability of the components. </w:t>
      </w:r>
    </w:p>
    <w:p w:rsidR="000835A0" w:rsidRDefault="000835A0" w:rsidP="000835A0">
      <w:pPr>
        <w:pStyle w:val="ListParagraph"/>
        <w:numPr>
          <w:ilvl w:val="0"/>
          <w:numId w:val="2"/>
        </w:numPr>
      </w:pPr>
      <w:r>
        <w:t xml:space="preserve">We then use a stochastic closed-loop simulation model to explore how long-term changes in aggregate variable (mediated by synchrony and component variability) may influence the outcomes of large-scale recovery efforts. </w:t>
      </w:r>
    </w:p>
    <w:p w:rsidR="00F22932" w:rsidRDefault="00F22932" w:rsidP="000835A0"/>
    <w:p w:rsidR="000835A0" w:rsidRPr="000835A0" w:rsidRDefault="000835A0" w:rsidP="000835A0">
      <w:pPr>
        <w:rPr>
          <w:b/>
        </w:rPr>
      </w:pPr>
      <w:r w:rsidRPr="000835A0">
        <w:rPr>
          <w:b/>
        </w:rPr>
        <w:t>Methods</w:t>
      </w:r>
    </w:p>
    <w:p w:rsidR="000835A0" w:rsidRPr="00A91A4F" w:rsidRDefault="000835A0" w:rsidP="000835A0">
      <w:pPr>
        <w:rPr>
          <w:i/>
        </w:rPr>
      </w:pPr>
      <w:r w:rsidRPr="00A91A4F">
        <w:rPr>
          <w:i/>
        </w:rPr>
        <w:t>Sockeye salmon</w:t>
      </w:r>
    </w:p>
    <w:p w:rsidR="000835A0" w:rsidRDefault="000835A0" w:rsidP="000835A0">
      <w:pPr>
        <w:pStyle w:val="ListParagraph"/>
        <w:numPr>
          <w:ilvl w:val="0"/>
          <w:numId w:val="5"/>
        </w:numPr>
      </w:pPr>
      <w:r>
        <w:t>Generic information on biology</w:t>
      </w:r>
    </w:p>
    <w:p w:rsidR="000835A0" w:rsidRDefault="000835A0" w:rsidP="000835A0">
      <w:pPr>
        <w:pStyle w:val="ListParagraph"/>
        <w:numPr>
          <w:ilvl w:val="0"/>
          <w:numId w:val="5"/>
        </w:numPr>
      </w:pPr>
      <w:r>
        <w:t>Information on CUs as unit of management conservation</w:t>
      </w:r>
    </w:p>
    <w:p w:rsidR="000835A0" w:rsidRDefault="00A91A4F" w:rsidP="000835A0">
      <w:pPr>
        <w:pStyle w:val="ListParagraph"/>
        <w:numPr>
          <w:ilvl w:val="0"/>
          <w:numId w:val="5"/>
        </w:numPr>
      </w:pPr>
      <w:r>
        <w:t>Description of fishery</w:t>
      </w:r>
    </w:p>
    <w:p w:rsidR="000835A0" w:rsidRPr="00A91A4F" w:rsidRDefault="00A91A4F" w:rsidP="000835A0">
      <w:pPr>
        <w:rPr>
          <w:i/>
        </w:rPr>
      </w:pPr>
      <w:r>
        <w:rPr>
          <w:i/>
        </w:rPr>
        <w:t>Synchrony metrics</w:t>
      </w:r>
    </w:p>
    <w:p w:rsidR="000835A0" w:rsidRDefault="000835A0" w:rsidP="000835A0">
      <w:pPr>
        <w:pStyle w:val="ListParagraph"/>
        <w:numPr>
          <w:ilvl w:val="0"/>
          <w:numId w:val="6"/>
        </w:numPr>
      </w:pPr>
      <w:r>
        <w:t>We examined temporal changes in three metrics</w:t>
      </w:r>
      <w:r w:rsidR="009801E9">
        <w:t xml:space="preserve"> of metapopulation variability</w:t>
      </w:r>
      <w:r>
        <w:t xml:space="preserve"> defined by </w:t>
      </w:r>
      <w:r w:rsidR="00ED7E4C">
        <w:t>Loreau and de Mazancour</w:t>
      </w:r>
      <w:r w:rsidR="004A4853">
        <w:t>t</w:t>
      </w:r>
      <w:r w:rsidR="00ED7E4C">
        <w:t xml:space="preserve"> 2008 and </w:t>
      </w:r>
      <w:r>
        <w:t>Thibaut and Connolly 2013</w:t>
      </w:r>
    </w:p>
    <w:p w:rsidR="000835A0" w:rsidRDefault="000835A0" w:rsidP="000835A0">
      <w:pPr>
        <w:pStyle w:val="ListParagraph"/>
        <w:numPr>
          <w:ilvl w:val="1"/>
          <w:numId w:val="6"/>
        </w:numPr>
      </w:pPr>
      <w:r>
        <w:t xml:space="preserve">Synchrony </w:t>
      </w:r>
      <w:r w:rsidR="00ED7E4C">
        <w:t xml:space="preserve">– defined as the variance of total metapopulation abundance of </w:t>
      </w:r>
      <w:r w:rsidR="00ED7E4C">
        <w:rPr>
          <w:i/>
        </w:rPr>
        <w:t xml:space="preserve">n </w:t>
      </w:r>
      <w:r w:rsidR="00ED7E4C">
        <w:t>components (i.e. sum of all elements of variance-covariance matrix), divided by the variance of a hypothetical metapopulation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t>Aggregate variability – sqrt(synch) * average component CV</w:t>
      </w:r>
    </w:p>
    <w:p w:rsidR="00ED7E4C" w:rsidRDefault="00ED7E4C" w:rsidP="00ED7E4C">
      <w:pPr>
        <w:pStyle w:val="ListParagraph"/>
        <w:numPr>
          <w:ilvl w:val="2"/>
          <w:numId w:val="6"/>
        </w:numPr>
      </w:pPr>
      <w:r>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When highly synch, agg perfect tracks components</w:t>
      </w:r>
    </w:p>
    <w:p w:rsidR="00ED7E4C" w:rsidRDefault="00ED7E4C" w:rsidP="00ED7E4C">
      <w:pPr>
        <w:pStyle w:val="ListParagraph"/>
        <w:numPr>
          <w:ilvl w:val="3"/>
          <w:numId w:val="6"/>
        </w:numPr>
      </w:pPr>
      <w:r>
        <w:lastRenderedPageBreak/>
        <w:t>When asynch, agg variability strongly dampened</w:t>
      </w:r>
    </w:p>
    <w:p w:rsidR="00A91A4F" w:rsidRDefault="00A91A4F" w:rsidP="00A91A4F">
      <w:pPr>
        <w:rPr>
          <w:i/>
        </w:rPr>
      </w:pPr>
      <w:r>
        <w:rPr>
          <w:i/>
        </w:rPr>
        <w:t>Retrospective analysis</w:t>
      </w:r>
    </w:p>
    <w:p w:rsidR="00A91A4F" w:rsidRDefault="00A91A4F" w:rsidP="00A91A4F">
      <w:pPr>
        <w:pStyle w:val="ListParagraph"/>
        <w:numPr>
          <w:ilvl w:val="0"/>
          <w:numId w:val="7"/>
        </w:numPr>
        <w:spacing w:line="240" w:lineRule="auto"/>
      </w:pPr>
      <w:r>
        <w:t>We first exp</w:t>
      </w:r>
      <w:r w:rsidR="009801E9">
        <w:t xml:space="preserve">lored metapopulation dynamics by </w:t>
      </w:r>
      <w:r>
        <w:t xml:space="preserve">decomposing </w:t>
      </w:r>
      <w:r w:rsidR="009801E9">
        <w:t xml:space="preserve">the </w:t>
      </w:r>
      <w:r>
        <w:t xml:space="preserve">variability </w:t>
      </w:r>
      <w:r w:rsidR="009801E9">
        <w:t xml:space="preserve">of a case study aggregate (Fraser River sockeye salmon) </w:t>
      </w:r>
      <w:r>
        <w:t xml:space="preserve">into each </w:t>
      </w:r>
      <w:r w:rsidR="009801E9">
        <w:t>component’s</w:t>
      </w:r>
      <w:r>
        <w:t xml:space="preserve"> var</w:t>
      </w:r>
      <w:r w:rsidR="009801E9">
        <w:t>iability and synchrony among components</w:t>
      </w:r>
      <w:r>
        <w:t>.</w:t>
      </w:r>
    </w:p>
    <w:p w:rsidR="009801E9" w:rsidRDefault="009801E9" w:rsidP="009801E9">
      <w:pPr>
        <w:pStyle w:val="ListParagraph"/>
        <w:numPr>
          <w:ilvl w:val="1"/>
          <w:numId w:val="7"/>
        </w:numPr>
        <w:spacing w:line="240" w:lineRule="auto"/>
      </w:pPr>
      <w:r>
        <w:t>Component variability is weighted by the CU’s mean abundance</w:t>
      </w:r>
    </w:p>
    <w:p w:rsidR="00A91A4F" w:rsidRDefault="00A91A4F" w:rsidP="00A91A4F">
      <w:pPr>
        <w:pStyle w:val="ListParagraph"/>
        <w:numPr>
          <w:ilvl w:val="0"/>
          <w:numId w:val="7"/>
        </w:numPr>
        <w:spacing w:line="240" w:lineRule="auto"/>
      </w:pPr>
      <w:r>
        <w:t>We examined these indices in two metrics</w:t>
      </w:r>
    </w:p>
    <w:p w:rsidR="00A91A4F" w:rsidRDefault="00A91A4F" w:rsidP="00A91A4F">
      <w:pPr>
        <w:pStyle w:val="ListParagraph"/>
        <w:numPr>
          <w:ilvl w:val="1"/>
          <w:numId w:val="7"/>
        </w:numPr>
        <w:spacing w:line="240" w:lineRule="auto"/>
      </w:pPr>
      <w:r>
        <w:t xml:space="preserve">First, </w:t>
      </w:r>
      <w:r w:rsidR="009801E9">
        <w:t>residuals from a basic stock-recruit relationship, providing an index of deviations in per capita productivity</w:t>
      </w:r>
      <w:r>
        <w:t xml:space="preserve">. </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A subset of Fraser River sockeye salmon populations exhibit cyclic dynamics and these CUs’ dynamics were simulated using a Larkin model, an extension of the Ricker that accounts for delayed density dependence among cycle lines</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Whether CUs were modeled with the Ricker or Larkin was based upon their most recent assessment (WSP 2017 doc)</w:t>
      </w:r>
    </w:p>
    <w:p w:rsidR="00A91A4F" w:rsidRDefault="00A91A4F" w:rsidP="00A91A4F">
      <w:pPr>
        <w:pStyle w:val="ListParagraph"/>
        <w:numPr>
          <w:ilvl w:val="2"/>
          <w:numId w:val="7"/>
        </w:numPr>
        <w:spacing w:line="240" w:lineRule="auto"/>
      </w:pPr>
      <w:r>
        <w:t>Recruits are enumerated after returning to coastal waters and being captured in fisheries, dying en route to spawning grounds, or successfully reaching spawning habitat.</w:t>
      </w:r>
    </w:p>
    <w:p w:rsidR="00A91A4F" w:rsidRDefault="00A91A4F" w:rsidP="00A91A4F">
      <w:pPr>
        <w:pStyle w:val="ListParagraph"/>
        <w:numPr>
          <w:ilvl w:val="2"/>
          <w:numId w:val="7"/>
        </w:numPr>
        <w:spacing w:line="240" w:lineRule="auto"/>
      </w:pPr>
      <w:r>
        <w:t>This metric represents trends in metapopulation dynamics independent of two major mechanisms of disturbance in Pacific salmon populations - exploitation in fisheries and en route mortality.</w:t>
      </w:r>
    </w:p>
    <w:p w:rsidR="009801E9" w:rsidRDefault="009801E9" w:rsidP="00A91A4F">
      <w:pPr>
        <w:pStyle w:val="ListParagraph"/>
        <w:numPr>
          <w:ilvl w:val="2"/>
          <w:numId w:val="7"/>
        </w:numPr>
        <w:spacing w:line="240" w:lineRule="auto"/>
      </w:pPr>
      <w:r>
        <w:t>By including Larkin model residuals we were also able to account for cyclic dynamics which may confound apparent trends in population dynamics</w:t>
      </w:r>
    </w:p>
    <w:p w:rsidR="00A91A4F" w:rsidRDefault="009801E9" w:rsidP="00A91A4F">
      <w:pPr>
        <w:pStyle w:val="ListParagraph"/>
        <w:numPr>
          <w:ilvl w:val="1"/>
          <w:numId w:val="7"/>
        </w:numPr>
        <w:spacing w:line="240" w:lineRule="auto"/>
      </w:pPr>
      <w:r>
        <w:t>Second we</w:t>
      </w:r>
      <w:r w:rsidR="00A91A4F">
        <w:t xml:space="preserve"> examined trends in absolute spawner abundance, which is simply the number of recruits that successfully reach the spawning grounds</w:t>
      </w:r>
    </w:p>
    <w:p w:rsidR="009801E9" w:rsidRDefault="009801E9" w:rsidP="009801E9">
      <w:pPr>
        <w:pStyle w:val="ListParagraph"/>
        <w:numPr>
          <w:ilvl w:val="2"/>
          <w:numId w:val="7"/>
        </w:numPr>
        <w:spacing w:line="240" w:lineRule="auto"/>
      </w:pPr>
      <w:r>
        <w:t xml:space="preserve">By comparing empirical trends in these two metrics we can explore the relative importance of variation in exploitation rate, en route mortality, and </w:t>
      </w:r>
      <w:r w:rsidR="00FC25A5">
        <w:t>cyclic dynamics</w:t>
      </w:r>
    </w:p>
    <w:p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rsidR="00A91A4F" w:rsidRDefault="00A91A4F" w:rsidP="00A91A4F">
      <w:pPr>
        <w:pStyle w:val="ListParagraph"/>
        <w:numPr>
          <w:ilvl w:val="1"/>
          <w:numId w:val="7"/>
        </w:numPr>
        <w:spacing w:line="240" w:lineRule="auto"/>
      </w:pPr>
      <w:r>
        <w:t>2) Is aggregate variability more strongly correlated with component variability or synchrony, consistent with a shift in the dynamics of specific CUs or the metapopulation as a whole.</w:t>
      </w:r>
    </w:p>
    <w:p w:rsidR="00A91A4F" w:rsidRDefault="00A91A4F" w:rsidP="00A91A4F">
      <w:pPr>
        <w:rPr>
          <w:i/>
        </w:rPr>
      </w:pPr>
      <w:r>
        <w:rPr>
          <w:i/>
        </w:rPr>
        <w:t>Forward simulation</w:t>
      </w:r>
    </w:p>
    <w:p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rsidR="00A91A4F" w:rsidRDefault="00A91A4F" w:rsidP="00A91A4F">
      <w:pPr>
        <w:pStyle w:val="ListParagraph"/>
        <w:numPr>
          <w:ilvl w:val="1"/>
          <w:numId w:val="8"/>
        </w:numPr>
        <w:spacing w:line="240" w:lineRule="auto"/>
      </w:pPr>
      <w:r>
        <w:t>The model includes population dynamics and harvesting, as well as process, observation, and management implementation uncertainty.</w:t>
      </w:r>
    </w:p>
    <w:p w:rsidR="00A91A4F" w:rsidRDefault="00FC25A5" w:rsidP="00A91A4F">
      <w:pPr>
        <w:pStyle w:val="ListParagraph"/>
        <w:numPr>
          <w:ilvl w:val="0"/>
          <w:numId w:val="8"/>
        </w:numPr>
        <w:spacing w:line="240" w:lineRule="auto"/>
      </w:pPr>
      <w:r>
        <w:t>S</w:t>
      </w:r>
      <w:r w:rsidR="00A91A4F">
        <w:t xml:space="preserve">almon metapopulation dynamics were modeled using </w:t>
      </w:r>
      <w:r>
        <w:t>the same</w:t>
      </w:r>
      <w:r w:rsidR="00A91A4F">
        <w:t xml:space="preserve"> age-structured Ricker </w:t>
      </w:r>
      <w:r>
        <w:t xml:space="preserve">or Larkin </w:t>
      </w:r>
      <w:r w:rsidR="00A91A4F">
        <w:t>model</w:t>
      </w:r>
      <w:r>
        <w:t xml:space="preserve">s, with demographic stochasticity incorporated with random deviations in recruitment and age at maturity </w:t>
      </w:r>
    </w:p>
    <w:p w:rsidR="00A91A4F" w:rsidRDefault="00A91A4F" w:rsidP="00A91A4F">
      <w:pPr>
        <w:pStyle w:val="ListParagraph"/>
        <w:numPr>
          <w:ilvl w:val="1"/>
          <w:numId w:val="8"/>
        </w:numPr>
        <w:spacing w:line="240" w:lineRule="auto"/>
      </w:pPr>
      <w:r>
        <w:lastRenderedPageBreak/>
        <w:t xml:space="preserve">To generate future recruits we used alpha and beta parameters that were estimated from CU-specific stock recruit models. </w:t>
      </w:r>
    </w:p>
    <w:p w:rsidR="00A91A4F" w:rsidRDefault="00A91A4F" w:rsidP="00A91A4F">
      <w:pPr>
        <w:pStyle w:val="ListParagraph"/>
        <w:numPr>
          <w:ilvl w:val="2"/>
          <w:numId w:val="8"/>
        </w:numPr>
        <w:spacing w:line="240" w:lineRule="auto"/>
      </w:pPr>
      <w:r>
        <w:t xml:space="preserve">To account for uncertainty in the true underlying stock recruit relationship we sampled with replacement from the posterior distribution of each CU’s estimated parameters each simulation run. </w:t>
      </w:r>
    </w:p>
    <w:p w:rsidR="00A91A4F" w:rsidRDefault="00A91A4F" w:rsidP="00A91A4F">
      <w:pPr>
        <w:pStyle w:val="ListParagraph"/>
        <w:numPr>
          <w:ilvl w:val="2"/>
          <w:numId w:val="8"/>
        </w:numPr>
        <w:spacing w:line="240" w:lineRule="auto"/>
      </w:pPr>
      <w:r>
        <w:t xml:space="preserve">Note that although these models provide estimates of stock-recruit deviations, we parameterized sigma independently </w:t>
      </w:r>
      <w:r w:rsidR="00FC25A5">
        <w:t>by drawing CU-specific values from a normal distribution with mu and sigma.</w:t>
      </w:r>
    </w:p>
    <w:p w:rsidR="00FC25A5" w:rsidRDefault="00FC25A5" w:rsidP="00FC25A5">
      <w:pPr>
        <w:pStyle w:val="ListParagraph"/>
        <w:numPr>
          <w:ilvl w:val="3"/>
          <w:numId w:val="8"/>
        </w:numPr>
        <w:spacing w:line="240" w:lineRule="auto"/>
      </w:pPr>
      <w:r>
        <w:t>Mu varied depending on operating model scenario</w:t>
      </w:r>
    </w:p>
    <w:p w:rsidR="00A91A4F" w:rsidRDefault="00A91A4F" w:rsidP="00A91A4F">
      <w:pPr>
        <w:pStyle w:val="ListParagraph"/>
        <w:numPr>
          <w:ilvl w:val="0"/>
          <w:numId w:val="8"/>
        </w:numPr>
        <w:spacing w:line="240" w:lineRule="auto"/>
      </w:pPr>
      <w:r>
        <w:t>Harvest occurred each year with exploitation rates determined by a harvest control rule replicating the TAM rule that has been used to regulate catch rates on the Fraser River since X</w:t>
      </w:r>
    </w:p>
    <w:p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en route mortality.  </w:t>
      </w:r>
    </w:p>
    <w:p w:rsidR="00FC25A5" w:rsidRDefault="00FC25A5" w:rsidP="00FC25A5">
      <w:pPr>
        <w:pStyle w:val="ListParagraph"/>
        <w:numPr>
          <w:ilvl w:val="2"/>
          <w:numId w:val="8"/>
        </w:numPr>
        <w:spacing w:line="240" w:lineRule="auto"/>
      </w:pPr>
      <w:r>
        <w:t>Provide details of TAM rule as supplement</w:t>
      </w:r>
    </w:p>
    <w:p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rsidR="00645D76" w:rsidRDefault="00645D76" w:rsidP="00645D76">
      <w:pPr>
        <w:pStyle w:val="ListParagraph"/>
        <w:numPr>
          <w:ilvl w:val="1"/>
          <w:numId w:val="8"/>
        </w:numPr>
        <w:spacing w:line="240" w:lineRule="auto"/>
      </w:pPr>
      <w:commentRangeStart w:id="2"/>
      <w:r>
        <w:t>To explore the relative importance of either process we increased each in isolation, as well as in tandem, resulting in a total of 12 distinct variance scenarios</w:t>
      </w:r>
      <w:commentRangeEnd w:id="2"/>
      <w:r>
        <w:rPr>
          <w:rStyle w:val="CommentReference"/>
        </w:rPr>
        <w:commentReference w:id="2"/>
      </w:r>
      <w:r>
        <w:t xml:space="preserve">. </w:t>
      </w:r>
    </w:p>
    <w:p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rsidR="00645D76" w:rsidRDefault="00645D76" w:rsidP="00645D76">
      <w:pPr>
        <w:pStyle w:val="ListParagraph"/>
        <w:numPr>
          <w:ilvl w:val="1"/>
          <w:numId w:val="8"/>
        </w:numPr>
        <w:spacing w:line="240" w:lineRule="auto"/>
      </w:pPr>
      <w:r>
        <w:t xml:space="preserve">Ppn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rsidR="003E748B" w:rsidRDefault="003E748B" w:rsidP="00645D76">
      <w:pPr>
        <w:pStyle w:val="ListParagraph"/>
        <w:numPr>
          <w:ilvl w:val="1"/>
          <w:numId w:val="8"/>
        </w:numPr>
        <w:spacing w:line="240" w:lineRule="auto"/>
      </w:pPr>
      <w:r>
        <w:t>Ppn of CUs above specific reference points at end of sim</w:t>
      </w:r>
      <w:r w:rsidR="00022839">
        <w:t xml:space="preserve"> – provides an index of CU-specific conservation status, which is the focus of most management and conservation interventions</w:t>
      </w:r>
    </w:p>
    <w:p w:rsidR="001F4BE2" w:rsidRDefault="001F4BE2" w:rsidP="001F4BE2">
      <w:pPr>
        <w:pStyle w:val="ListParagraph"/>
        <w:numPr>
          <w:ilvl w:val="0"/>
          <w:numId w:val="8"/>
        </w:numPr>
        <w:spacing w:line="240" w:lineRule="auto"/>
      </w:pPr>
      <w:r>
        <w:t>Simulation specifics</w:t>
      </w:r>
    </w:p>
    <w:p w:rsidR="001F4BE2" w:rsidRDefault="001F4BE2" w:rsidP="001F4BE2">
      <w:pPr>
        <w:pStyle w:val="ListParagraph"/>
        <w:numPr>
          <w:ilvl w:val="1"/>
          <w:numId w:val="8"/>
        </w:numPr>
        <w:spacing w:line="240" w:lineRule="auto"/>
      </w:pPr>
      <w:r>
        <w:lastRenderedPageBreak/>
        <w:t>Instead of a priming period to initiate the simulation, we used CU-specific observations of recruits and spawners; ensured that populations were at realistic levels of abundance and that cyclic stocks generated realistic patterns</w:t>
      </w:r>
    </w:p>
    <w:p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5-31T15:29:00Z" w:initials="D">
    <w:p w:rsidR="000835A0" w:rsidRDefault="000835A0" w:rsidP="000835A0">
      <w:pPr>
        <w:pStyle w:val="CommentText"/>
      </w:pPr>
      <w:r>
        <w:rPr>
          <w:rStyle w:val="CommentReference"/>
        </w:rPr>
        <w:annotationRef/>
      </w:r>
      <w:r>
        <w:t>Potentially possible to test in sim framework, but for now save for discussion</w:t>
      </w:r>
    </w:p>
  </w:comment>
  <w:comment w:id="2" w:author="DFO-MPO" w:date="2018-06-01T10:26:00Z" w:initials="D">
    <w:p w:rsidR="00645D76" w:rsidRDefault="00645D76">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835A0"/>
    <w:rsid w:val="001F4BE2"/>
    <w:rsid w:val="00294313"/>
    <w:rsid w:val="002E5DFE"/>
    <w:rsid w:val="003655FD"/>
    <w:rsid w:val="003E748B"/>
    <w:rsid w:val="003F5C0E"/>
    <w:rsid w:val="00486597"/>
    <w:rsid w:val="004A4853"/>
    <w:rsid w:val="005641CB"/>
    <w:rsid w:val="00645D76"/>
    <w:rsid w:val="007141E5"/>
    <w:rsid w:val="007350E4"/>
    <w:rsid w:val="0079592C"/>
    <w:rsid w:val="007A279A"/>
    <w:rsid w:val="008018CA"/>
    <w:rsid w:val="00837CE3"/>
    <w:rsid w:val="008B4C24"/>
    <w:rsid w:val="009736AE"/>
    <w:rsid w:val="009801E9"/>
    <w:rsid w:val="00A91A4F"/>
    <w:rsid w:val="00A957BB"/>
    <w:rsid w:val="00AE3B72"/>
    <w:rsid w:val="00B96B00"/>
    <w:rsid w:val="00D95057"/>
    <w:rsid w:val="00D971BA"/>
    <w:rsid w:val="00DA470D"/>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13</cp:revision>
  <cp:lastPrinted>2018-05-03T17:52:00Z</cp:lastPrinted>
  <dcterms:created xsi:type="dcterms:W3CDTF">2018-04-17T18:31:00Z</dcterms:created>
  <dcterms:modified xsi:type="dcterms:W3CDTF">2018-06-05T17:49:00Z</dcterms:modified>
</cp:coreProperties>
</file>