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365F1612" w14:textId="21353924" w:rsidR="00240A6D" w:rsidRDefault="00ED0654" w:rsidP="0042726A">
      <w:pPr>
        <w:ind w:firstLine="720"/>
      </w:pPr>
      <w:r>
        <w:t xml:space="preserve">Ecological aggregates such as </w:t>
      </w:r>
      <w:proofErr w:type="spellStart"/>
      <w:r>
        <w:t>m</w:t>
      </w:r>
      <w:r w:rsidR="003C75EE">
        <w:t>etapopulations</w:t>
      </w:r>
      <w:proofErr w:type="spellEnd"/>
      <w:r w:rsidR="003C75EE">
        <w:t xml:space="preserve"> </w:t>
      </w:r>
      <w:r>
        <w:t>or</w:t>
      </w:r>
      <w:r w:rsidR="00330D87">
        <w:t xml:space="preserve"> </w:t>
      </w:r>
      <w:r w:rsidR="003C75EE">
        <w:t xml:space="preserve">communities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productivity, biomass production, and overall provisioning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 rather than component species or populations</w:t>
      </w:r>
      <w:r w:rsidR="00240A6D">
        <w:t xml:space="preserve">. </w:t>
      </w:r>
      <w:r w:rsidR="00AE2504">
        <w:t xml:space="preserve">Accounting for portfolio effects via </w:t>
      </w:r>
      <w:r w:rsidR="005162B8">
        <w:t>s</w:t>
      </w:r>
      <w:r w:rsidR="00240A6D">
        <w:t xml:space="preserve">ystems-based approaches </w:t>
      </w:r>
      <w:r w:rsidR="005162B8">
        <w:t xml:space="preserve">may be particularly useful in disciplines such as fishery science, </w:t>
      </w:r>
      <w:r w:rsidR="00923937">
        <w:t xml:space="preserve">which require clear biomass or abundance-based targets even </w:t>
      </w:r>
      <w:r w:rsidR="00AE2504">
        <w:t>when the</w:t>
      </w:r>
      <w:r w:rsidR="005162B8">
        <w:t xml:space="preserve"> dynamics</w:t>
      </w:r>
      <w:r w:rsidR="00AE2504">
        <w:t xml:space="preserve"> of component populations</w:t>
      </w:r>
      <w:r w:rsidR="005162B8">
        <w:t xml:space="preserve"> are difficult to estimate, much less predict</w:t>
      </w:r>
      <w:r w:rsidR="00DF40E3">
        <w:t xml:space="preserve"> </w:t>
      </w:r>
      <w:r w:rsidR="00923937">
        <w:t xml:space="preserve">(Link REF). </w:t>
      </w:r>
    </w:p>
    <w:p w14:paraId="4251520C" w14:textId="77777777" w:rsidR="00C16A84" w:rsidRDefault="00DD3FF2" w:rsidP="00C16A84">
      <w:pPr>
        <w:ind w:firstLine="720"/>
      </w:pPr>
      <w:r>
        <w:t xml:space="preserve">If managers and stakeholders are invested in maintaining a healthy ecological portfolio, then the next task is to identify processes that moderate the dynamics of </w:t>
      </w:r>
      <w:r w:rsidR="00AE2504">
        <w:t>the aggregate</w:t>
      </w:r>
      <w:r>
        <w:t xml:space="preserve">. </w:t>
      </w:r>
      <w:r w:rsidR="00996327">
        <w:t xml:space="preserve">At the coarsest level, </w:t>
      </w:r>
      <w:r w:rsidR="002343E7">
        <w:t>the correlation between diversity and temporal stability</w:t>
      </w:r>
      <w:r w:rsidR="00196031">
        <w:t xml:space="preserve"> </w:t>
      </w:r>
      <w:r w:rsidR="00996327">
        <w:t xml:space="preserve">is </w:t>
      </w:r>
      <w:r w:rsidR="00E531D5">
        <w:t>driven by</w:t>
      </w:r>
      <w:r w:rsidR="00B71AD9">
        <w:t xml:space="preserve"> statistical averaging, with variability decreasing as the n</w:t>
      </w:r>
      <w:r w:rsidR="00196031">
        <w:t xml:space="preserve">umber of components </w:t>
      </w:r>
      <w:r w:rsidR="00B71AD9">
        <w:t>increases</w:t>
      </w:r>
      <w:r w:rsidR="004272D3">
        <w:t xml:space="preserve"> </w:t>
      </w:r>
      <w:r w:rsidR="004272D3">
        <w:fldChar w:fldCharType="begin"/>
      </w:r>
      <w:r w:rsidR="004272D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4272D3">
        <w:fldChar w:fldCharType="separate"/>
      </w:r>
      <w:r w:rsidR="004272D3">
        <w:rPr>
          <w:noProof/>
        </w:rPr>
        <w:t>(Doak</w:t>
      </w:r>
      <w:r w:rsidR="004272D3" w:rsidRPr="004272D3">
        <w:rPr>
          <w:i/>
          <w:noProof/>
        </w:rPr>
        <w:t xml:space="preserve"> et al.</w:t>
      </w:r>
      <w:r w:rsidR="004272D3">
        <w:rPr>
          <w:noProof/>
        </w:rPr>
        <w:t xml:space="preserve"> 1998)</w:t>
      </w:r>
      <w:r w:rsidR="004272D3">
        <w:fldChar w:fldCharType="end"/>
      </w:r>
      <w:r w:rsidR="00996327">
        <w:t>.</w:t>
      </w:r>
      <w:r w:rsidR="00330D87">
        <w:t xml:space="preserve"> A </w:t>
      </w:r>
      <w:r w:rsidR="00E531D5">
        <w:t>widely recognized</w:t>
      </w:r>
      <w:r w:rsidR="00330D87">
        <w:t xml:space="preserve"> example of this pattern occurs in Bristol Bay, Alaska, where the sheer number of sockeye salmon populations in the region </w:t>
      </w:r>
      <w:r w:rsidR="00F0579C">
        <w:t>reduces</w:t>
      </w:r>
      <w:r w:rsidR="00330D87">
        <w:t xml:space="preserve"> aggregate variability in spawner abundance and fishery yields</w:t>
      </w:r>
      <w:r w:rsidR="00AE6C34">
        <w:t xml:space="preserve"> </w:t>
      </w:r>
      <w:r w:rsidR="00AE6C34">
        <w:fldChar w:fldCharType="begin">
          <w:fldData xml:space="preserve">PEVuZE5vdGU+PENpdGU+PEF1dGhvcj5IaWxib3JuPC9BdXRob3I+PFllYXI+MjAwMzwvWWVhcj48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</w:fldData>
        </w:fldChar>
      </w:r>
      <w:r w:rsidR="00AE6C34">
        <w:instrText xml:space="preserve"> ADDIN EN.CITE </w:instrText>
      </w:r>
      <w:r w:rsidR="00AE6C34">
        <w:fldChar w:fldCharType="begin">
          <w:fldData xml:space="preserve">PEVuZE5vdGU+PENpdGU+PEF1dGhvcj5IaWxib3JuPC9BdXRob3I+PFllYXI+MjAwMzwvWWVhcj48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(Hilborn</w:t>
      </w:r>
      <w:r w:rsidR="00AE6C34" w:rsidRPr="00AE6C34">
        <w:rPr>
          <w:i/>
          <w:noProof/>
        </w:rPr>
        <w:t xml:space="preserve"> et al.</w:t>
      </w:r>
      <w:r w:rsidR="00AE6C34">
        <w:rPr>
          <w:noProof/>
        </w:rPr>
        <w:t xml:space="preserve"> 2003; Schindler</w:t>
      </w:r>
      <w:r w:rsidR="00AE6C34" w:rsidRPr="00AE6C34">
        <w:rPr>
          <w:i/>
          <w:noProof/>
        </w:rPr>
        <w:t xml:space="preserve"> et al.</w:t>
      </w:r>
      <w:r w:rsidR="00AE6C34">
        <w:rPr>
          <w:noProof/>
        </w:rPr>
        <w:t xml:space="preserve"> 2010)</w:t>
      </w:r>
      <w:r w:rsidR="00AE6C34">
        <w:fldChar w:fldCharType="end"/>
      </w:r>
      <w:r w:rsidR="00330D87">
        <w:t>.</w:t>
      </w:r>
      <w:r w:rsidR="002A5B41">
        <w:t xml:space="preserve"> </w:t>
      </w:r>
      <w:r w:rsidR="00E531D5">
        <w:t xml:space="preserve">Although </w:t>
      </w:r>
      <w:r w:rsidR="00AE2504">
        <w:t>diversity is a central</w:t>
      </w:r>
      <w:r w:rsidR="00E531D5">
        <w:t xml:space="preserve"> driver of aggregate stability,</w:t>
      </w:r>
      <w:r w:rsidR="002A5B41">
        <w:t xml:space="preserve"> dramatic changes in variability can occur even </w:t>
      </w:r>
      <w:r w:rsidR="00E531D5">
        <w:t>when</w:t>
      </w:r>
      <w:r w:rsidR="00703544">
        <w:t xml:space="preserve"> </w:t>
      </w:r>
      <w:r w:rsidR="00E531D5">
        <w:t>metrics such as evenness and richness</w:t>
      </w:r>
      <w:r w:rsidR="00F0579C">
        <w:t xml:space="preserve"> </w:t>
      </w:r>
      <w:r w:rsidR="00E531D5">
        <w:t xml:space="preserve">are </w:t>
      </w:r>
      <w:r w:rsidR="002A5B41">
        <w:t>stable</w:t>
      </w:r>
      <w:r w:rsidR="00E531D5">
        <w:t xml:space="preserve"> </w:t>
      </w:r>
      <w:r w:rsidR="00E531D5">
        <w:fldChar w:fldCharType="begin"/>
      </w:r>
      <w:r w:rsidR="00E531D5">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E531D5">
        <w:fldChar w:fldCharType="separate"/>
      </w:r>
      <w:r w:rsidR="00E531D5">
        <w:rPr>
          <w:noProof/>
        </w:rPr>
        <w:t>(Thibaut &amp; Connolly 2013)</w:t>
      </w:r>
      <w:r w:rsidR="00E531D5">
        <w:fldChar w:fldCharType="end"/>
      </w:r>
      <w:r w:rsidR="002A5B41">
        <w:t xml:space="preserve">. </w:t>
      </w:r>
      <w:r w:rsidR="00B24A19">
        <w:t>Put more simply, the relative performance of a portfolio is not static and can decline even if its composition remains the same.</w:t>
      </w:r>
      <w:r w:rsidR="00C16A84">
        <w:t xml:space="preserve"> </w:t>
      </w:r>
    </w:p>
    <w:p w14:paraId="0B93D00D" w14:textId="77777777" w:rsidR="00F70F29" w:rsidRDefault="002A5B41" w:rsidP="0098639B">
      <w:pPr>
        <w:ind w:firstLine="720"/>
      </w:pPr>
      <w:r>
        <w:t xml:space="preserve">For example, </w:t>
      </w:r>
      <w:r w:rsidR="00F70F29">
        <w:t xml:space="preserve">aggregate </w:t>
      </w:r>
      <w:r w:rsidR="00C16A84">
        <w:t xml:space="preserve">Chinook salmon </w:t>
      </w:r>
      <w:r w:rsidR="00E531D5">
        <w:t>returns</w:t>
      </w:r>
      <w:r w:rsidR="00C16A84">
        <w:t xml:space="preserve"> to California’s Central Valley</w:t>
      </w:r>
      <w:r w:rsidR="00E531D5">
        <w:t xml:space="preserve"> </w:t>
      </w:r>
      <w:r>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rsidR="00125432">
        <w:t xml:space="preserve">. </w:t>
      </w:r>
      <w:r w:rsidR="00F70F29">
        <w:t>Reduced productivity coupled with d</w:t>
      </w:r>
      <w:r w:rsidR="00F70F29">
        <w:t>ecreased stability at the aggregate level has resulted in substantial ecological (e.g. reduced marine subsidies) and socio-economic costs (e.g. more frequent fishery closures).</w:t>
      </w:r>
      <w:r w:rsidR="00F70F29">
        <w:t xml:space="preserve">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0CFA5A3A" w14:textId="77777777" w:rsidR="00F70F29" w:rsidRDefault="00F70F29" w:rsidP="0098639B">
      <w:pPr>
        <w:ind w:firstLine="720"/>
      </w:pPr>
      <w:r>
        <w:t>The</w:t>
      </w:r>
      <w:r w:rsidR="00AA4419">
        <w:t xml:space="preserve"> patterns observed in central California </w:t>
      </w:r>
      <w:r w:rsidR="00703544">
        <w:t xml:space="preserve">Chinook </w:t>
      </w:r>
      <w:r w:rsidR="00AA4419">
        <w:t>salmon</w:t>
      </w:r>
      <w:r>
        <w:t xml:space="preserve"> can be better understood by decomposing</w:t>
      </w:r>
      <w:r w:rsidR="00AA4419">
        <w:t xml:space="preserve"> aggregate variability into two </w:t>
      </w:r>
      <w:r w:rsidR="00703544">
        <w:t>subordinate components</w:t>
      </w:r>
      <w:r w:rsidR="00044112">
        <w:t>.</w:t>
      </w:r>
      <w:r w:rsidR="002B0FBF">
        <w:t xml:space="preserve"> </w:t>
      </w:r>
      <w:r w:rsidR="00044112">
        <w:t>The first</w:t>
      </w:r>
      <w:r>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rsidR="00302934">
        <w:t xml:space="preserve">have occurred, clarifying how an aggregate’s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w:t>
      </w:r>
      <w:r w:rsidR="00C14A36">
        <w:lastRenderedPageBreak/>
        <w:t xml:space="preserve">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p>
    <w:p w14:paraId="2471CF74" w14:textId="7B642A53" w:rsidR="00BF12B8" w:rsidRDefault="00AA4419" w:rsidP="0098639B">
      <w:pPr>
        <w:ind w:firstLine="720"/>
      </w:pPr>
      <w:r>
        <w:t>In the case of Central Valley Chinook salmon,</w:t>
      </w:r>
      <w:r w:rsidR="0098639B">
        <w:t xml:space="preserve"> </w:t>
      </w:r>
      <w:r w:rsidR="00703544">
        <w:t xml:space="preserve">the authors </w:t>
      </w:r>
      <w:r w:rsidR="00302934">
        <w:t>suggest</w:t>
      </w:r>
      <w:r w:rsidR="00703544">
        <w:t xml:space="preserve"> </w:t>
      </w:r>
      <w:r w:rsidR="00C16A84">
        <w:t>changes in</w:t>
      </w:r>
      <w:r w:rsidR="00703544">
        <w:t xml:space="preserve"> hatchery </w:t>
      </w:r>
      <w:r w:rsidR="00C16A84">
        <w:t>practices</w:t>
      </w:r>
      <w:r w:rsidR="00E314B6">
        <w:t>, rather than poor marine rearing conditions</w:t>
      </w:r>
      <w:r w:rsidR="00C16A84">
        <w:t xml:space="preserve"> alone</w:t>
      </w:r>
      <w:r w:rsidR="00E314B6">
        <w:t xml:space="preserve">, </w:t>
      </w:r>
      <w:r w:rsidR="00703544">
        <w:t xml:space="preserve">may have contributed to </w:t>
      </w:r>
      <w:r w:rsidR="00E314B6">
        <w:t xml:space="preserve">greater synchrony because similar patterns </w:t>
      </w:r>
      <w:r w:rsidR="00302934">
        <w:t>were not observed in the</w:t>
      </w:r>
      <w:r w:rsidR="00E314B6">
        <w:t xml:space="preserve"> neighboring </w:t>
      </w:r>
      <w:r w:rsidR="00302934">
        <w:t>Klamath-Trinity basin</w:t>
      </w:r>
      <w:r w:rsidR="00AE6C34">
        <w:t xml:space="preserve">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Further analyses in the Sacramento River </w:t>
      </w:r>
      <w:r w:rsidR="002B0FBF">
        <w:t xml:space="preserve">Basin, a watershed within the Central Valley, </w:t>
      </w:r>
      <w:r w:rsidR="008B18F2">
        <w:t xml:space="preserve">have </w:t>
      </w:r>
      <w:r w:rsidR="002B0FBF">
        <w:t>highlighted</w:t>
      </w:r>
      <w:r w:rsidR="008B18F2">
        <w:t xml:space="preserve"> </w:t>
      </w:r>
      <w:r w:rsidR="002B0FBF">
        <w:t>how</w:t>
      </w:r>
      <w:r w:rsidR="008B18F2">
        <w:t xml:space="preserve"> specific component </w:t>
      </w:r>
      <w:r w:rsidR="002B0FBF">
        <w:t>tributaries</w:t>
      </w:r>
      <w:r w:rsidR="008B18F2">
        <w:t xml:space="preserve"> </w:t>
      </w:r>
      <w:r w:rsidR="002B0FBF">
        <w:t>contribute</w:t>
      </w:r>
      <w:r w:rsidR="008B18F2">
        <w:t xml:space="preserve"> disproportionately </w:t>
      </w:r>
      <w:r w:rsidR="002B0FBF">
        <w:t>to aggregate stability</w:t>
      </w:r>
      <w:r w:rsidR="00AE6C34">
        <w:t xml:space="preserve"> </w:t>
      </w:r>
      <w:r w:rsidR="00AE6C34">
        <w:fldChar w:fldCharType="begin"/>
      </w:r>
      <w:r w:rsidR="00AE6C34">
        <w:instrText xml:space="preserve"> ADDIN EN.CITE &lt;EndNote&gt;&lt;Cite&gt;&lt;Author&gt;Yamane&lt;/Author&gt;&lt;Year&gt;2018&lt;/Year&gt;&lt;RecNum&gt;2167&lt;/RecNum&gt;&lt;DisplayText&gt;(Yamane, Botsford &amp;amp; Kilduff 2018)&lt;/DisplayText&gt;&lt;record&gt;&lt;rec-number&gt;2167&lt;/rec-number&gt;&lt;foreign-keys&gt;&lt;key app="EN" db-id="eez0aevwa0afpdexr0lvefp6z0xpepv5rfx5" timestamp="1529269775"&gt;2167&lt;/key&gt;&lt;key app="ENWeb" db-id=""&gt;0&lt;/key&gt;&lt;/foreign-keys&gt;&lt;ref-type name="Journal Article"&gt;17&lt;/ref-type&gt;&lt;contributors&gt;&lt;authors&gt;&lt;author&gt;Yamane, Lauren&lt;/author&gt;&lt;author&gt;Botsford, Louis W.&lt;/author&gt;&lt;author&gt;Kilduff, D. Patrick&lt;/author&gt;&lt;/authors&gt;&lt;/contributors&gt;&lt;titles&gt;&lt;title&gt;Tracking restoration of population diversity via the portfolio effect&lt;/title&gt;&lt;secondary-title&gt;Journal of Applied Ecology&lt;/secondary-title&gt;&lt;/titles&gt;&lt;periodical&gt;&lt;full-title&gt;Journal of Applied Ecology&lt;/full-title&gt;&lt;abbr-1&gt;J. Appl. Ecol.&lt;/abbr-1&gt;&lt;abbr-2&gt;J Appl Ecol&lt;/abbr-2&gt;&lt;/periodical&gt;&lt;pages&gt;472-481&lt;/pages&gt;&lt;volume&gt;55&lt;/volume&gt;&lt;number&gt;2&lt;/number&gt;&lt;dates&gt;&lt;year&gt;2018&lt;/year&gt;&lt;/dates&gt;&lt;isbn&gt;00218901&lt;/isbn&gt;&lt;urls&gt;&lt;/urls&gt;&lt;electronic-resource-num&gt;10.1111/1365-2664.12978&lt;/electronic-resource-num&gt;&lt;/record&gt;&lt;/Cite&gt;&lt;/EndNote&gt;</w:instrText>
      </w:r>
      <w:r w:rsidR="00AE6C34">
        <w:fldChar w:fldCharType="separate"/>
      </w:r>
      <w:r w:rsidR="00AE6C34">
        <w:rPr>
          <w:noProof/>
        </w:rPr>
        <w:t>(Yamane, Botsford &amp; Kilduff 2018)</w:t>
      </w:r>
      <w:r w:rsidR="00AE6C34">
        <w:fldChar w:fldCharType="end"/>
      </w:r>
      <w:r w:rsidR="008B18F2">
        <w:t>.</w:t>
      </w:r>
      <w:r w:rsidR="002B0FBF">
        <w:t xml:space="preserve"> Taken together these patterns suggest that efforts to maximize the region’s portfolio effect could be focused on a subset of tributaries, perhaps by explicitly conserving unique life history traits at risk of homogenization due to hatchery influences.</w:t>
      </w:r>
    </w:p>
    <w:p w14:paraId="3D305BCC" w14:textId="26917ACA" w:rsidR="00BF12B8" w:rsidRPr="00C12967" w:rsidRDefault="00B27AEE" w:rsidP="00E314B6">
      <w:pPr>
        <w:ind w:firstLine="720"/>
        <w:rPr>
          <w:strike/>
        </w:rPr>
      </w:pPr>
      <w:r>
        <w:t>While</w:t>
      </w:r>
      <w:r w:rsidR="002B0FBF">
        <w:t xml:space="preserve"> </w:t>
      </w:r>
      <w:r w:rsidR="00F93B58">
        <w:t>patterns</w:t>
      </w:r>
      <w:r w:rsidR="002B0FBF">
        <w:t xml:space="preserve"> in covariance among populations have been widely examined</w:t>
      </w:r>
      <w:r w:rsidR="00AE6C34">
        <w:t xml:space="preserve"> </w:t>
      </w:r>
      <w:r w:rsidR="00F93B58">
        <w:t>in ecological systems</w:t>
      </w:r>
      <w:r w:rsidR="002B0FBF">
        <w:t>,</w:t>
      </w:r>
      <w:r w:rsidR="002E34D8">
        <w:t xml:space="preserve"> and</w:t>
      </w:r>
      <w:r w:rsidR="002B0FBF">
        <w:t xml:space="preserve"> particularly in Pacific</w:t>
      </w:r>
      <w:r>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instrText xml:space="preserve"> ADDIN EN.CITE </w:instrTex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instrText xml:space="preserve"> ADDIN EN.CITE.DATA </w:instrText>
      </w:r>
      <w:r w:rsidR="00F93B58">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rsidR="002B0FBF">
        <w:t>,</w:t>
      </w:r>
      <w:r>
        <w:t xml:space="preserve"> estimates of portfolio effects have generally focused on the relative</w:t>
      </w:r>
      <w:r w:rsidR="00044112">
        <w:t xml:space="preserve"> </w:t>
      </w:r>
      <w:r>
        <w:t xml:space="preserve">costs of losing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4E0329">
        <w:instrText xml:space="preserve"> ADDIN EN.CITE </w:instrText>
      </w:r>
      <w:r w:rsidR="00F93B58" w:rsidRPr="004E0329">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4E0329">
        <w:instrText xml:space="preserve"> ADDIN EN.CITE.DATA </w:instrText>
      </w:r>
      <w:r w:rsidR="00F93B58" w:rsidRPr="004E0329">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 xml:space="preserve">ects, particularly </w:t>
      </w:r>
      <w:r w:rsidR="00F70F29">
        <w:t>given that many fish populations, including salmon, exhibit evidence of reduced productivity</w:t>
      </w:r>
      <w:r w:rsidR="007579DE">
        <w:t xml:space="preserve"> (Dal REF). </w:t>
      </w:r>
      <w:r w:rsidR="00BE3900">
        <w:t xml:space="preserve">For example, high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However, periodic years of high abundance will simultaneously create incentives to maintain harvesting capacity, unlike a scenario where exploitable biomass declines predictably. </w:t>
      </w:r>
      <w:r w:rsidR="00C12967">
        <w:t xml:space="preserve">Intuitively the negative effects of increased </w:t>
      </w:r>
      <w:r w:rsidR="00E314B6">
        <w:t xml:space="preserve">component </w:t>
      </w:r>
      <w:r w:rsidR="00C12967">
        <w:t xml:space="preserve">variability </w:t>
      </w:r>
      <w:r w:rsidR="00E314B6">
        <w:t>will</w:t>
      </w:r>
      <w:r w:rsidR="00C21A57">
        <w:t xml:space="preserve"> </w:t>
      </w:r>
      <w:r w:rsidR="00C12967">
        <w:t>be magnified by h</w:t>
      </w:r>
      <w:r w:rsidR="00BE3900">
        <w:t>igh level</w:t>
      </w:r>
      <w:r w:rsidR="00C12967">
        <w:t xml:space="preserve">s of synchrony, which </w:t>
      </w:r>
      <w:r w:rsidR="00E314B6">
        <w:t>will</w:t>
      </w:r>
      <w:r w:rsidR="00C12967">
        <w:t xml:space="preserve"> increase the like</w:t>
      </w:r>
      <w:r w:rsidR="008C1951">
        <w:t>lihood that a larger proportion of the aggregate is at low abundance</w:t>
      </w:r>
      <w:r w:rsidR="00E314B6">
        <w:t xml:space="preserve"> </w:t>
      </w:r>
      <w:r w:rsidR="00302934">
        <w:t xml:space="preserve">in any given period, </w:t>
      </w:r>
      <w:r w:rsidR="00E314B6">
        <w:t>limit</w:t>
      </w:r>
      <w:r w:rsidR="00302934">
        <w:t>ing</w:t>
      </w:r>
      <w:r w:rsidR="00E314B6">
        <w:t xml:space="preserve"> the number of stocks harvesters can sustainably exploit</w:t>
      </w:r>
      <w:r w:rsidR="00C12967">
        <w:t>.</w:t>
      </w:r>
      <w:r w:rsidR="00E314B6">
        <w:t xml:space="preserve"> </w:t>
      </w:r>
    </w:p>
    <w:p w14:paraId="15795BB2" w14:textId="167BEF78" w:rsidR="002B460B" w:rsidRDefault="00D413CD" w:rsidP="00182788">
      <w:pPr>
        <w:ind w:firstLine="720"/>
      </w:pPr>
      <w:r>
        <w:t xml:space="preserve">Fraser River sockeye salmon, </w:t>
      </w:r>
      <w:r w:rsidR="008C1951">
        <w:t>a</w:t>
      </w:r>
      <w:r>
        <w:t xml:space="preserve"> diverse</w:t>
      </w:r>
      <w:r w:rsidR="006A4872">
        <w:t xml:space="preserve"> Pacific salmon</w:t>
      </w:r>
      <w:r>
        <w:t xml:space="preserve"> </w:t>
      </w:r>
      <w:proofErr w:type="spellStart"/>
      <w:r>
        <w:t>metapopulation</w:t>
      </w:r>
      <w:proofErr w:type="spellEnd"/>
      <w:r>
        <w:t xml:space="preserve"> located in southern British Columbia</w:t>
      </w:r>
      <w:r w:rsidR="002B460B">
        <w:t xml:space="preserve">, provide a </w:t>
      </w:r>
      <w:r w:rsidR="004F1724">
        <w:t>relevant</w:t>
      </w:r>
      <w:r w:rsidR="00DE08F6">
        <w:t xml:space="preserve"> example of</w:t>
      </w:r>
      <w:r w:rsidR="002B460B">
        <w:t xml:space="preserve"> </w:t>
      </w:r>
      <w:r w:rsidR="00DE08F6">
        <w:t>how</w:t>
      </w:r>
      <w:r w:rsidR="002B460B">
        <w:t xml:space="preserve"> trade-offs</w:t>
      </w:r>
      <w:r w:rsidR="00DE08F6">
        <w:t xml:space="preserve"> between conservation and management objectives may be influenced by patterns of variability and synchrony</w:t>
      </w:r>
      <w:r>
        <w:t xml:space="preserve">. Fraser River sockeye salmon </w:t>
      </w:r>
      <w:r w:rsidR="00DE08F6">
        <w:t>have been harvested</w:t>
      </w:r>
      <w:r>
        <w:t xml:space="preserve"> in </w:t>
      </w:r>
      <w:r w:rsidR="004F1724">
        <w:t xml:space="preserve">commercial marine </w:t>
      </w:r>
      <w:r w:rsidR="002B460B">
        <w:t>fisheries</w:t>
      </w:r>
      <w:r w:rsidR="00DE08F6">
        <w:t xml:space="preserve"> for over a century</w:t>
      </w:r>
      <w:r w:rsidR="007579DE">
        <w:t xml:space="preserve"> and d</w:t>
      </w:r>
      <w:r w:rsidR="004F1724">
        <w:t>espite dramatic decrea</w:t>
      </w:r>
      <w:r w:rsidR="003031CA">
        <w:t>ses in exploitation rate (from ~80% prior to 1990 to ~30% since 2000</w:t>
      </w:r>
      <w:r w:rsidR="004F1724">
        <w:t xml:space="preserve">), </w:t>
      </w:r>
      <w:r w:rsidR="007579DE">
        <w:t>mean productivity of the aggregate declined</w:t>
      </w:r>
      <w:r w:rsidR="004F1724">
        <w:t xml:space="preserve"> beginning in the 1990s. </w:t>
      </w:r>
      <w:r w:rsidR="00CD0FAC">
        <w:t xml:space="preserve">Although there are some signs </w:t>
      </w:r>
      <w:r w:rsidR="007579DE">
        <w:t>of recovery</w:t>
      </w:r>
      <w:r w:rsidR="00CD0FAC">
        <w:t xml:space="preserve"> in recent years,</w:t>
      </w:r>
      <w:r w:rsidR="004F1724">
        <w:t xml:space="preserve"> </w:t>
      </w:r>
      <w:r w:rsidR="00CD0FAC">
        <w:t>recruitment</w:t>
      </w:r>
      <w:r w:rsidR="004F1724">
        <w:t xml:space="preserve"> </w:t>
      </w:r>
      <w:r w:rsidR="00CD0FAC">
        <w:t>continues to oscillate from high to low abundance</w:t>
      </w:r>
      <w:r w:rsidR="00DE08F6">
        <w:t xml:space="preserve"> (REF)</w:t>
      </w:r>
      <w:r w:rsidR="004F1724">
        <w:t>.</w:t>
      </w:r>
      <w:r w:rsidR="00CD0FAC">
        <w:t xml:space="preserve"> To some extent patterns in</w:t>
      </w:r>
      <w:r w:rsidR="003031CA">
        <w:t xml:space="preserve"> aggregate</w:t>
      </w:r>
      <w:r w:rsidR="00CD0FAC">
        <w:t xml:space="preserve"> recruitment are </w:t>
      </w:r>
      <w:r w:rsidR="003031CA">
        <w:t>driven by the dynamics of a subset of populations that have cycled for decades</w:t>
      </w:r>
      <w:r w:rsidR="00CD0FAC">
        <w:t>; however historically</w:t>
      </w:r>
      <w:r w:rsidR="003031CA">
        <w:t xml:space="preserve"> most</w:t>
      </w:r>
      <w:r w:rsidR="00CD0FAC">
        <w:t xml:space="preserve"> off-cycle years were sufficient</w:t>
      </w:r>
      <w:r w:rsidR="00507319">
        <w:t>ly</w:t>
      </w:r>
      <w:r w:rsidR="00CD0FAC">
        <w:t xml:space="preserve"> abundant to </w:t>
      </w:r>
      <w:r w:rsidR="00507319">
        <w:t>sustain commercial</w:t>
      </w:r>
      <w:r w:rsidR="00CD0FAC">
        <w:t xml:space="preserve"> harvest (REF).</w:t>
      </w:r>
      <w:r w:rsidR="004F1724">
        <w:t xml:space="preserve"> </w:t>
      </w:r>
      <w:r w:rsidR="00D01D2B">
        <w:t>Further complicating matters</w:t>
      </w:r>
      <w:r w:rsidR="004F1724">
        <w:t xml:space="preserve">, several populations within the aggregate </w:t>
      </w:r>
      <w:r w:rsidR="00CD0FAC">
        <w:t>continue to be</w:t>
      </w:r>
      <w:r w:rsidR="004F1724">
        <w:t xml:space="preserve"> assessed as below </w:t>
      </w:r>
      <w:r w:rsidR="00CD0FAC">
        <w:t xml:space="preserve">their </w:t>
      </w:r>
      <w:r w:rsidR="004F1724">
        <w:t xml:space="preserve">biological benchmarks (REF). </w:t>
      </w:r>
      <w:r w:rsidR="00D01D2B">
        <w:t>Since</w:t>
      </w:r>
      <w:r w:rsidR="004F1724">
        <w:t xml:space="preserve"> Fraser River </w:t>
      </w:r>
      <w:r w:rsidR="00CD0FAC">
        <w:t>sockeye</w:t>
      </w:r>
      <w:r w:rsidR="000E43A3">
        <w:t xml:space="preserve"> salmon</w:t>
      </w:r>
      <w:r w:rsidR="00CD0FAC">
        <w:t xml:space="preserve"> fisheries</w:t>
      </w:r>
      <w:r w:rsidR="00D01D2B">
        <w:t>, like most Pacific salmon fisheries,</w:t>
      </w:r>
      <w:r w:rsidR="00CD0FAC">
        <w:t xml:space="preserve"> are largely mixed-</w:t>
      </w:r>
      <w:r w:rsidR="004F1724">
        <w:t>stock</w:t>
      </w:r>
      <w:r w:rsidR="00D01D2B">
        <w:t xml:space="preserve">, </w:t>
      </w:r>
      <w:r w:rsidR="00CD0FAC">
        <w:t xml:space="preserve">abundant and depleted populations </w:t>
      </w:r>
      <w:r w:rsidR="00D01D2B">
        <w:t>are inevitably</w:t>
      </w:r>
      <w:r w:rsidR="00CD0FAC">
        <w:t xml:space="preserve"> harvested simultaneously</w:t>
      </w:r>
      <w:r w:rsidR="00DE08F6">
        <w:t xml:space="preserve"> (REF). </w:t>
      </w:r>
      <w:r w:rsidR="00CD0FAC">
        <w:t>Altogether these factors create a delicate framework</w:t>
      </w:r>
      <w:r w:rsidR="00DE08F6">
        <w:t xml:space="preserve">, </w:t>
      </w:r>
      <w:r w:rsidR="00CD0FAC">
        <w:t xml:space="preserve">where managers must balance conservation goals with the desire to sustain historically important fisheries, particularly in </w:t>
      </w:r>
      <w:r w:rsidR="002B460B">
        <w:t xml:space="preserve">periodic years of </w:t>
      </w:r>
      <w:r w:rsidR="00CD0FAC">
        <w:t>high abundance. Changes in patterns of va</w:t>
      </w:r>
      <w:bookmarkStart w:id="0" w:name="_GoBack"/>
      <w:bookmarkEnd w:id="0"/>
      <w:r w:rsidR="00CD0FAC">
        <w:t xml:space="preserve">riability and synchrony may increase tension </w:t>
      </w:r>
      <w:r w:rsidR="00CD0FAC">
        <w:lastRenderedPageBreak/>
        <w:t>between these trade-offs as the fishery becomes increasingly concentrated on a smaller number of abundant years.</w:t>
      </w:r>
    </w:p>
    <w:p w14:paraId="033E85F8" w14:textId="11D94666" w:rsidR="000835A0" w:rsidRDefault="002B460B" w:rsidP="00DE08F6">
      <w:pPr>
        <w:ind w:firstLine="720"/>
      </w:pPr>
      <w:r>
        <w:t>In this study, we</w:t>
      </w:r>
      <w:r w:rsidR="00D01D2B">
        <w:t xml:space="preserve"> explore the consequences of changes in aggregate variability on long-term conservation outcomes. We first</w:t>
      </w:r>
      <w:r>
        <w:t xml:space="preserve"> decompose aggregate temporal variability in </w:t>
      </w:r>
      <w:r w:rsidR="00D01D2B">
        <w:t>the Fraser River sockeye</w:t>
      </w:r>
      <w:r>
        <w:t xml:space="preserve"> salmon </w:t>
      </w:r>
      <w:proofErr w:type="spellStart"/>
      <w:r>
        <w:t>metapopulation</w:t>
      </w:r>
      <w:proofErr w:type="spellEnd"/>
      <w:r>
        <w:t xml:space="preserve"> into component variability and synchrony</w:t>
      </w:r>
      <w:r w:rsidR="00D01D2B">
        <w:t>, and</w:t>
      </w:r>
      <w:r>
        <w:t xml:space="preserve"> then use stochastic simulations to evaluate the long-term consequences of these changes on a suite of management objectives. </w:t>
      </w:r>
      <w:r w:rsidR="00DE08F6">
        <w:t>Specifically,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 xml:space="preserve">exploitation on the dynamics of these populations, </w:t>
      </w:r>
      <w:r w:rsidR="00D01D2B">
        <w:t>our</w:t>
      </w:r>
      <w:r w:rsidR="00E06BE2">
        <w:t xml:space="preserve"> clo</w:t>
      </w:r>
      <w:r w:rsidR="00370CB7">
        <w:t>sed-loop simulation incorporate</w:t>
      </w:r>
      <w:r w:rsidR="00D01D2B">
        <w:t>s</w:t>
      </w:r>
      <w:r w:rsidR="00E06BE2">
        <w:t xml:space="preserve"> multiple sources of mortality, as well as a realistic proxy of the current harvest control rule used to </w:t>
      </w:r>
      <w:r w:rsidR="00D01D2B">
        <w:t>manage exploitation</w:t>
      </w:r>
      <w:r w:rsidR="00E06BE2">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5B561A5"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Pacific salmon populations exhibit local adaptations and are typically managed to conserve life history diversity (</w:t>
      </w:r>
      <w:proofErr w:type="spellStart"/>
      <w:r w:rsidR="000E43A3">
        <w:t>Holtby</w:t>
      </w:r>
      <w:proofErr w:type="spellEnd"/>
      <w:r w:rsidR="000E43A3">
        <w:t xml:space="preserve"> REF</w:t>
      </w:r>
      <w:r w:rsidR="00714028">
        <w:t xml:space="preserve">).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0E43A3">
        <w:t xml:space="preserve"> (Grant REF; </w:t>
      </w:r>
      <w:proofErr w:type="spellStart"/>
      <w:r w:rsidR="000E43A3">
        <w:t>Holtby</w:t>
      </w:r>
      <w:proofErr w:type="spellEnd"/>
      <w:r w:rsidR="000E43A3">
        <w:t xml:space="preserve"> REF)</w:t>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0E43A3">
        <w:t xml:space="preserve"> (</w:t>
      </w:r>
      <w:proofErr w:type="spellStart"/>
      <w:r w:rsidR="000E43A3">
        <w:t>Holtby</w:t>
      </w:r>
      <w:proofErr w:type="spellEnd"/>
      <w:r w:rsidR="000E43A3">
        <w:t xml:space="preserve"> REF)</w:t>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timing</w:t>
      </w:r>
      <w:r w:rsidR="000E43A3">
        <w:t xml:space="preserve"> (Grant REF)</w:t>
      </w:r>
      <w:r w:rsidR="00992367">
        <w:t xml:space="preserve">.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w:t>
      </w:r>
    </w:p>
    <w:p w14:paraId="750ECEF8" w14:textId="0FCED250" w:rsidR="00C72C7A" w:rsidRDefault="00C72C7A" w:rsidP="00C72C7A">
      <w:pPr>
        <w:ind w:firstLine="720"/>
      </w:pPr>
      <w:r>
        <w:t xml:space="preserve">Although the majority of Fraser River sockeye salmon were historically harvested in Canadian marine fisheries, </w:t>
      </w:r>
      <w:r w:rsidR="000E43A3">
        <w:t xml:space="preserve">adult </w:t>
      </w:r>
      <w:r>
        <w:t>mortality</w:t>
      </w:r>
      <w:r w:rsidR="000E43A3">
        <w:t xml:space="preserve"> </w:t>
      </w:r>
      <w:r>
        <w:t>from at least three other sources can be substantial</w:t>
      </w:r>
      <w:r w:rsidR="000E43A3" w:rsidRPr="000E43A3">
        <w:t xml:space="preserve"> </w:t>
      </w:r>
      <w:r w:rsidR="000E43A3">
        <w:t>prior to spawning</w:t>
      </w:r>
      <w:r>
        <w:t xml:space="preserve">. First, </w:t>
      </w:r>
      <w:r w:rsidR="000E43A3">
        <w:t xml:space="preserve">an American commercial fishery </w:t>
      </w:r>
      <w:r>
        <w:t>harvest</w:t>
      </w:r>
      <w:r w:rsidR="000E43A3">
        <w:t>s</w:t>
      </w:r>
      <w:r>
        <w:t xml:space="preserve"> returning sockeye salmon </w:t>
      </w:r>
      <w:r w:rsidR="000E43A3">
        <w:t>in waters between Washington and Vancouver Island</w:t>
      </w:r>
      <w:r>
        <w:t xml:space="preserve">. Second, individuals that pass through American and Canadian marine fisheries can experience high rates of </w:t>
      </w:r>
      <w:proofErr w:type="spellStart"/>
      <w:r>
        <w:t>en</w:t>
      </w:r>
      <w:proofErr w:type="spellEnd"/>
      <w:r>
        <w:t xml:space="preserve"> route mortality</w:t>
      </w:r>
      <w:r w:rsidR="000E43A3">
        <w:t xml:space="preserve"> during in-river migrations</w:t>
      </w:r>
      <w:r>
        <w:t xml:space="preserve">, presumably due to a combination of natural mortality (thermal stress, pathogen infection, </w:t>
      </w:r>
      <w:proofErr w:type="gramStart"/>
      <w:r>
        <w:t>predation</w:t>
      </w:r>
      <w:proofErr w:type="gramEnd"/>
      <w:r>
        <w:t xml:space="preserve">) and unreported harvest </w:t>
      </w:r>
      <w:r>
        <w:lastRenderedPageBreak/>
        <w:t xml:space="preserve">(REF). </w:t>
      </w:r>
      <w:proofErr w:type="spellStart"/>
      <w:r>
        <w:t>En</w:t>
      </w:r>
      <w:proofErr w:type="spellEnd"/>
      <w:r>
        <w:t xml:space="preserve"> route mortality, which can exceed 60% in certain years (REF), appears to be correlated with migration phenology</w:t>
      </w:r>
      <w:r w:rsidR="000E43A3">
        <w:t xml:space="preserve"> (REF)</w:t>
      </w:r>
      <w:r>
        <w:t xml:space="preserve">, in-river temperatures (REF), and freshwater flow (REF). Finally, Fraser River sockeye may be harvested in </w:t>
      </w:r>
      <w:r w:rsidR="000E43A3">
        <w:t>various</w:t>
      </w:r>
      <w:r>
        <w:t xml:space="preserve"> in-river fisheries (e.g. food, social and cer</w:t>
      </w:r>
      <w:r w:rsidR="000E43A3">
        <w:t>emonial First Nations fisheries; recreational;</w:t>
      </w:r>
      <w:r>
        <w:t xml:space="preserve"> terminal demonstration fisheries), which are closer to spawning grounds and therefore more stock-specific.</w:t>
      </w:r>
    </w:p>
    <w:p w14:paraId="667FFEEE" w14:textId="07633BF5"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E49C53F"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78C0233D"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aggregate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424B71">
        <w:t xml:space="preserve"> As a result, it can be readily used to compare systems with disparate underlying dynamics or compositions.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lastRenderedPageBreak/>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5B70053"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 xml:space="preserve">We used </w:t>
      </w:r>
      <w:r w:rsidR="00424B71">
        <w:t>log(R/S) as an index of productivity.</w:t>
      </w:r>
      <w:r w:rsidR="00BC14E9">
        <w:t xml:space="preserve"> For most CUs this</w:t>
      </w:r>
      <w:r w:rsidR="00424B71">
        <w:t xml:space="preserve"> metric was derived from a Ricker</w:t>
      </w:r>
      <w:r w:rsidR="00BC14E9">
        <w:t xml:space="preserve"> model:</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5EE2D509"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9322F4">
        <w:t>This model can be arranged to account for normally distributed 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 xml:space="preserve"> as</w:t>
      </w:r>
    </w:p>
    <w:p w14:paraId="5AC9D7DA" w14:textId="75F6D7FC" w:rsidR="009322F4" w:rsidRDefault="004E2EDE" w:rsidP="005D6C13">
      <w:pPr>
        <w:rPr>
          <w:rFonts w:eastAsiaTheme="minorEastAsia"/>
        </w:rPr>
      </w:pPr>
      <w:r>
        <w:t>Equation 5</w:t>
      </w:r>
      <w:r>
        <w:tab/>
      </w:r>
      <w:r w:rsidR="00D136FD">
        <w:rPr>
          <w:rFonts w:eastAsiaTheme="minorEastAsia"/>
        </w:rPr>
        <w:tab/>
      </w:r>
      <w:r w:rsidR="00D136F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ab/>
      </w:r>
    </w:p>
    <w:p w14:paraId="34887F4F" w14:textId="35A1F156" w:rsidR="005D6C13" w:rsidRPr="009322F4" w:rsidRDefault="009322F4" w:rsidP="009322F4">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3CB63127" w14:textId="77777777" w:rsidR="005D6C13" w:rsidRDefault="005D6C13" w:rsidP="005D6C13">
      <w:pPr>
        <w:jc w:val="center"/>
        <w:rPr>
          <w:rFonts w:eastAsiaTheme="minorEastAsia"/>
        </w:rPr>
      </w:pPr>
    </w:p>
    <w:p w14:paraId="78C68F26" w14:textId="3EB622DF"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p>
    <w:p w14:paraId="2C77A1F0" w14:textId="77777777" w:rsidR="00A91A4F" w:rsidRDefault="00A91A4F" w:rsidP="00A91A4F">
      <w:pPr>
        <w:rPr>
          <w:i/>
        </w:rPr>
      </w:pPr>
      <w:r>
        <w:rPr>
          <w:i/>
        </w:rPr>
        <w:t>Forward simulation</w:t>
      </w:r>
    </w:p>
    <w:p w14:paraId="41F59EDA" w14:textId="00C3574F" w:rsidR="008518AD" w:rsidRDefault="008518AD" w:rsidP="00A91A4F">
      <w:pPr>
        <w:rPr>
          <w:i/>
        </w:rPr>
      </w:pPr>
      <w:r>
        <w:rPr>
          <w:i/>
        </w:rPr>
        <w:t xml:space="preserve">Process </w:t>
      </w:r>
      <w:proofErr w:type="spellStart"/>
      <w:r>
        <w:rPr>
          <w:i/>
        </w:rPr>
        <w:t>submodel</w:t>
      </w:r>
      <w:proofErr w:type="spellEnd"/>
    </w:p>
    <w:p w14:paraId="04FE67ED" w14:textId="62ADF6DE"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F26586"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0AD91974" w:rsidR="004F6C38" w:rsidRDefault="00F26586"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F26586"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5151550A" w:rsidR="004F6C38"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061B4B8E" w:rsidR="00D20FCD" w:rsidRDefault="0051250B" w:rsidP="002800A9">
      <w:pPr>
        <w:ind w:firstLine="720"/>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D20FCD">
        <w:rPr>
          <w:rFonts w:eastAsiaTheme="minorEastAsia"/>
        </w:rPr>
        <w:t>(REF); however,</w:t>
      </w:r>
      <w:r>
        <w:t xml:space="preserve"> </w:t>
      </w:r>
      <w:r w:rsidR="00D20FCD">
        <w:t>r</w:t>
      </w:r>
      <w:r>
        <w:t>ather than manipulate per capita productivity directly,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 xml:space="preserve">y-tailed) in a subset of years. Thus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p>
    <w:p w14:paraId="4013A24E" w14:textId="22AD67A6" w:rsidR="00D20FCD" w:rsidRPr="008518AD" w:rsidRDefault="00F26586" w:rsidP="00D20FCD">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 xml:space="preserve">Student </m:t>
          </m:r>
          <m:r>
            <w:rPr>
              <w:rFonts w:ascii="Cambria Math" w:hAnsi="Cambria Math"/>
            </w:rPr>
            <m:t>t</m:t>
          </m:r>
          <m:d>
            <m:dPr>
              <m:ctrlPr>
                <w:rPr>
                  <w:rFonts w:ascii="Cambria Math" w:hAnsi="Cambria Math"/>
                </w:rPr>
              </m:ctrlPr>
            </m:dPr>
            <m:e>
              <m:r>
                <m:rPr>
                  <m:sty m:val="p"/>
                </m:rPr>
                <w:rPr>
                  <w:rFonts w:ascii="Cambria Math" w:hAnsi="Cambria Math"/>
                </w:rPr>
                <m:t xml:space="preserve"> 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r>
                <m:rPr>
                  <m:sty m:val="p"/>
                </m:rPr>
                <w:rPr>
                  <w:rFonts w:ascii="Cambria Math" w:hAnsi="Cambria Math"/>
                </w:rPr>
                <m:t xml:space="preserve"> </m:t>
              </m:r>
              <m:ctrlPr>
                <w:rPr>
                  <w:rFonts w:ascii="Cambria Math" w:eastAsiaTheme="minorEastAsia" w:hAnsi="Cambria Math"/>
                  <w:i/>
                </w:rPr>
              </m:ctrlPr>
            </m:e>
          </m:d>
        </m:oMath>
      </m:oMathPara>
    </w:p>
    <w:p w14:paraId="558FAB95" w14:textId="23433C07" w:rsidR="0051250B" w:rsidRDefault="00D20FCD" w:rsidP="008518AD">
      <w:pPr>
        <w:rPr>
          <w:rFonts w:eastAsiaTheme="minorEastAsia"/>
        </w:rPr>
      </w:pPr>
      <w:r>
        <w:t xml:space="preserve">Where </w:t>
      </w:r>
      <w:r w:rsidR="007014D4">
        <w:rPr>
          <w:b/>
        </w:rPr>
        <w:t>V</w:t>
      </w:r>
      <w:r w:rsidR="008518AD">
        <w:t xml:space="preserve"> is defined as above,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proofErr w:type="spellStart"/>
      <w:r w:rsidR="007014D4">
        <w:t>ower</w:t>
      </w:r>
      <w:proofErr w:type="spellEnd"/>
      <w:r w:rsidR="007014D4">
        <w:t xml:space="preserve">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approaches the normal distribution (Anderson ref). </w:t>
      </w:r>
      <w:r w:rsidR="008518AD">
        <w:t xml:space="preserve">When </w:t>
      </w:r>
      <m:oMath>
        <m:r>
          <w:rPr>
            <w:rFonts w:ascii="Cambria Math" w:hAnsi="Cambria Math"/>
          </w:rPr>
          <m:t>γ</m:t>
        </m:r>
      </m:oMath>
      <w:r w:rsidR="008518AD">
        <w:t xml:space="preserve"> is negative the distribution is left-skewed, when it is positive it is right-skewed. We assigned relatively moderate values to both </w:t>
      </w:r>
      <w:proofErr w:type="gramStart"/>
      <w:r w:rsidR="008518AD">
        <w:t xml:space="preserve">parameters </w:t>
      </w:r>
      <w:proofErr w:type="gramEnd"/>
      <m:oMath>
        <m:r>
          <w:rPr>
            <w:rFonts w:ascii="Cambria Math" w:hAnsi="Cambria Math"/>
          </w:rPr>
          <m:t>(v=7;γ=-0.5)</m:t>
        </m:r>
      </m:oMath>
      <w:r w:rsidR="008518AD">
        <w:rPr>
          <w:rFonts w:eastAsiaTheme="minorEastAsia"/>
        </w:rPr>
        <w:t xml:space="preserve">. In the low productivity scenario we sampled from the Student </w:t>
      </w:r>
      <w:r w:rsidR="008518AD">
        <w:rPr>
          <w:rFonts w:eastAsiaTheme="minorEastAsia"/>
          <w:i/>
        </w:rPr>
        <w:t>t</w:t>
      </w:r>
      <w:r w:rsidR="008518AD">
        <w:rPr>
          <w:rFonts w:eastAsiaTheme="minorEastAsia"/>
        </w:rPr>
        <w:t xml:space="preserve"> distribution with a mean frequency of 0.3, resulting in an increased likelihood of recruitment failures in approximately one third of years.</w:t>
      </w:r>
    </w:p>
    <w:p w14:paraId="3C089EA2" w14:textId="4E893501" w:rsidR="008518AD" w:rsidRPr="008518AD" w:rsidRDefault="008518AD" w:rsidP="008518AD">
      <w:pPr>
        <w:rPr>
          <w:i/>
        </w:rPr>
      </w:pPr>
      <w:r>
        <w:rPr>
          <w:rFonts w:eastAsiaTheme="minorEastAsia"/>
          <w:i/>
        </w:rPr>
        <w:t xml:space="preserve">Management </w:t>
      </w:r>
      <w:proofErr w:type="spellStart"/>
      <w:r>
        <w:rPr>
          <w:rFonts w:eastAsiaTheme="minorEastAsia"/>
          <w:i/>
        </w:rPr>
        <w:t>submodel</w:t>
      </w:r>
      <w:proofErr w:type="spellEnd"/>
    </w:p>
    <w:p w14:paraId="4FE1128E" w14:textId="2896A319" w:rsidR="002800A9" w:rsidRPr="00BF0BBF" w:rsidRDefault="005A0A00" w:rsidP="00DA242F">
      <w:pPr>
        <w:ind w:firstLine="720"/>
      </w:pPr>
      <w:r>
        <w:t>To adequately represent the framework used to manage Fraser River sockeye salmon w</w:t>
      </w:r>
      <w:r w:rsidR="0045142B">
        <w:t>e modeled four sequential sources of mortality</w:t>
      </w:r>
      <w:r w:rsidR="00FE3E50">
        <w:t xml:space="preserve">: </w:t>
      </w:r>
      <w:r w:rsidR="0045142B">
        <w:t xml:space="preserve">American fisheries, Canadian mixed-stock fisheries, </w:t>
      </w:r>
      <w:proofErr w:type="spellStart"/>
      <w:r w:rsidR="0045142B">
        <w:t>en</w:t>
      </w:r>
      <w:proofErr w:type="spellEnd"/>
      <w:r w:rsidR="0045142B">
        <w:t xml:space="preserve">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166B5A">
        <w:t xml:space="preserve"> (TAC)</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 xml:space="preserve">among years due to </w:t>
      </w:r>
      <w:r w:rsidR="00211AC2">
        <w:t xml:space="preserve">persistent </w:t>
      </w:r>
      <w:r>
        <w:t>cycles present in several CUs</w:t>
      </w:r>
      <w:r w:rsidR="002800A9">
        <w:t xml:space="preserve"> and</w:t>
      </w:r>
      <w:r>
        <w:t xml:space="preserve"> are </w:t>
      </w:r>
      <w:r>
        <w:lastRenderedPageBreak/>
        <w:t>typically adjusted downwards to account for mortality during upstream migration.</w:t>
      </w:r>
      <w:r w:rsidR="00192B01">
        <w:t xml:space="preserve"> </w:t>
      </w:r>
      <w:commentRangeStart w:id="1"/>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1"/>
      <w:r w:rsidR="002800A9">
        <w:rPr>
          <w:rStyle w:val="CommentReference"/>
        </w:rPr>
        <w:commentReference w:id="1"/>
      </w:r>
    </w:p>
    <w:p w14:paraId="713E5E3C" w14:textId="3A9B0BFB" w:rsidR="00422BF4" w:rsidRPr="00422BF4" w:rsidRDefault="00DA242F" w:rsidP="00D40465">
      <w:pPr>
        <w:rPr>
          <w:i/>
        </w:rPr>
      </w:pPr>
      <w:r>
        <w:rPr>
          <w:i/>
        </w:rPr>
        <w:t>Component variability and synchrony “treatments”</w:t>
      </w:r>
    </w:p>
    <w:p w14:paraId="6C0A86CB" w14:textId="2FC3DA21" w:rsidR="002800A9"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7C1550">
        <w:rPr>
          <w:rFonts w:eastAsiaTheme="minorEastAsia"/>
          <w:bCs/>
          <w:color w:val="222222"/>
          <w:shd w:val="clear" w:color="auto" w:fill="FFFFFF"/>
        </w:rPr>
        <w:t xml:space="preserve"> (Table 1)</w:t>
      </w:r>
      <w:r w:rsidR="007C1550">
        <w:rPr>
          <w:rFonts w:eastAsiaTheme="minorEastAsia"/>
        </w:rPr>
        <w:t xml:space="preserve">. Each operating model represents a </w:t>
      </w:r>
      <w:r w:rsidR="009322F4">
        <w:rPr>
          <w:rFonts w:eastAsiaTheme="minorEastAsia"/>
        </w:rPr>
        <w:t>distinct</w:t>
      </w:r>
      <w:r w:rsidR="007C1550">
        <w:rPr>
          <w:rFonts w:eastAsiaTheme="minorEastAsia"/>
        </w:rPr>
        <w:t xml:space="preserve"> component variabi</w:t>
      </w:r>
      <w:r w:rsidR="00DA242F">
        <w:rPr>
          <w:rFonts w:eastAsiaTheme="minorEastAsia"/>
        </w:rPr>
        <w:t xml:space="preserve">lity and synchrony “treatment”. We created component variance treatments by adjusting CU-specific estimates of process variance </w:t>
      </w:r>
      <m:oMath>
        <m:r>
          <w:rPr>
            <w:rFonts w:ascii="Cambria Math" w:hAnsi="Cambria Math"/>
          </w:rPr>
          <m:t>σ</m:t>
        </m:r>
      </m:oMath>
      <w:r w:rsidR="00211AC2">
        <w:rPr>
          <w:rFonts w:eastAsiaTheme="minorEastAsia"/>
        </w:rPr>
        <w:t xml:space="preserve"> up or down – for example, </w:t>
      </w:r>
      <w:r w:rsidR="00DA242F">
        <w:rPr>
          <w:rFonts w:eastAsiaTheme="minorEastAsia"/>
        </w:rPr>
        <w:t>the “high CV</w:t>
      </w:r>
      <w:r w:rsidR="00DA242F">
        <w:rPr>
          <w:rFonts w:eastAsiaTheme="minorEastAsia"/>
          <w:vertAlign w:val="subscript"/>
        </w:rPr>
        <w:t>C</w:t>
      </w:r>
      <w:r w:rsidR="00DA242F">
        <w:rPr>
          <w:rFonts w:eastAsiaTheme="minorEastAsia"/>
        </w:rPr>
        <w:t xml:space="preserve">” </w:t>
      </w:r>
      <w:r w:rsidR="00211AC2">
        <w:rPr>
          <w:rFonts w:eastAsiaTheme="minorEastAsia"/>
        </w:rPr>
        <w:t xml:space="preserve">treatment </w:t>
      </w:r>
      <w:r w:rsidR="00DA242F">
        <w:rPr>
          <w:rFonts w:eastAsiaTheme="minorEastAsia"/>
        </w:rPr>
        <w:t xml:space="preserve">represents a 50% increase in process variance. We created synchrony treatments by setting the correlation coefficient </w:t>
      </w:r>
      <m:oMath>
        <m:r>
          <w:rPr>
            <w:rFonts w:ascii="Cambria Math" w:hAnsi="Cambria Math"/>
          </w:rPr>
          <m:t>ρ</m:t>
        </m:r>
      </m:oMath>
      <w:r w:rsidR="00DA242F">
        <w:t xml:space="preserve"> at values that produced </w:t>
      </w:r>
      <m:oMath>
        <m:r>
          <w:rPr>
            <w:rFonts w:ascii="Cambria Math" w:hAnsi="Cambria Math"/>
          </w:rPr>
          <m:t>φ</m:t>
        </m:r>
      </m:oMath>
      <w:r w:rsidR="00DA242F">
        <w:t xml:space="preserve"> va</w:t>
      </w:r>
      <w:proofErr w:type="spellStart"/>
      <w:r w:rsidR="00DA242F">
        <w:t>lues</w:t>
      </w:r>
      <w:proofErr w:type="spellEnd"/>
      <w:r w:rsidR="00DA242F">
        <w:t xml:space="preserve"> consistent with historical observations, current observations, or values moderately higher than present. </w:t>
      </w:r>
      <w:r w:rsidR="00422BF4">
        <w:t xml:space="preserve">We introduced additional stochasticity into the model via </w:t>
      </w:r>
      <w:proofErr w:type="spellStart"/>
      <w:r w:rsidR="00155B1C">
        <w:t>interannual</w:t>
      </w:r>
      <w:proofErr w:type="spellEnd"/>
      <w:r w:rsidR="00155B1C">
        <w:t xml:space="preserve"> </w:t>
      </w:r>
      <w:r w:rsidR="00422BF4">
        <w:t>variation in</w:t>
      </w:r>
      <w:r w:rsidR="009322F4">
        <w:t>:</w:t>
      </w:r>
      <w:r w:rsidR="00422BF4">
        <w:t xml:space="preserve"> age at maturity (lognormal), </w:t>
      </w:r>
      <w:r w:rsidR="007C1550">
        <w:t>in-season abundance</w:t>
      </w:r>
      <w:r w:rsidR="009322F4">
        <w:t xml:space="preserve"> estimates</w:t>
      </w:r>
      <w:r w:rsidR="007C1550">
        <w:t xml:space="preserve"> error</w:t>
      </w:r>
      <w:r w:rsidR="00422BF4">
        <w:t xml:space="preserve">, </w:t>
      </w:r>
      <w:proofErr w:type="spellStart"/>
      <w:r w:rsidR="00F07D48">
        <w:t>en</w:t>
      </w:r>
      <w:proofErr w:type="spellEnd"/>
      <w:r w:rsidR="00F07D48">
        <w:t xml:space="preserve">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0891A476" w14:textId="3FBE2EE8"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m:oMath>
        <m:r>
          <w:rPr>
            <w:rFonts w:ascii="Cambria Math" w:hAnsi="Cambria Math"/>
          </w:rPr>
          <m:t>φ</m:t>
        </m:r>
      </m:oMath>
      <w:r>
        <w:rPr>
          <w:rFonts w:ascii="Calibri" w:hAnsi="Calibri"/>
        </w:rPr>
        <w:t xml:space="preserve">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catch-based management objectives (Table X). The first conservation-based PM was r</w:t>
      </w:r>
      <w:r w:rsidR="00F07D48">
        <w:rPr>
          <w:rFonts w:ascii="Calibri" w:hAnsi="Calibri"/>
        </w:rPr>
        <w:t>ecruit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 xml:space="preserve">number of individuals (at the aggregate level, i.e. summed across CUs) that </w:t>
      </w:r>
      <w:r w:rsidR="00211AC2">
        <w:rPr>
          <w:rFonts w:ascii="Calibri" w:hAnsi="Calibri"/>
        </w:rPr>
        <w:t>were</w:t>
      </w:r>
      <w:r w:rsidR="00F07D48">
        <w:rPr>
          <w:rFonts w:ascii="Calibri" w:hAnsi="Calibri"/>
        </w:rPr>
        <w:t xml:space="preserve"> available to harvest or escape to spawning grounds each year. </w:t>
      </w:r>
      <w:r w:rsidR="000C51BA">
        <w:rPr>
          <w:rFonts w:ascii="Calibri" w:hAnsi="Calibri"/>
        </w:rPr>
        <w:t xml:space="preserve">The second and third 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 respectively</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0F2E0D">
        <w:t>e absence of fishing mortality (WSP ref, Holt ref). The equations used to estimate these metrics are presented in the appendix. Finally, we calculated the proportion of CUs extirpated at the end of the simulation period as an estimate of extinction risk.</w:t>
      </w:r>
    </w:p>
    <w:p w14:paraId="565EF24C" w14:textId="2627753B" w:rsidR="002800A9" w:rsidRDefault="00AF3F2B" w:rsidP="00D40465">
      <w:pPr>
        <w:rPr>
          <w:rFonts w:ascii="Calibri" w:hAnsi="Calibri"/>
        </w:rPr>
      </w:pPr>
      <w:r>
        <w:rPr>
          <w:rFonts w:ascii="Calibri" w:hAnsi="Calibri"/>
        </w:rPr>
        <w:tab/>
        <w:t xml:space="preserve">The catch-based PMs included median catch </w:t>
      </w:r>
      <w:r w:rsidR="00166B5A">
        <w:rPr>
          <w:rFonts w:ascii="Calibri" w:hAnsi="Calibri"/>
        </w:rPr>
        <w:t>during</w:t>
      </w:r>
      <w:r>
        <w:rPr>
          <w:rFonts w:ascii="Calibri" w:hAnsi="Calibri"/>
        </w:rPr>
        <w:t xml:space="preserve"> the simulation </w:t>
      </w:r>
      <w:r w:rsidR="00166B5A">
        <w:rPr>
          <w:rFonts w:ascii="Calibri" w:hAnsi="Calibri"/>
        </w:rPr>
        <w:t xml:space="preserve">period </w:t>
      </w:r>
      <w:r>
        <w:rPr>
          <w:rFonts w:ascii="Calibri" w:hAnsi="Calibri"/>
        </w:rPr>
        <w:t>as an analogue to recruit abun</w:t>
      </w:r>
      <w:r w:rsidR="00166B5A">
        <w:rPr>
          <w:rFonts w:ascii="Calibri" w:hAnsi="Calibri"/>
        </w:rPr>
        <w:t xml:space="preserve">dance, as well as three PMs associated with fishery benchmarks. The proportion of fisheries open was estimated as the proportion MUs with an abundance of recruits greater than the minimum escapement target (as determined by the harvest control rule described above). The PM represents the temporal mean of that proportion. The last two catch-based PMs are calculated as the proportion of </w:t>
      </w:r>
      <w:r w:rsidR="00166B5A">
        <w:rPr>
          <w:rFonts w:ascii="Calibri" w:hAnsi="Calibri"/>
        </w:rPr>
        <w:lastRenderedPageBreak/>
        <w:t>years during the simulation period where total allowable catch</w:t>
      </w:r>
      <w:r w:rsidR="00D16817">
        <w:rPr>
          <w:rFonts w:ascii="Calibri" w:hAnsi="Calibri"/>
        </w:rPr>
        <w:t xml:space="preserve"> (TAC) across all fisheries</w:t>
      </w:r>
      <w:r w:rsidR="00166B5A">
        <w:rPr>
          <w:rFonts w:ascii="Calibri" w:hAnsi="Calibri"/>
        </w:rPr>
        <w:t xml:space="preserve"> </w:t>
      </w:r>
      <w:r w:rsidR="00D16817">
        <w:rPr>
          <w:rFonts w:ascii="Calibri" w:hAnsi="Calibri"/>
        </w:rPr>
        <w:t xml:space="preserve">and MUs was greater than 500,000 and 1,000,000 fish. </w:t>
      </w:r>
      <w:commentRangeStart w:id="2"/>
      <w:r w:rsidR="00D16817">
        <w:rPr>
          <w:rFonts w:ascii="Calibri" w:hAnsi="Calibri"/>
        </w:rPr>
        <w:t>When TAC is below the smaller value, managers struggle to allocate sufficient quota to priority stakeholders (i.e. food, social, and ceremonial harvest for various First Nations). When TAC is above the larger value, managers are able to allocate some degree of catch to the commercial sector</w:t>
      </w:r>
      <w:commentRangeEnd w:id="2"/>
      <w:r w:rsidR="00D16817">
        <w:rPr>
          <w:rStyle w:val="CommentReference"/>
        </w:rPr>
        <w:commentReference w:id="2"/>
      </w:r>
      <w:r w:rsidR="00D16817">
        <w:rPr>
          <w:rFonts w:ascii="Calibri" w:hAnsi="Calibri"/>
        </w:rPr>
        <w:t>.</w:t>
      </w:r>
      <w:r w:rsidR="00166B5A">
        <w:rPr>
          <w:rFonts w:ascii="Calibri" w:hAnsi="Calibri"/>
        </w:rPr>
        <w:t xml:space="preserve"> </w:t>
      </w:r>
      <w:r>
        <w:rPr>
          <w:rFonts w:ascii="Calibri" w:hAnsi="Calibri"/>
        </w:rPr>
        <w:t xml:space="preserve">Note that while </w:t>
      </w:r>
      <w:r w:rsidR="00166B5A">
        <w:rPr>
          <w:rFonts w:ascii="Calibri" w:hAnsi="Calibri"/>
        </w:rPr>
        <w:t>catch</w:t>
      </w:r>
      <w:r>
        <w:rPr>
          <w:rFonts w:ascii="Calibri" w:hAnsi="Calibri"/>
        </w:rPr>
        <w:t xml:space="preserve"> </w:t>
      </w:r>
      <w:r w:rsidR="00166B5A">
        <w:rPr>
          <w:rFonts w:ascii="Calibri" w:hAnsi="Calibri"/>
        </w:rPr>
        <w:t>is</w:t>
      </w:r>
      <w:r>
        <w:rPr>
          <w:rFonts w:ascii="Calibri" w:hAnsi="Calibri"/>
        </w:rPr>
        <w:t xml:space="preserve"> </w:t>
      </w:r>
      <w:r w:rsidR="00166B5A">
        <w:rPr>
          <w:rFonts w:ascii="Calibri" w:hAnsi="Calibri"/>
        </w:rPr>
        <w:t>correlated with recruit abundance</w:t>
      </w:r>
      <w:r>
        <w:rPr>
          <w:rFonts w:ascii="Calibri" w:hAnsi="Calibri"/>
        </w:rPr>
        <w:t xml:space="preserve">, </w:t>
      </w:r>
      <w:r w:rsidR="00166B5A">
        <w:rPr>
          <w:rFonts w:ascii="Calibri" w:hAnsi="Calibri"/>
        </w:rPr>
        <w:t>the former</w:t>
      </w:r>
      <w:r>
        <w:rPr>
          <w:rFonts w:ascii="Calibri" w:hAnsi="Calibri"/>
        </w:rPr>
        <w:t xml:space="preserve"> </w:t>
      </w:r>
      <w:r w:rsidR="00166B5A">
        <w:rPr>
          <w:rFonts w:ascii="Calibri" w:hAnsi="Calibri"/>
        </w:rPr>
        <w:t>is</w:t>
      </w:r>
      <w:r>
        <w:rPr>
          <w:rFonts w:ascii="Calibri" w:hAnsi="Calibri"/>
        </w:rPr>
        <w:t xml:space="preserve"> </w:t>
      </w:r>
      <w:r w:rsidR="00166B5A">
        <w:rPr>
          <w:rFonts w:ascii="Calibri" w:hAnsi="Calibri"/>
        </w:rPr>
        <w:t>moderated</w:t>
      </w:r>
      <w:r>
        <w:rPr>
          <w:rFonts w:ascii="Calibri" w:hAnsi="Calibri"/>
        </w:rPr>
        <w:t xml:space="preserve"> by the harvest control rule, as well as additional variation introduced by forecast and implementation uncertainty. </w:t>
      </w:r>
    </w:p>
    <w:p w14:paraId="6129938E" w14:textId="53C10AB0"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11A47116" w14:textId="77777777" w:rsidR="00DE0F7B" w:rsidRDefault="00DE0F7B" w:rsidP="00A91A4F"/>
    <w:p w14:paraId="42999713" w14:textId="77777777" w:rsidR="000E43A3" w:rsidRDefault="000E43A3" w:rsidP="00A91A4F"/>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3"/>
      <w:r>
        <w:t xml:space="preserve">A range </w:t>
      </w:r>
      <w:commentRangeEnd w:id="3"/>
      <w:r>
        <w:rPr>
          <w:rStyle w:val="CommentReference"/>
        </w:rPr>
        <w:commentReference w:id="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lastRenderedPageBreak/>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3A1CB5B1"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8-08T14:32:00Z" w:initials="D">
    <w:p w14:paraId="007F8DDE" w14:textId="11155BD1" w:rsidR="007014D4" w:rsidRDefault="007014D4">
      <w:pPr>
        <w:pStyle w:val="CommentText"/>
      </w:pPr>
      <w:r>
        <w:rPr>
          <w:rStyle w:val="CommentReference"/>
        </w:rPr>
        <w:annotationRef/>
      </w:r>
      <w:r>
        <w:t>Is this sufficient detail for the main text?</w:t>
      </w:r>
    </w:p>
  </w:comment>
  <w:comment w:id="2" w:author="DFO-MPO" w:date="2018-08-21T10:28:00Z" w:initials="D">
    <w:p w14:paraId="7A5476AF" w14:textId="6C6E04F5" w:rsidR="00D16817" w:rsidRDefault="00D16817">
      <w:pPr>
        <w:pStyle w:val="CommentText"/>
      </w:pPr>
      <w:r>
        <w:rPr>
          <w:rStyle w:val="CommentReference"/>
        </w:rPr>
        <w:annotationRef/>
      </w:r>
      <w:r>
        <w:t>Is this an accurate description AMH? If so who/what should I cite.</w:t>
      </w:r>
    </w:p>
  </w:comment>
  <w:comment w:id="3" w:author="DFO-MPO" w:date="2018-08-20T10:28:00Z" w:initials="D">
    <w:p w14:paraId="6569B4E5" w14:textId="77777777" w:rsidR="007014D4" w:rsidRDefault="007014D4"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4853"/>
    <w:rsid w:val="000715F4"/>
    <w:rsid w:val="00076F0E"/>
    <w:rsid w:val="000835A0"/>
    <w:rsid w:val="000873ED"/>
    <w:rsid w:val="000C23EB"/>
    <w:rsid w:val="000C51BA"/>
    <w:rsid w:val="000E1287"/>
    <w:rsid w:val="000E43A3"/>
    <w:rsid w:val="000F2E0D"/>
    <w:rsid w:val="00107E59"/>
    <w:rsid w:val="00114E9C"/>
    <w:rsid w:val="00125432"/>
    <w:rsid w:val="001463EA"/>
    <w:rsid w:val="00155B1C"/>
    <w:rsid w:val="00161092"/>
    <w:rsid w:val="00162C8A"/>
    <w:rsid w:val="00166B5A"/>
    <w:rsid w:val="00182788"/>
    <w:rsid w:val="00192B01"/>
    <w:rsid w:val="00196031"/>
    <w:rsid w:val="001A61A9"/>
    <w:rsid w:val="001D4E33"/>
    <w:rsid w:val="001E3FCB"/>
    <w:rsid w:val="001F4BE2"/>
    <w:rsid w:val="00207CE4"/>
    <w:rsid w:val="00211AC2"/>
    <w:rsid w:val="002317A6"/>
    <w:rsid w:val="002343E7"/>
    <w:rsid w:val="00240A6D"/>
    <w:rsid w:val="002632D7"/>
    <w:rsid w:val="00273B50"/>
    <w:rsid w:val="00274866"/>
    <w:rsid w:val="002800A9"/>
    <w:rsid w:val="00294313"/>
    <w:rsid w:val="002A5B41"/>
    <w:rsid w:val="002A7562"/>
    <w:rsid w:val="002B0FBF"/>
    <w:rsid w:val="002B2200"/>
    <w:rsid w:val="002B2D86"/>
    <w:rsid w:val="002B460B"/>
    <w:rsid w:val="002E258D"/>
    <w:rsid w:val="002E34D8"/>
    <w:rsid w:val="002E5DFE"/>
    <w:rsid w:val="002F10BF"/>
    <w:rsid w:val="00302934"/>
    <w:rsid w:val="003031CA"/>
    <w:rsid w:val="0032697E"/>
    <w:rsid w:val="00330D87"/>
    <w:rsid w:val="003507A2"/>
    <w:rsid w:val="003633CA"/>
    <w:rsid w:val="003655FD"/>
    <w:rsid w:val="00370CB7"/>
    <w:rsid w:val="00392E97"/>
    <w:rsid w:val="003B1DEE"/>
    <w:rsid w:val="003B7E04"/>
    <w:rsid w:val="003C1DAB"/>
    <w:rsid w:val="003C75EE"/>
    <w:rsid w:val="003E748B"/>
    <w:rsid w:val="003F5C0E"/>
    <w:rsid w:val="00422BF4"/>
    <w:rsid w:val="00424B71"/>
    <w:rsid w:val="0042726A"/>
    <w:rsid w:val="004272D3"/>
    <w:rsid w:val="0045142B"/>
    <w:rsid w:val="00463DBD"/>
    <w:rsid w:val="0047719C"/>
    <w:rsid w:val="00484993"/>
    <w:rsid w:val="00485670"/>
    <w:rsid w:val="00486597"/>
    <w:rsid w:val="004A4853"/>
    <w:rsid w:val="004B605E"/>
    <w:rsid w:val="004E0329"/>
    <w:rsid w:val="004E2EDE"/>
    <w:rsid w:val="004F1724"/>
    <w:rsid w:val="004F6C38"/>
    <w:rsid w:val="00500504"/>
    <w:rsid w:val="005027FD"/>
    <w:rsid w:val="00507319"/>
    <w:rsid w:val="0051250B"/>
    <w:rsid w:val="005162B8"/>
    <w:rsid w:val="00531AE1"/>
    <w:rsid w:val="005326C5"/>
    <w:rsid w:val="0056120F"/>
    <w:rsid w:val="005641CB"/>
    <w:rsid w:val="00577639"/>
    <w:rsid w:val="00590F69"/>
    <w:rsid w:val="005A0A00"/>
    <w:rsid w:val="005C7CAB"/>
    <w:rsid w:val="005D28A8"/>
    <w:rsid w:val="005D6C13"/>
    <w:rsid w:val="005D760D"/>
    <w:rsid w:val="005F3EF6"/>
    <w:rsid w:val="006068C0"/>
    <w:rsid w:val="00645D76"/>
    <w:rsid w:val="00697A59"/>
    <w:rsid w:val="006A3951"/>
    <w:rsid w:val="006A4872"/>
    <w:rsid w:val="006C114F"/>
    <w:rsid w:val="006D6CBB"/>
    <w:rsid w:val="007014D4"/>
    <w:rsid w:val="00703544"/>
    <w:rsid w:val="0070590B"/>
    <w:rsid w:val="00714028"/>
    <w:rsid w:val="007141E5"/>
    <w:rsid w:val="007350E4"/>
    <w:rsid w:val="00741E3C"/>
    <w:rsid w:val="007579DE"/>
    <w:rsid w:val="0079592C"/>
    <w:rsid w:val="007A279A"/>
    <w:rsid w:val="007B5D6D"/>
    <w:rsid w:val="007C1550"/>
    <w:rsid w:val="007D37A5"/>
    <w:rsid w:val="007D5362"/>
    <w:rsid w:val="008018CA"/>
    <w:rsid w:val="00815021"/>
    <w:rsid w:val="008214FE"/>
    <w:rsid w:val="00837CE3"/>
    <w:rsid w:val="008518AD"/>
    <w:rsid w:val="00886C25"/>
    <w:rsid w:val="008B18F2"/>
    <w:rsid w:val="008B4C24"/>
    <w:rsid w:val="008C1650"/>
    <w:rsid w:val="008C1951"/>
    <w:rsid w:val="008C5E1B"/>
    <w:rsid w:val="00901BDD"/>
    <w:rsid w:val="009215C5"/>
    <w:rsid w:val="00923937"/>
    <w:rsid w:val="009322F4"/>
    <w:rsid w:val="00937B72"/>
    <w:rsid w:val="00940776"/>
    <w:rsid w:val="00951950"/>
    <w:rsid w:val="00961B8C"/>
    <w:rsid w:val="00961DFC"/>
    <w:rsid w:val="009736AE"/>
    <w:rsid w:val="009801E9"/>
    <w:rsid w:val="0098510C"/>
    <w:rsid w:val="0098639B"/>
    <w:rsid w:val="00992367"/>
    <w:rsid w:val="00996327"/>
    <w:rsid w:val="009E2CC0"/>
    <w:rsid w:val="00A16FF3"/>
    <w:rsid w:val="00A44098"/>
    <w:rsid w:val="00A80702"/>
    <w:rsid w:val="00A91A4F"/>
    <w:rsid w:val="00A957BB"/>
    <w:rsid w:val="00AA4419"/>
    <w:rsid w:val="00AE2504"/>
    <w:rsid w:val="00AE3B72"/>
    <w:rsid w:val="00AE6C34"/>
    <w:rsid w:val="00AF0717"/>
    <w:rsid w:val="00AF3F2B"/>
    <w:rsid w:val="00B24A19"/>
    <w:rsid w:val="00B27AEE"/>
    <w:rsid w:val="00B40124"/>
    <w:rsid w:val="00B42D41"/>
    <w:rsid w:val="00B643B7"/>
    <w:rsid w:val="00B71AD9"/>
    <w:rsid w:val="00B96B00"/>
    <w:rsid w:val="00BB7A46"/>
    <w:rsid w:val="00BC14E9"/>
    <w:rsid w:val="00BE3900"/>
    <w:rsid w:val="00BF0BBF"/>
    <w:rsid w:val="00BF12B8"/>
    <w:rsid w:val="00C07781"/>
    <w:rsid w:val="00C12967"/>
    <w:rsid w:val="00C14A36"/>
    <w:rsid w:val="00C16A84"/>
    <w:rsid w:val="00C21A57"/>
    <w:rsid w:val="00C26602"/>
    <w:rsid w:val="00C36435"/>
    <w:rsid w:val="00C72C7A"/>
    <w:rsid w:val="00C93206"/>
    <w:rsid w:val="00CB3AA4"/>
    <w:rsid w:val="00CC7F18"/>
    <w:rsid w:val="00CD0FAC"/>
    <w:rsid w:val="00D01D2B"/>
    <w:rsid w:val="00D136FD"/>
    <w:rsid w:val="00D16817"/>
    <w:rsid w:val="00D20FCD"/>
    <w:rsid w:val="00D21D5F"/>
    <w:rsid w:val="00D2599C"/>
    <w:rsid w:val="00D40465"/>
    <w:rsid w:val="00D413CD"/>
    <w:rsid w:val="00D53F99"/>
    <w:rsid w:val="00D63DB9"/>
    <w:rsid w:val="00D95057"/>
    <w:rsid w:val="00D971BA"/>
    <w:rsid w:val="00DA242F"/>
    <w:rsid w:val="00DA470D"/>
    <w:rsid w:val="00DC48B1"/>
    <w:rsid w:val="00DD3FF2"/>
    <w:rsid w:val="00DE08F6"/>
    <w:rsid w:val="00DE0F7B"/>
    <w:rsid w:val="00DE21D8"/>
    <w:rsid w:val="00DE7503"/>
    <w:rsid w:val="00DF40E3"/>
    <w:rsid w:val="00E06BE2"/>
    <w:rsid w:val="00E23EA2"/>
    <w:rsid w:val="00E314B6"/>
    <w:rsid w:val="00E531D5"/>
    <w:rsid w:val="00E53403"/>
    <w:rsid w:val="00E63CBB"/>
    <w:rsid w:val="00EA0C93"/>
    <w:rsid w:val="00EB655E"/>
    <w:rsid w:val="00EC016C"/>
    <w:rsid w:val="00ED0654"/>
    <w:rsid w:val="00ED5A49"/>
    <w:rsid w:val="00ED7E4C"/>
    <w:rsid w:val="00F0579C"/>
    <w:rsid w:val="00F07D48"/>
    <w:rsid w:val="00F22932"/>
    <w:rsid w:val="00F26586"/>
    <w:rsid w:val="00F42DD1"/>
    <w:rsid w:val="00F70F29"/>
    <w:rsid w:val="00F93B58"/>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A0993-0627-42D7-B84D-5385E3F9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9</Pages>
  <Words>5361</Words>
  <Characters>30562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68</cp:revision>
  <cp:lastPrinted>2018-05-03T17:52:00Z</cp:lastPrinted>
  <dcterms:created xsi:type="dcterms:W3CDTF">2018-04-17T18:31:00Z</dcterms:created>
  <dcterms:modified xsi:type="dcterms:W3CDTF">2018-08-21T20:06:00Z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