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5FC11282" w14:textId="1CC24B54" w:rsidR="003C75EE" w:rsidRPr="0042726A" w:rsidRDefault="00ED0654" w:rsidP="0042726A">
      <w:pPr>
        <w:ind w:firstLine="720"/>
      </w:pPr>
      <w:r>
        <w:t>Ecological aggregates such as m</w:t>
      </w:r>
      <w:r w:rsidR="003C75EE">
        <w:t xml:space="preserve">etapopulations </w:t>
      </w:r>
      <w:r>
        <w:t>or</w:t>
      </w:r>
      <w:r w:rsidR="00330D87">
        <w:t xml:space="preserve"> </w:t>
      </w:r>
      <w:r w:rsidR="003C75EE">
        <w:t xml:space="preserve">communities consist of components whose </w:t>
      </w:r>
      <w:r w:rsidR="00CC7F18">
        <w:t>dynamics</w:t>
      </w:r>
      <w:r w:rsidR="003C75EE">
        <w:t xml:space="preserve"> vary due to unique </w:t>
      </w:r>
      <w:r w:rsidR="00330D87">
        <w:t>life histories</w:t>
      </w:r>
      <w:r w:rsidR="00CC7F18">
        <w:t>, local environmental processes,</w:t>
      </w:r>
      <w:r w:rsidR="003C75EE">
        <w:t xml:space="preserve"> or </w:t>
      </w:r>
      <w:r w:rsidR="00CC7F18">
        <w:t>simply chance</w:t>
      </w:r>
      <w:r w:rsidR="003C75EE">
        <w:t xml:space="preserve">. Such asynchrony tends to </w:t>
      </w:r>
      <w:r w:rsidR="005C7CAB">
        <w:t>reduce variability in</w:t>
      </w:r>
      <w:r w:rsidR="003C75EE">
        <w:t xml:space="preserve"> the dynamics of </w:t>
      </w:r>
      <w:r w:rsidR="00330D87">
        <w:t xml:space="preserve">these </w:t>
      </w:r>
      <w:r w:rsidR="00CC7F18">
        <w:t>ecological aggregates</w:t>
      </w:r>
      <w:r w:rsidR="005C7CAB">
        <w:t xml:space="preserve"> and</w:t>
      </w:r>
      <w:r w:rsidR="003C75EE">
        <w:t xml:space="preserve"> </w:t>
      </w:r>
      <w:r w:rsidR="005C7CAB">
        <w:t>results</w:t>
      </w:r>
      <w:r w:rsidR="003C75EE">
        <w:t xml:space="preserve"> in</w:t>
      </w:r>
      <w:r w:rsidR="005C7CAB">
        <w:t xml:space="preserve"> positive diversity-stability</w:t>
      </w:r>
      <w:r w:rsidR="003C75EE">
        <w:t xml:space="preserve"> relationships</w:t>
      </w:r>
      <w:r w:rsidR="004E0329">
        <w:t xml:space="preserve"> </w:t>
      </w:r>
      <w:r w:rsidR="004E0329">
        <w:t>(Hooper REF)</w:t>
      </w:r>
      <w:r w:rsidR="005C7CAB">
        <w:t>,</w:t>
      </w:r>
      <w:r w:rsidR="00CC7F18">
        <w:t xml:space="preserve"> commonly referred to as portfolio effects</w:t>
      </w:r>
      <w:r w:rsidR="004E0329">
        <w:t xml:space="preserve"> (Schindler 2015 REF)</w:t>
      </w:r>
      <w:r w:rsidR="00CC7F18">
        <w:t xml:space="preserve">. </w:t>
      </w:r>
      <w:r w:rsidR="00D21D5F">
        <w:t xml:space="preserve">The stability conferred by biodiversity is often associated with </w:t>
      </w:r>
      <w:r w:rsidR="00E531D5">
        <w:t>greater</w:t>
      </w:r>
      <w:r w:rsidR="00D21D5F">
        <w:t xml:space="preserve"> productivity, biomass production, and overall provisioning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ED0654">
        <w:instrText xml:space="preserve"> ADDIN EN.CITE </w:instrText>
      </w:r>
      <w:r w:rsidR="00E531D5" w:rsidRPr="00ED0654">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ED0654">
        <w:instrText xml:space="preserve"> ADDIN EN.CITE.DATA </w:instrText>
      </w:r>
      <w:r w:rsidR="00E531D5" w:rsidRPr="00ED0654">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t xml:space="preserve">It is </w:t>
      </w:r>
      <w:r w:rsidR="004272D3">
        <w:t>unsurprising</w:t>
      </w:r>
      <w:r>
        <w:t>,</w:t>
      </w:r>
      <w:r w:rsidR="004272D3">
        <w:t xml:space="preserve"> </w:t>
      </w:r>
      <w:r>
        <w:t xml:space="preserve">therefore, that </w:t>
      </w:r>
      <w:r w:rsidR="0042726A">
        <w:t>monitoring and conserving ecological aggregates</w:t>
      </w:r>
      <w:r w:rsidR="005C7CAB">
        <w:t>,</w:t>
      </w:r>
      <w:r w:rsidR="0042726A">
        <w:t xml:space="preserve"> rather than </w:t>
      </w:r>
      <w:r w:rsidR="00E531D5">
        <w:t>component</w:t>
      </w:r>
      <w:r w:rsidR="0042726A">
        <w:t xml:space="preserve"> species or populations</w:t>
      </w:r>
      <w:r>
        <w:t>, is increasingly favored</w:t>
      </w:r>
      <w:r w:rsidR="00330D87">
        <w:t>.</w:t>
      </w:r>
      <w:r w:rsidR="0042726A">
        <w:t xml:space="preserve"> </w:t>
      </w:r>
      <w:r>
        <w:t>This shift</w:t>
      </w:r>
      <w:r w:rsidR="00330D87">
        <w:t xml:space="preserve"> is particularly widespread in fisheries science, where </w:t>
      </w:r>
      <w:r w:rsidR="0042726A" w:rsidRPr="0042726A">
        <w:t>agencies</w:t>
      </w:r>
      <w:r w:rsidR="00B643B7">
        <w:t xml:space="preserve"> are commonly responsible for</w:t>
      </w:r>
      <w:r w:rsidR="0042726A" w:rsidRPr="0042726A">
        <w:t xml:space="preserve"> </w:t>
      </w:r>
      <w:r w:rsidR="00B643B7">
        <w:t>managing</w:t>
      </w:r>
      <w:r w:rsidR="00330D87">
        <w:t xml:space="preserve"> multi-stock</w:t>
      </w:r>
      <w:r w:rsidR="00AE6C34">
        <w:t xml:space="preserve"> or </w:t>
      </w:r>
      <w:r w:rsidR="00DE0F7B">
        <w:t xml:space="preserve">multi-species assemblages </w:t>
      </w:r>
      <w:r w:rsidR="00E531D5">
        <w:t>that may benefit from</w:t>
      </w:r>
      <w:r w:rsidR="00AE6C34">
        <w:t xml:space="preserve"> </w:t>
      </w:r>
      <w:r w:rsidR="00B643B7">
        <w:t>systems</w:t>
      </w:r>
      <w:r w:rsidR="00AE6C34">
        <w:t xml:space="preserve">-based approaches </w:t>
      </w:r>
      <w:r w:rsidR="00DE0F7B">
        <w:fldChar w:fldCharType="begin"/>
      </w:r>
      <w:r w:rsidR="00DE0F7B">
        <w:instrText xml:space="preserve"> ADDIN EN.CITE &lt;EndNote&gt;&lt;Cite&gt;&lt;Author&gt;Garcia&lt;/Author&gt;&lt;Year&gt;2003&lt;/Year&gt;&lt;RecNum&gt;2207&lt;/RecNum&gt;&lt;DisplayText&gt;(Garcia&lt;style face="italic"&gt; et al.&lt;/style&gt; 2003; Link 2018)&lt;/DisplayText&gt;&lt;record&gt;&lt;rec-number&gt;2207&lt;/rec-number&gt;&lt;foreign-keys&gt;&lt;key app="EN" db-id="eez0aevwa0afpdexr0lvefp6z0xpepv5rfx5" timestamp="1534704162"&gt;2207&lt;/key&gt;&lt;/foreign-keys&gt;&lt;ref-type name="Report"&gt;27&lt;/ref-type&gt;&lt;contributors&gt;&lt;authors&gt;&lt;author&gt;Garcia, S.M.&lt;/author&gt;&lt;author&gt;Zerbi, A.&lt;/author&gt;&lt;author&gt;Aliaume, C.&lt;/author&gt;&lt;author&gt;Do Chi, T.&lt;/author&gt;&lt;author&gt;Lasserre, G.&lt;/author&gt;&lt;/authors&gt;&lt;/contributors&gt;&lt;titles&gt;&lt;title&gt;The ecosystem approach to fisheries: issues, terminology, principles, institutional foundations, implementation and outlook&lt;/title&gt;&lt;secondary-title&gt;FAO Fisheries Technical Paper 443&lt;/secondary-title&gt;&lt;/titles&gt;&lt;pages&gt;81 p.&lt;/pages&gt;&lt;dates&gt;&lt;year&gt;2003&lt;/year&gt;&lt;/dates&gt;&lt;pub-location&gt;Rome, Italy&lt;/pub-location&gt;&lt;publisher&gt;FAO&lt;/publisher&gt;&lt;urls&gt;&lt;/urls&gt;&lt;/record&gt;&lt;/Cite&gt;&lt;Cite&gt;&lt;Author&gt;Link&lt;/Author&gt;&lt;Year&gt;2018&lt;/Year&gt;&lt;RecNum&gt;2187&lt;/RecNum&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DE0F7B">
        <w:fldChar w:fldCharType="separate"/>
      </w:r>
      <w:r w:rsidR="00DE0F7B">
        <w:rPr>
          <w:noProof/>
        </w:rPr>
        <w:t>(Garcia</w:t>
      </w:r>
      <w:r w:rsidR="00DE0F7B" w:rsidRPr="00DE0F7B">
        <w:rPr>
          <w:i/>
          <w:noProof/>
        </w:rPr>
        <w:t xml:space="preserve"> et al.</w:t>
      </w:r>
      <w:r w:rsidR="00DE0F7B">
        <w:rPr>
          <w:noProof/>
        </w:rPr>
        <w:t xml:space="preserve"> 2003; Link 2018)</w:t>
      </w:r>
      <w:r w:rsidR="00DE0F7B">
        <w:fldChar w:fldCharType="end"/>
      </w:r>
      <w:r w:rsidR="0042726A" w:rsidRPr="0042726A">
        <w:t>.</w:t>
      </w:r>
      <w:r w:rsidR="00330D87">
        <w:t xml:space="preserve"> </w:t>
      </w:r>
      <w:r w:rsidR="00B643B7">
        <w:t>A necessary pre-requisite to successfully managing larger ecological aggregates is an understanding of how the dynamics of the whole relate to the dynamics of its components.</w:t>
      </w:r>
    </w:p>
    <w:p w14:paraId="19ABECAF" w14:textId="068897CA" w:rsidR="00951950" w:rsidRDefault="00996327" w:rsidP="002A5B41">
      <w:pPr>
        <w:ind w:firstLine="720"/>
      </w:pPr>
      <w:r>
        <w:t xml:space="preserve">At the coarsest level, </w:t>
      </w:r>
      <w:r w:rsidR="002343E7">
        <w:t>the correlation between diversity and temporal stability</w:t>
      </w:r>
      <w:r w:rsidR="00196031">
        <w:t xml:space="preserve"> </w:t>
      </w:r>
      <w:r>
        <w:t xml:space="preserve">is </w:t>
      </w:r>
      <w:r w:rsidR="00E531D5">
        <w:t>driven by</w:t>
      </w:r>
      <w:r w:rsidR="00B71AD9">
        <w:t xml:space="preserve"> statistical averaging, with variability decreasing as the n</w:t>
      </w:r>
      <w:r w:rsidR="00196031">
        <w:t xml:space="preserve">umber of components </w:t>
      </w:r>
      <w:r w:rsidR="00B71AD9">
        <w:t>increases</w:t>
      </w:r>
      <w:r w:rsidR="004272D3">
        <w:t xml:space="preserve"> </w:t>
      </w:r>
      <w:r w:rsidR="004272D3">
        <w:fldChar w:fldCharType="begin"/>
      </w:r>
      <w:r w:rsidR="004272D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4272D3">
        <w:fldChar w:fldCharType="separate"/>
      </w:r>
      <w:r w:rsidR="004272D3">
        <w:rPr>
          <w:noProof/>
        </w:rPr>
        <w:t>(Doak</w:t>
      </w:r>
      <w:r w:rsidR="004272D3" w:rsidRPr="004272D3">
        <w:rPr>
          <w:i/>
          <w:noProof/>
        </w:rPr>
        <w:t xml:space="preserve"> et al.</w:t>
      </w:r>
      <w:r w:rsidR="004272D3">
        <w:rPr>
          <w:noProof/>
        </w:rPr>
        <w:t xml:space="preserve"> 1998)</w:t>
      </w:r>
      <w:r w:rsidR="004272D3">
        <w:fldChar w:fldCharType="end"/>
      </w:r>
      <w:r>
        <w:t>.</w:t>
      </w:r>
      <w:r w:rsidR="00330D87">
        <w:t xml:space="preserve"> A </w:t>
      </w:r>
      <w:r w:rsidR="00E531D5">
        <w:t>widely recognized</w:t>
      </w:r>
      <w:r w:rsidR="00330D87">
        <w:t xml:space="preserve"> example of this pattern occurs in Bristol Bay, Alaska, where the sheer number of sockeye salmon populations in the region </w:t>
      </w:r>
      <w:r w:rsidR="00F0579C">
        <w:t>reduces</w:t>
      </w:r>
      <w:r w:rsidR="00330D87">
        <w:t xml:space="preserve"> aggregate variability in spawner abundance and fishery yields</w:t>
      </w:r>
      <w:r w:rsidR="00AE6C34">
        <w:t xml:space="preserve"> </w: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 </w:instrTex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(Hilborn</w:t>
      </w:r>
      <w:r w:rsidR="00AE6C34" w:rsidRPr="00AE6C34">
        <w:rPr>
          <w:i/>
          <w:noProof/>
        </w:rPr>
        <w:t xml:space="preserve"> et al.</w:t>
      </w:r>
      <w:r w:rsidR="00AE6C34">
        <w:rPr>
          <w:noProof/>
        </w:rPr>
        <w:t xml:space="preserve"> 2003; Schindler</w:t>
      </w:r>
      <w:r w:rsidR="00AE6C34" w:rsidRPr="00AE6C34">
        <w:rPr>
          <w:i/>
          <w:noProof/>
        </w:rPr>
        <w:t xml:space="preserve"> et al.</w:t>
      </w:r>
      <w:r w:rsidR="00AE6C34">
        <w:rPr>
          <w:noProof/>
        </w:rPr>
        <w:t xml:space="preserve"> 2010)</w:t>
      </w:r>
      <w:r w:rsidR="00AE6C34">
        <w:fldChar w:fldCharType="end"/>
      </w:r>
      <w:r w:rsidR="00330D87">
        <w:t>.</w:t>
      </w:r>
      <w:r w:rsidR="002A5B41">
        <w:t xml:space="preserve"> </w:t>
      </w:r>
      <w:r w:rsidR="00E531D5">
        <w:t xml:space="preserve">Although </w:t>
      </w:r>
      <w:r w:rsidR="00703544">
        <w:t>it</w:t>
      </w:r>
      <w:r w:rsidR="00E531D5">
        <w:t xml:space="preserve"> is </w:t>
      </w:r>
      <w:r w:rsidR="00703544">
        <w:t>a</w:t>
      </w:r>
      <w:r w:rsidR="00E531D5">
        <w:t xml:space="preserve"> principle driver of aggregate stability,</w:t>
      </w:r>
      <w:r w:rsidR="002A5B41">
        <w:t xml:space="preserve"> dramatic changes in variability can occur even </w:t>
      </w:r>
      <w:r w:rsidR="00E531D5">
        <w:t>when</w:t>
      </w:r>
      <w:r w:rsidR="00703544">
        <w:t xml:space="preserve"> diversity</w:t>
      </w:r>
      <w:r w:rsidR="00E531D5">
        <w:t xml:space="preserve"> metrics such as component evenness and richness</w:t>
      </w:r>
      <w:r w:rsidR="00F0579C">
        <w:t xml:space="preserve"> </w:t>
      </w:r>
      <w:r w:rsidR="00E531D5">
        <w:t xml:space="preserve">are </w:t>
      </w:r>
      <w:r w:rsidR="002A5B41">
        <w:t>stable</w:t>
      </w:r>
      <w:r w:rsidR="00E531D5">
        <w:t xml:space="preserve"> </w:t>
      </w:r>
      <w:r w:rsidR="00E531D5">
        <w:fldChar w:fldCharType="begin"/>
      </w:r>
      <w:r w:rsidR="00E531D5">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E531D5">
        <w:fldChar w:fldCharType="separate"/>
      </w:r>
      <w:r w:rsidR="00E531D5">
        <w:rPr>
          <w:noProof/>
        </w:rPr>
        <w:t>(Thibaut &amp; Connolly 2013)</w:t>
      </w:r>
      <w:r w:rsidR="00E531D5">
        <w:fldChar w:fldCharType="end"/>
      </w:r>
      <w:r w:rsidR="002A5B41">
        <w:t xml:space="preserve">. For example, </w:t>
      </w:r>
      <w:r w:rsidR="00E531D5">
        <w:t>the</w:t>
      </w:r>
      <w:r w:rsidR="00703544">
        <w:t xml:space="preserve"> absolute</w:t>
      </w:r>
      <w:r w:rsidR="00E531D5">
        <w:t xml:space="preserve"> number of </w:t>
      </w:r>
      <w:r w:rsidR="00703544">
        <w:t xml:space="preserve">stocks that form the </w:t>
      </w:r>
      <w:r w:rsidR="002A5B41">
        <w:t xml:space="preserve">Central Valley Chinook salmon </w:t>
      </w:r>
      <w:r w:rsidR="00703544">
        <w:t>aggregate</w:t>
      </w:r>
      <w:r w:rsidR="00E531D5">
        <w:t xml:space="preserve"> has </w:t>
      </w:r>
      <w:r w:rsidR="00B643B7">
        <w:t>remained the same</w:t>
      </w:r>
      <w:r w:rsidR="00E531D5">
        <w:t xml:space="preserve">, yet aggregate returns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rsidR="00125432">
        <w:t xml:space="preserve">. </w:t>
      </w:r>
      <w:r w:rsidR="00703544">
        <w:t>Technically</w:t>
      </w:r>
      <w:r w:rsidR="000E1287">
        <w:t xml:space="preserve"> </w:t>
      </w:r>
      <w:r w:rsidR="00AA4419">
        <w:t>t</w:t>
      </w:r>
      <w:r w:rsidR="00330D87">
        <w:t>he region still exhibits a portfolio effect</w:t>
      </w:r>
      <w:r w:rsidR="00703544">
        <w:t>,</w:t>
      </w:r>
      <w:r w:rsidR="00AA4419">
        <w:t xml:space="preserve"> because</w:t>
      </w:r>
      <w:r w:rsidR="00330D87">
        <w:t xml:space="preserve"> aggregate variability is reduced relative to </w:t>
      </w:r>
      <w:r w:rsidR="00F0579C">
        <w:t xml:space="preserve">that of individual </w:t>
      </w:r>
      <w:r w:rsidR="00AA4419">
        <w:t>stocks</w:t>
      </w:r>
      <w:r w:rsidR="00330D87">
        <w:t xml:space="preserve">, </w:t>
      </w:r>
      <w:r w:rsidR="00AA4419">
        <w:t xml:space="preserve">but </w:t>
      </w:r>
      <w:r w:rsidR="00330D87">
        <w:t xml:space="preserve">the buffering </w:t>
      </w:r>
      <w:r w:rsidR="00AA4419">
        <w:t xml:space="preserve">conferred by </w:t>
      </w:r>
      <w:r w:rsidR="00B643B7">
        <w:t xml:space="preserve">this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703544">
        <w:t>Decreased stability at the aggregate level has resulted in substantial ecological (e.g. reduced marine subsidies) and socio-economic costs (e.g. more frequent fishery closures) to the region.</w:t>
      </w:r>
    </w:p>
    <w:p w14:paraId="2471CF74" w14:textId="01D1CEEC" w:rsidR="00BF12B8" w:rsidRDefault="00AA4419" w:rsidP="0098639B">
      <w:pPr>
        <w:ind w:firstLine="720"/>
      </w:pPr>
      <w:r>
        <w:t xml:space="preserve">To better understand patterns like those observed in central California </w:t>
      </w:r>
      <w:r w:rsidR="00703544">
        <w:t xml:space="preserve">Chinook </w:t>
      </w:r>
      <w:r>
        <w:t xml:space="preserve">salmon, it is helpful to decompose aggregate variability into two </w:t>
      </w:r>
      <w:r w:rsidR="00703544">
        <w:t>subordinate components</w:t>
      </w:r>
      <w:r w:rsidR="00044112">
        <w:t>.</w:t>
      </w:r>
      <w:r w:rsidR="002B0FBF">
        <w:t xml:space="preserve"> </w:t>
      </w:r>
      <w:r w:rsidR="00044112">
        <w:t>The first, c</w:t>
      </w:r>
      <w:r w:rsidR="002B0FBF">
        <w:t>omponent variability</w:t>
      </w:r>
      <w:r w:rsidR="00044112">
        <w:t xml:space="preserve">, </w:t>
      </w:r>
      <w:r>
        <w:t>represents</w:t>
      </w:r>
      <w:r w:rsidR="00044112">
        <w:t xml:space="preserve"> temporal variation in individual </w:t>
      </w:r>
      <w:r w:rsidR="00302934">
        <w:t>populations</w:t>
      </w:r>
      <w:r w:rsidR="00044112">
        <w:t xml:space="preserve"> (</w:t>
      </w:r>
      <w:r w:rsidR="00302934">
        <w:t>species</w:t>
      </w:r>
      <w:r w:rsidR="00044112">
        <w:t xml:space="preserve">) within a </w:t>
      </w:r>
      <w:r w:rsidR="00302934">
        <w:t>metapopulation</w:t>
      </w:r>
      <w:r w:rsidR="00044112">
        <w:t xml:space="preserve"> (</w:t>
      </w:r>
      <w:r w:rsidR="00302934">
        <w:t>community</w:t>
      </w:r>
      <w:r w:rsidR="00044112">
        <w:t>), while</w:t>
      </w:r>
      <w:r>
        <w:t xml:space="preserve"> the second,</w:t>
      </w:r>
      <w:r w:rsidR="00044112">
        <w:t xml:space="preserve"> synchrony</w:t>
      </w:r>
      <w:r>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rsidR="00302934">
        <w:t xml:space="preserve">have occurred, clarifying how an aggregate’s </w:t>
      </w:r>
      <w:r w:rsidR="00044112">
        <w:t xml:space="preserve">dynamics </w:t>
      </w:r>
      <w:r>
        <w:t>have</w:t>
      </w:r>
      <w:r w:rsidR="00044112">
        <w:t xml:space="preserve"> change</w:t>
      </w:r>
      <w:r>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98639B">
        <w:t xml:space="preserve">. </w:t>
      </w:r>
      <w:r>
        <w:t>In the case of Central Valley Chinook salmon,</w:t>
      </w:r>
      <w:r w:rsidR="0098639B">
        <w:t xml:space="preserve"> </w:t>
      </w:r>
      <w:r w:rsidR="00703544">
        <w:t xml:space="preserve">the authors </w:t>
      </w:r>
      <w:r w:rsidR="00302934">
        <w:t>suggest</w:t>
      </w:r>
      <w:r w:rsidR="00703544">
        <w:t xml:space="preserve"> widespread hatchery releases</w:t>
      </w:r>
      <w:r w:rsidR="00E314B6">
        <w:t xml:space="preserve">, rather than poor marine rearing conditions, </w:t>
      </w:r>
      <w:r w:rsidR="00703544">
        <w:t xml:space="preserve">may have contributed to </w:t>
      </w:r>
      <w:r w:rsidR="00E314B6">
        <w:t xml:space="preserve">greater synchrony because similar patterns </w:t>
      </w:r>
      <w:r w:rsidR="00302934">
        <w:lastRenderedPageBreak/>
        <w:t>were not observed in the</w:t>
      </w:r>
      <w:r w:rsidR="00E314B6">
        <w:t xml:space="preserve"> neighboring </w:t>
      </w:r>
      <w:r w:rsidR="00302934">
        <w:t>Klamath-Trinity basin</w:t>
      </w:r>
      <w:r w:rsidR="00AE6C34">
        <w:t xml:space="preserve">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Further analyses in the Sacramento River </w:t>
      </w:r>
      <w:r w:rsidR="002B0FBF">
        <w:t xml:space="preserve">Basin, a watershed within the Central Valley, </w:t>
      </w:r>
      <w:r w:rsidR="008B18F2">
        <w:t xml:space="preserve">have </w:t>
      </w:r>
      <w:r w:rsidR="002B0FBF">
        <w:t>highlighted</w:t>
      </w:r>
      <w:r w:rsidR="008B18F2">
        <w:t xml:space="preserve"> </w:t>
      </w:r>
      <w:r w:rsidR="002B0FBF">
        <w:t>how</w:t>
      </w:r>
      <w:r w:rsidR="008B18F2">
        <w:t xml:space="preserve"> specific component </w:t>
      </w:r>
      <w:r w:rsidR="002B0FBF">
        <w:t>tributaries</w:t>
      </w:r>
      <w:r w:rsidR="008B18F2">
        <w:t xml:space="preserve"> </w:t>
      </w:r>
      <w:r w:rsidR="002B0FBF">
        <w:t>contribute</w:t>
      </w:r>
      <w:r w:rsidR="008B18F2">
        <w:t xml:space="preserve"> disproportionately </w:t>
      </w:r>
      <w:r w:rsidR="002B0FBF">
        <w:t>to aggregate stability</w:t>
      </w:r>
      <w:r w:rsidR="00AE6C34">
        <w:t xml:space="preserve"> </w:t>
      </w:r>
      <w:r w:rsidR="00AE6C34">
        <w:fldChar w:fldCharType="begin"/>
      </w:r>
      <w:r w:rsidR="00AE6C34">
        <w:instrText xml:space="preserve"> ADDIN EN.CITE &lt;EndNote&gt;&lt;Cite&gt;&lt;Author&gt;Yamane&lt;/Author&gt;&lt;Year&gt;2018&lt;/Year&gt;&lt;RecNum&gt;2167&lt;/RecNum&gt;&lt;DisplayText&gt;(Yamane, Botsford &amp;amp; Kilduff 2018)&lt;/DisplayText&gt;&lt;record&gt;&lt;rec-number&gt;2167&lt;/rec-number&gt;&lt;foreign-keys&gt;&lt;key app="EN" db-id="eez0aevwa0afpdexr0lvefp6z0xpepv5rfx5" timestamp="1529269775"&gt;2167&lt;/key&gt;&lt;key app="ENWeb" db-id=""&gt;0&lt;/key&gt;&lt;/foreign-keys&gt;&lt;ref-type name="Journal Article"&gt;17&lt;/ref-type&gt;&lt;contributors&gt;&lt;authors&gt;&lt;author&gt;Yamane, Lauren&lt;/author&gt;&lt;author&gt;Botsford, Louis W.&lt;/author&gt;&lt;author&gt;Kilduff, D. Patrick&lt;/author&gt;&lt;/authors&gt;&lt;/contributors&gt;&lt;titles&gt;&lt;title&gt;Tracking restoration of population diversity via the portfolio effect&lt;/title&gt;&lt;secondary-title&gt;Journal of Applied Ecology&lt;/secondary-title&gt;&lt;/titles&gt;&lt;periodical&gt;&lt;full-title&gt;Journal of Applied Ecology&lt;/full-title&gt;&lt;abbr-1&gt;J. Appl. Ecol.&lt;/abbr-1&gt;&lt;abbr-2&gt;J Appl Ecol&lt;/abbr-2&gt;&lt;/periodical&gt;&lt;pages&gt;472-481&lt;/pages&gt;&lt;volume&gt;55&lt;/volume&gt;&lt;number&gt;2&lt;/number&gt;&lt;dates&gt;&lt;year&gt;2018&lt;/year&gt;&lt;/dates&gt;&lt;isbn&gt;00218901&lt;/isbn&gt;&lt;urls&gt;&lt;/urls&gt;&lt;electronic-resource-num&gt;10.1111/1365-2664.12978&lt;/electronic-resource-num&gt;&lt;/record&gt;&lt;/Cite&gt;&lt;/EndNote&gt;</w:instrText>
      </w:r>
      <w:r w:rsidR="00AE6C34">
        <w:fldChar w:fldCharType="separate"/>
      </w:r>
      <w:r w:rsidR="00AE6C34">
        <w:rPr>
          <w:noProof/>
        </w:rPr>
        <w:t>(Yamane, Botsford &amp; Kilduff 2018)</w:t>
      </w:r>
      <w:r w:rsidR="00AE6C34">
        <w:fldChar w:fldCharType="end"/>
      </w:r>
      <w:r w:rsidR="008B18F2">
        <w:t>.</w:t>
      </w:r>
      <w:r w:rsidR="002B0FBF">
        <w:t xml:space="preserve"> </w:t>
      </w:r>
      <w:commentRangeStart w:id="0"/>
      <w:r w:rsidR="002B0FBF">
        <w:t>Taken together these patterns suggest that efforts to maximize the region’s portfolio effect could be focused on a subset of tributaries, perhaps by explicitly conserving unique life history traits at risk of homogenization due to hatchery influences.</w:t>
      </w:r>
      <w:commentRangeEnd w:id="0"/>
      <w:r w:rsidR="002B0FBF">
        <w:rPr>
          <w:rStyle w:val="CommentReference"/>
        </w:rPr>
        <w:commentReference w:id="0"/>
      </w:r>
    </w:p>
    <w:p w14:paraId="3D305BCC" w14:textId="7023D765" w:rsidR="00BF12B8" w:rsidRPr="00C12967" w:rsidRDefault="00B27AEE" w:rsidP="00E314B6">
      <w:pPr>
        <w:ind w:firstLine="720"/>
        <w:rPr>
          <w:strike/>
        </w:rPr>
      </w:pPr>
      <w:r>
        <w:t>While</w:t>
      </w:r>
      <w:r w:rsidR="002B0FBF">
        <w:t xml:space="preserve"> </w:t>
      </w:r>
      <w:r w:rsidR="00F93B58">
        <w:t>patterns</w:t>
      </w:r>
      <w:r w:rsidR="002B0FBF">
        <w:t xml:space="preserve"> in covariance among populations have been widely examined</w:t>
      </w:r>
      <w:r w:rsidR="00AE6C34">
        <w:t xml:space="preserve"> </w:t>
      </w:r>
      <w:r w:rsidR="00F93B58">
        <w:t>in ecological systems</w:t>
      </w:r>
      <w:r w:rsidR="002B0FBF">
        <w:t>,</w:t>
      </w:r>
      <w:r w:rsidR="002E34D8">
        <w:t xml:space="preserve"> and</w:t>
      </w:r>
      <w:r w:rsidR="002B0FBF">
        <w:t xml:space="preserve"> particularly in Pacific</w:t>
      </w:r>
      <w:r>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 </w:instrTex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EN.CITE.DATA </w:instrText>
      </w:r>
      <w:r w:rsidR="00F93B58">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rsidR="002B0FBF">
        <w:t>,</w:t>
      </w:r>
      <w:r>
        <w:t xml:space="preserve"> estimates of portfolio effects have generally focused on the relative</w:t>
      </w:r>
      <w:r w:rsidR="00044112">
        <w:t xml:space="preserve"> </w:t>
      </w:r>
      <w:r>
        <w:t xml:space="preserve">costs of losing </w:t>
      </w:r>
      <w:r w:rsidR="00E314B6">
        <w:t>component populations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4E0329">
        <w:instrText xml:space="preserve"> ADDIN EN.CITE </w:instrText>
      </w:r>
      <w:r w:rsidR="00F93B58" w:rsidRPr="004E0329">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rsidRPr="004E0329">
        <w:instrText xml:space="preserve"> ADDIN EN.CITE.DATA </w:instrText>
      </w:r>
      <w:r w:rsidR="00F93B58" w:rsidRPr="004E0329">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t>.</w:t>
      </w:r>
      <w:r w:rsidR="002B0FBF">
        <w:t xml:space="preserve"> </w:t>
      </w:r>
      <w:r w:rsidR="00E314B6">
        <w:t>Though less dramatic, c</w:t>
      </w:r>
      <w:r w:rsidR="004B605E">
        <w:t>hanges in comp</w:t>
      </w:r>
      <w:r w:rsidR="00E314B6">
        <w:t>onent variability and synchrony</w:t>
      </w:r>
      <w:r w:rsidR="004B605E">
        <w:t xml:space="preserve"> may</w:t>
      </w:r>
      <w:r w:rsidR="008C1951">
        <w:t xml:space="preserve"> result in</w:t>
      </w:r>
      <w:r w:rsidR="00E314B6">
        <w:t xml:space="preserve"> </w:t>
      </w:r>
      <w:r w:rsidR="00302934">
        <w:t xml:space="preserve">similarly </w:t>
      </w:r>
      <w:r w:rsidR="00E314B6">
        <w:t>strong</w:t>
      </w:r>
      <w:r w:rsidR="008C1951">
        <w:t xml:space="preserve"> negative e</w:t>
      </w:r>
      <w:r w:rsidR="00302934">
        <w:t>ff</w:t>
      </w:r>
      <w:r w:rsidR="007579DE">
        <w:t xml:space="preserve">ects, particularly in the many fisheries that have exhibited declines in productivity (Dal REF). </w:t>
      </w:r>
      <w:r w:rsidR="007579DE" w:rsidRPr="007579DE">
        <w:rPr>
          <w:strike/>
        </w:rPr>
        <w:t>trade-offs create</w:t>
      </w:r>
      <w:r w:rsidR="00302934" w:rsidRPr="007579DE">
        <w:rPr>
          <w:strike/>
        </w:rPr>
        <w:t xml:space="preserve"> tension between conservation and </w:t>
      </w:r>
      <w:r w:rsidR="008C1951" w:rsidRPr="007579DE">
        <w:rPr>
          <w:strike/>
        </w:rPr>
        <w:t>socio</w:t>
      </w:r>
      <w:r w:rsidR="00302934" w:rsidRPr="007579DE">
        <w:rPr>
          <w:strike/>
        </w:rPr>
        <w:t>-economic objectives.</w:t>
      </w:r>
      <w:r w:rsidR="00BE3900" w:rsidRPr="007579DE">
        <w:t xml:space="preserve"> </w:t>
      </w:r>
      <w:r w:rsidR="00BE3900">
        <w:t xml:space="preserve">For example, high levels of component variability </w:t>
      </w:r>
      <w:r w:rsidR="00E314B6">
        <w:t>are likely to</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w:t>
      </w:r>
      <w:r w:rsidR="00E314B6">
        <w:t xml:space="preserve">rack changes in stock abundance. However, periodic years of high abundance will simultaneously create incentives to maintain harvesting capacity, unlike a scenario where exploitable biomass declines predictably. </w:t>
      </w:r>
      <w:r w:rsidR="00C12967">
        <w:t xml:space="preserve">Intuitively the negative effects of increased </w:t>
      </w:r>
      <w:r w:rsidR="00E314B6">
        <w:t xml:space="preserve">component </w:t>
      </w:r>
      <w:r w:rsidR="00C12967">
        <w:t xml:space="preserve">variability </w:t>
      </w:r>
      <w:r w:rsidR="00E314B6">
        <w:t>will</w:t>
      </w:r>
      <w:r w:rsidR="00C21A57">
        <w:t xml:space="preserve"> </w:t>
      </w:r>
      <w:r w:rsidR="00C12967">
        <w:t>be magnified by h</w:t>
      </w:r>
      <w:r w:rsidR="00BE3900">
        <w:t>igh level</w:t>
      </w:r>
      <w:r w:rsidR="00C12967">
        <w:t xml:space="preserve">s of synchrony, which </w:t>
      </w:r>
      <w:r w:rsidR="00E314B6">
        <w:t>will</w:t>
      </w:r>
      <w:r w:rsidR="00C12967">
        <w:t xml:space="preserve"> increase the like</w:t>
      </w:r>
      <w:r w:rsidR="008C1951">
        <w:t>lihood that a larger proportion of the aggregate is at low abundance</w:t>
      </w:r>
      <w:r w:rsidR="00E314B6">
        <w:t xml:space="preserve"> </w:t>
      </w:r>
      <w:r w:rsidR="00302934">
        <w:t xml:space="preserve">in any given period, </w:t>
      </w:r>
      <w:r w:rsidR="00E314B6">
        <w:t>limit</w:t>
      </w:r>
      <w:r w:rsidR="00302934">
        <w:t>ing</w:t>
      </w:r>
      <w:r w:rsidR="00E314B6">
        <w:t xml:space="preserve"> the number of stocks harvesters can sustainably exploit</w:t>
      </w:r>
      <w:r w:rsidR="00C12967">
        <w:t>.</w:t>
      </w:r>
      <w:r w:rsidR="00E314B6">
        <w:t xml:space="preserve"> </w:t>
      </w:r>
    </w:p>
    <w:p w14:paraId="15795BB2" w14:textId="037E0409" w:rsidR="002B460B" w:rsidRDefault="00D413CD" w:rsidP="00182788">
      <w:pPr>
        <w:ind w:firstLine="720"/>
      </w:pPr>
      <w:r>
        <w:t xml:space="preserve">Fraser River sockeye salmon, </w:t>
      </w:r>
      <w:r w:rsidR="008C1951">
        <w:t>a</w:t>
      </w:r>
      <w:r>
        <w:t xml:space="preserve"> diverse</w:t>
      </w:r>
      <w:r w:rsidR="006A4872">
        <w:t xml:space="preserve"> Pacific salmon</w:t>
      </w:r>
      <w:r>
        <w:t xml:space="preserve"> metapopulation located in southern British Columbia</w:t>
      </w:r>
      <w:r w:rsidR="002B460B">
        <w:t>, provide</w:t>
      </w:r>
      <w:r w:rsidR="004F1724">
        <w:t>s</w:t>
      </w:r>
      <w:r w:rsidR="002B460B">
        <w:t xml:space="preserve"> a </w:t>
      </w:r>
      <w:r w:rsidR="004F1724">
        <w:t>relevant</w:t>
      </w:r>
      <w:r w:rsidR="00DE08F6">
        <w:t xml:space="preserve"> example of</w:t>
      </w:r>
      <w:r w:rsidR="002B460B">
        <w:t xml:space="preserve"> </w:t>
      </w:r>
      <w:r w:rsidR="00DE08F6">
        <w:t>how</w:t>
      </w:r>
      <w:r w:rsidR="002B460B">
        <w:t xml:space="preserve"> trade-offs</w:t>
      </w:r>
      <w:r w:rsidR="00DE08F6">
        <w:t xml:space="preserve"> between conservation and management objectives may be influenced by patterns of variability and synchrony</w:t>
      </w:r>
      <w:r>
        <w:t xml:space="preserve">. Fraser River sockeye salmon </w:t>
      </w:r>
      <w:r w:rsidR="00DE08F6">
        <w:t>have been harvested</w:t>
      </w:r>
      <w:r>
        <w:t xml:space="preserve"> in </w:t>
      </w:r>
      <w:r w:rsidR="004F1724">
        <w:t xml:space="preserve">commercial marine </w:t>
      </w:r>
      <w:r w:rsidR="002B460B">
        <w:t>fisheries</w:t>
      </w:r>
      <w:r w:rsidR="00DE08F6">
        <w:t xml:space="preserve"> for over a century</w:t>
      </w:r>
      <w:r w:rsidR="007579DE">
        <w:t xml:space="preserve"> and d</w:t>
      </w:r>
      <w:r w:rsidR="004F1724">
        <w:t>espite dramatic decrea</w:t>
      </w:r>
      <w:r w:rsidR="003031CA">
        <w:t>ses in exploitation rate (from ~80% prior to 1990 to ~30% since 2000</w:t>
      </w:r>
      <w:bookmarkStart w:id="1" w:name="_GoBack"/>
      <w:bookmarkEnd w:id="1"/>
      <w:r w:rsidR="004F1724">
        <w:t xml:space="preserve">), </w:t>
      </w:r>
      <w:r w:rsidR="007579DE">
        <w:t>mean productivity of the aggregate declined</w:t>
      </w:r>
      <w:r w:rsidR="004F1724">
        <w:t xml:space="preserve"> beginning in the 1990s. </w:t>
      </w:r>
      <w:r w:rsidR="00CD0FAC">
        <w:t xml:space="preserve">Although there are some signs </w:t>
      </w:r>
      <w:r w:rsidR="007579DE">
        <w:t>of recovery</w:t>
      </w:r>
      <w:r w:rsidR="00CD0FAC">
        <w:t xml:space="preserve"> in recent years,</w:t>
      </w:r>
      <w:r w:rsidR="004F1724">
        <w:t xml:space="preserve"> </w:t>
      </w:r>
      <w:r w:rsidR="00CD0FAC">
        <w:t>recruitment</w:t>
      </w:r>
      <w:r w:rsidR="004F1724">
        <w:t xml:space="preserve"> </w:t>
      </w:r>
      <w:r w:rsidR="00CD0FAC">
        <w:t>continues to oscillate from high to low abundance</w:t>
      </w:r>
      <w:r w:rsidR="00DE08F6">
        <w:t xml:space="preserve"> (REF)</w:t>
      </w:r>
      <w:r w:rsidR="004F1724">
        <w:t>.</w:t>
      </w:r>
      <w:r w:rsidR="00CD0FAC">
        <w:t xml:space="preserve"> To some extent patterns in</w:t>
      </w:r>
      <w:r w:rsidR="003031CA">
        <w:t xml:space="preserve"> aggregate</w:t>
      </w:r>
      <w:r w:rsidR="00CD0FAC">
        <w:t xml:space="preserve"> recruitment are </w:t>
      </w:r>
      <w:r w:rsidR="003031CA">
        <w:t>driven by the dynamics of a subset of populations that have cycled for decades</w:t>
      </w:r>
      <w:r w:rsidR="00CD0FAC">
        <w:t>; however historically</w:t>
      </w:r>
      <w:r w:rsidR="003031CA">
        <w:t xml:space="preserve"> most</w:t>
      </w:r>
      <w:r w:rsidR="00CD0FAC">
        <w:t xml:space="preserve"> off-cycle years were sufficient</w:t>
      </w:r>
      <w:r w:rsidR="00507319">
        <w:t>ly</w:t>
      </w:r>
      <w:r w:rsidR="00CD0FAC">
        <w:t xml:space="preserve"> abundant to </w:t>
      </w:r>
      <w:r w:rsidR="00507319">
        <w:t>sustain commercial</w:t>
      </w:r>
      <w:r w:rsidR="00CD0FAC">
        <w:t xml:space="preserve"> harvest (REF).</w:t>
      </w:r>
      <w:r w:rsidR="004F1724">
        <w:t xml:space="preserve"> </w:t>
      </w:r>
      <w:r w:rsidR="00D01D2B">
        <w:t>Further complicating matters</w:t>
      </w:r>
      <w:r w:rsidR="004F1724">
        <w:t xml:space="preserve">, several populations within the aggregate </w:t>
      </w:r>
      <w:r w:rsidR="00CD0FAC">
        <w:t>continue to be</w:t>
      </w:r>
      <w:r w:rsidR="004F1724">
        <w:t xml:space="preserve"> assessed as below </w:t>
      </w:r>
      <w:r w:rsidR="00CD0FAC">
        <w:t xml:space="preserve">their </w:t>
      </w:r>
      <w:r w:rsidR="004F1724">
        <w:t xml:space="preserve">biological benchmarks (REF). </w:t>
      </w:r>
      <w:r w:rsidR="00D01D2B">
        <w:t>Since</w:t>
      </w:r>
      <w:r w:rsidR="004F1724">
        <w:t xml:space="preserve"> Fraser River </w:t>
      </w:r>
      <w:r w:rsidR="00CD0FAC">
        <w:t>sockeye</w:t>
      </w:r>
      <w:r w:rsidR="000E43A3">
        <w:t xml:space="preserve"> salmon</w:t>
      </w:r>
      <w:r w:rsidR="00CD0FAC">
        <w:t xml:space="preserve"> fisheries</w:t>
      </w:r>
      <w:r w:rsidR="00D01D2B">
        <w:t>, like most Pacific salmon fisheries,</w:t>
      </w:r>
      <w:r w:rsidR="00CD0FAC">
        <w:t xml:space="preserve"> are largely mixed-</w:t>
      </w:r>
      <w:r w:rsidR="004F1724">
        <w:t>stock</w:t>
      </w:r>
      <w:r w:rsidR="00D01D2B">
        <w:t xml:space="preserve">, </w:t>
      </w:r>
      <w:r w:rsidR="00CD0FAC">
        <w:t xml:space="preserve">abundant and depleted populations </w:t>
      </w:r>
      <w:r w:rsidR="00D01D2B">
        <w:t>are inevitably</w:t>
      </w:r>
      <w:r w:rsidR="00CD0FAC">
        <w:t xml:space="preserve"> harvested simultaneously</w:t>
      </w:r>
      <w:r w:rsidR="00DE08F6">
        <w:t xml:space="preserve"> (REF). </w:t>
      </w:r>
      <w:r w:rsidR="00CD0FAC">
        <w:t>Altogether these factors create a delicate framework</w:t>
      </w:r>
      <w:r w:rsidR="00DE08F6">
        <w:t xml:space="preserve">, </w:t>
      </w:r>
      <w:r w:rsidR="00CD0FAC">
        <w:t xml:space="preserve">where managers must balance conservation goals with the desire to sustain historically important fisheries, particularly in </w:t>
      </w:r>
      <w:r w:rsidR="002B460B">
        <w:t xml:space="preserve">periodic years of </w:t>
      </w:r>
      <w:r w:rsidR="00CD0FAC">
        <w:t>high abundance. Changes in patterns of variability and synchrony may increase tension between these trade-offs as the fishery becomes increasingly concentrated on a smaller number of abundant years.</w:t>
      </w:r>
    </w:p>
    <w:p w14:paraId="033E85F8" w14:textId="11D94666" w:rsidR="000835A0" w:rsidRDefault="002B460B" w:rsidP="00DE08F6">
      <w:pPr>
        <w:ind w:firstLine="720"/>
      </w:pPr>
      <w:r>
        <w:t>In this study, we</w:t>
      </w:r>
      <w:r w:rsidR="00D01D2B">
        <w:t xml:space="preserve"> explore the consequences of changes in aggregate variability on long-term conservation outcomes. We first</w:t>
      </w:r>
      <w:r>
        <w:t xml:space="preserve"> decompose aggregate temporal variability in </w:t>
      </w:r>
      <w:r w:rsidR="00D01D2B">
        <w:t>the Fraser River sockeye</w:t>
      </w:r>
      <w:r>
        <w:t xml:space="preserve"> salmon metapopulation into component variability and synchrony</w:t>
      </w:r>
      <w:r w:rsidR="00D01D2B">
        <w:t>, and</w:t>
      </w:r>
      <w:r>
        <w:t xml:space="preserve"> then use stochastic simulations </w:t>
      </w:r>
      <w:r>
        <w:lastRenderedPageBreak/>
        <w:t xml:space="preserve">to evaluate the long-term consequences of these changes on a suite of management objectives. </w:t>
      </w:r>
      <w:r w:rsidR="00DE08F6">
        <w:t>Specifically,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 xml:space="preserve">exploitation on the dynamics of these populations, </w:t>
      </w:r>
      <w:r w:rsidR="00D01D2B">
        <w:t>our</w:t>
      </w:r>
      <w:r w:rsidR="00E06BE2">
        <w:t xml:space="preserve"> clo</w:t>
      </w:r>
      <w:r w:rsidR="00370CB7">
        <w:t>sed-loop simulation incorporate</w:t>
      </w:r>
      <w:r w:rsidR="00D01D2B">
        <w:t>s</w:t>
      </w:r>
      <w:r w:rsidR="00E06BE2">
        <w:t xml:space="preserve"> multiple sources of mortality, as well as a realistic proxy of the current harvest control rule used to </w:t>
      </w:r>
      <w:r w:rsidR="00D01D2B">
        <w:t>manage exploitation</w:t>
      </w:r>
      <w:r w:rsidR="00E06BE2">
        <w:t xml:space="preserve">. </w:t>
      </w:r>
    </w:p>
    <w:p w14:paraId="10A61AF1" w14:textId="77777777" w:rsidR="00F22932" w:rsidRDefault="00F22932" w:rsidP="000835A0"/>
    <w:p w14:paraId="4F644A99" w14:textId="77777777" w:rsidR="000835A0" w:rsidRPr="000835A0" w:rsidRDefault="000835A0" w:rsidP="00507319">
      <w:pPr>
        <w:jc w:val="cente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5B561A5" w:rsidR="00D63DB9" w:rsidRDefault="006A4872" w:rsidP="00E06BE2">
      <w:pPr>
        <w:ind w:firstLine="720"/>
      </w:pPr>
      <w:r>
        <w:t xml:space="preserve">Sockeye salmon is an anadromous, semelparous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Pacific salmon populations exhibit local adaptations and are typically managed to conserve life history diversity (</w:t>
      </w:r>
      <w:r w:rsidR="000E43A3">
        <w:t>Holtby REF</w:t>
      </w:r>
      <w:r w:rsidR="00714028">
        <w:t xml:space="preserve">).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0E43A3">
        <w:t xml:space="preserve"> (Grant REF; Holtby REF)</w:t>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0E43A3">
        <w:t xml:space="preserve"> (Holtby REF)</w:t>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timing</w:t>
      </w:r>
      <w:r w:rsidR="000E43A3">
        <w:t xml:space="preserve"> (Grant REF)</w:t>
      </w:r>
      <w:r w:rsidR="00992367">
        <w:t xml:space="preserve">.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w:t>
      </w:r>
    </w:p>
    <w:p w14:paraId="750ECEF8" w14:textId="0FCED250" w:rsidR="00C72C7A" w:rsidRDefault="00C72C7A" w:rsidP="00C72C7A">
      <w:pPr>
        <w:ind w:firstLine="720"/>
      </w:pPr>
      <w:r>
        <w:t xml:space="preserve">Although the majority of Fraser River sockeye salmon were historically harvested in Canadian marine fisheries, </w:t>
      </w:r>
      <w:r w:rsidR="000E43A3">
        <w:t xml:space="preserve">adult </w:t>
      </w:r>
      <w:r>
        <w:t>mortality</w:t>
      </w:r>
      <w:r w:rsidR="000E43A3">
        <w:t xml:space="preserve"> </w:t>
      </w:r>
      <w:r>
        <w:t>from at least three other sources can be substantial</w:t>
      </w:r>
      <w:r w:rsidR="000E43A3" w:rsidRPr="000E43A3">
        <w:t xml:space="preserve"> </w:t>
      </w:r>
      <w:r w:rsidR="000E43A3">
        <w:t>prior to spawning</w:t>
      </w:r>
      <w:r>
        <w:t xml:space="preserve">. First, </w:t>
      </w:r>
      <w:r w:rsidR="000E43A3">
        <w:t xml:space="preserve">an American commercial fishery </w:t>
      </w:r>
      <w:r>
        <w:t>harvest</w:t>
      </w:r>
      <w:r w:rsidR="000E43A3">
        <w:t>s</w:t>
      </w:r>
      <w:r>
        <w:t xml:space="preserve"> returning sockeye salmon </w:t>
      </w:r>
      <w:r w:rsidR="000E43A3">
        <w:t>in waters between Washington and Vancouver Island</w:t>
      </w:r>
      <w:r>
        <w:t>. Second, individuals that pass through American and Canadian marine fisheries can experience high rates of en route mortality</w:t>
      </w:r>
      <w:r w:rsidR="000E43A3">
        <w:t xml:space="preserve"> during in-river migrations</w:t>
      </w:r>
      <w:r>
        <w:t>, presumably due to a combination of natural mortality (thermal stress, pathogen infection, predation) and unreported harvest (REF). En route mortality, which can exceed 60% in certain years (REF), appears to be correlated with migration phenology</w:t>
      </w:r>
      <w:r w:rsidR="000E43A3">
        <w:t xml:space="preserve"> (REF)</w:t>
      </w:r>
      <w:r>
        <w:t xml:space="preserve">, in-river temperatures (REF), and freshwater flow (REF). Finally, Fraser River sockeye may be harvested in </w:t>
      </w:r>
      <w:r w:rsidR="000E43A3">
        <w:t>various</w:t>
      </w:r>
      <w:r>
        <w:t xml:space="preserve"> in-river fisheries (e.g. food, social and cer</w:t>
      </w:r>
      <w:r w:rsidR="000E43A3">
        <w:t>emonial First Nations fisheries; recreational;</w:t>
      </w:r>
      <w:r>
        <w:t xml:space="preserve"> terminal demonstration fisheries), which are closer to spawning grounds and therefore more stock-specific.</w:t>
      </w:r>
    </w:p>
    <w:p w14:paraId="667FFEEE" w14:textId="07633BF5" w:rsidR="00961DFC" w:rsidRDefault="000C23EB" w:rsidP="006A4872">
      <w:pPr>
        <w:ind w:firstLine="720"/>
      </w:pPr>
      <w:r>
        <w:lastRenderedPageBreak/>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justment for en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E49C53F" w:rsidR="00697A59" w:rsidRDefault="006A3951" w:rsidP="00FF04FF">
      <w:r>
        <w:rPr>
          <w:i/>
        </w:rPr>
        <w:tab/>
      </w:r>
      <w:r w:rsidR="000835A0">
        <w:t>We examined temporal changes in three metrics</w:t>
      </w:r>
      <w:r w:rsidR="009801E9">
        <w:t xml:space="preserve"> of metapopulation variability</w:t>
      </w:r>
      <w:r w:rsidR="000835A0">
        <w:t xml:space="preserve"> </w:t>
      </w:r>
      <w:r>
        <w:t>(</w:t>
      </w:r>
      <w:r w:rsidR="00ED7E4C">
        <w:t>Loreau and de Mazancour</w:t>
      </w:r>
      <w:r w:rsidR="004A4853">
        <w:t>t</w:t>
      </w:r>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78C0233D" w:rsidR="000C23EB" w:rsidRDefault="00697A59" w:rsidP="006A3951">
      <w:r>
        <w:t xml:space="preserve">Here </w:t>
      </w:r>
      <w:r>
        <w:rPr>
          <w:i/>
        </w:rPr>
        <w:t xml:space="preserve">v </w:t>
      </w:r>
      <w:r>
        <w:t xml:space="preserve">denotes variance (over time) for populations </w:t>
      </w:r>
      <w:r>
        <w:rPr>
          <w:i/>
        </w:rPr>
        <w:t xml:space="preserve">i </w:t>
      </w:r>
      <w:r>
        <w:t xml:space="preserve">through </w:t>
      </w:r>
      <w:r>
        <w:rPr>
          <w:i/>
        </w:rPr>
        <w:t xml:space="preserve">j </w:t>
      </w:r>
      <w:r>
        <w:t>making up an aggregate. Thus the simplified numerator</w:t>
      </w:r>
      <w:r w:rsidR="000E43A3">
        <w:t xml:space="preserve"> represents the variance of aggregate abundance,</w:t>
      </w:r>
      <w:r>
        <w:t xml:space="preserve"> consisting of </w:t>
      </w:r>
      <w:r>
        <w:rPr>
          <w:i/>
        </w:rPr>
        <w:t>n</w:t>
      </w:r>
      <w:r w:rsidR="000E43A3">
        <w:t xml:space="preserve"> populations, and t</w:t>
      </w:r>
      <w:r>
        <w:t>he denominator is the variance of a hypothetical</w:t>
      </w:r>
      <w:r w:rsidR="00424B71">
        <w:t>, perfectly synchronized</w:t>
      </w:r>
      <w:r>
        <w:t xml:space="preserve"> population aggregate (Loreau and de Mazancourt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424B71">
        <w:t xml:space="preserve"> As a result, it can be readily used to compare systems with disparate underlying dynamics or compositions.</w:t>
      </w:r>
    </w:p>
    <w:p w14:paraId="0C8B770C" w14:textId="50912EEC" w:rsidR="000C23EB" w:rsidRDefault="000C23EB" w:rsidP="006A3951">
      <w:r>
        <w:tab/>
        <w:t>The second metric is the mean of the component</w:t>
      </w:r>
      <w:r w:rsidR="00BB7A46">
        <w:t xml:space="preserve"> populations</w:t>
      </w:r>
      <w:r>
        <w:t>’ coefficients of variation (CV</w:t>
      </w:r>
      <w:r>
        <w:rPr>
          <w:vertAlign w:val="subscript"/>
        </w:rPr>
        <w:t>c</w:t>
      </w:r>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r>
        <w:t xml:space="preserve">where </w:t>
      </w:r>
      <w:r>
        <w:rPr>
          <w:i/>
        </w:rPr>
        <w:t>m</w:t>
      </w:r>
      <w:r>
        <w:rPr>
          <w:i/>
          <w:vertAlign w:val="superscript"/>
        </w:rPr>
        <w:t>pop</w:t>
      </w:r>
      <w:r>
        <w:t>(</w:t>
      </w:r>
      <w:r>
        <w:rPr>
          <w:i/>
        </w:rPr>
        <w:t>i</w:t>
      </w:r>
      <w:r>
        <w:t xml:space="preserve">) is the mean abundance (through time) of population </w:t>
      </w:r>
      <w:r>
        <w:rPr>
          <w:i/>
        </w:rPr>
        <w:t>i</w:t>
      </w:r>
      <w:r>
        <w:t xml:space="preserve"> and </w:t>
      </w:r>
      <w:r>
        <w:rPr>
          <w:i/>
        </w:rPr>
        <w:t>m</w:t>
      </w:r>
      <w:r>
        <w:rPr>
          <w:i/>
          <w:vertAlign w:val="superscript"/>
        </w:rPr>
        <w:t>agg</w:t>
      </w:r>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lastRenderedPageBreak/>
        <w:t>Retrospective analysis</w:t>
      </w:r>
    </w:p>
    <w:p w14:paraId="7DB41CFD" w14:textId="35B70053"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 xml:space="preserve">We used </w:t>
      </w:r>
      <w:r w:rsidR="00424B71">
        <w:t>log(R/S) as an index of productivity.</w:t>
      </w:r>
      <w:r w:rsidR="00BC14E9">
        <w:t xml:space="preserve"> For most CUs this</w:t>
      </w:r>
      <w:r w:rsidR="00424B71">
        <w:t xml:space="preserve"> metric was derived from a Ricker</w:t>
      </w:r>
      <w:r w:rsidR="00BC14E9">
        <w:t xml:space="preserve"> model:</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5EE2D509" w:rsidR="004E2EDE" w:rsidRDefault="00A16FF3" w:rsidP="00A91A4F">
      <w:r>
        <w:t>w</w:t>
      </w:r>
      <w:r w:rsidR="00BC14E9">
        <w:t xml:space="preserve">here </w:t>
      </w:r>
      <w:r w:rsidR="00BC14E9">
        <w:rPr>
          <w:i/>
        </w:rPr>
        <w:t xml:space="preserve">i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the number of spawners.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the reciprocal of the number of spawners that produce maximum recruits</w:t>
      </w:r>
      <w:r w:rsidR="00BC14E9">
        <w:t xml:space="preserve">. </w:t>
      </w:r>
      <w:r w:rsidR="009322F4">
        <w:t>This model can be arranged to account for normally distributed 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 xml:space="preserve"> as</w:t>
      </w:r>
    </w:p>
    <w:p w14:paraId="5AC9D7DA" w14:textId="75F6D7FC" w:rsidR="009322F4" w:rsidRDefault="004E2EDE" w:rsidP="005D6C13">
      <w:pPr>
        <w:rPr>
          <w:rFonts w:eastAsiaTheme="minorEastAsia"/>
        </w:rPr>
      </w:pPr>
      <w:r>
        <w:t>Equation 5</w:t>
      </w:r>
      <w:r>
        <w:tab/>
      </w:r>
      <w:r w:rsidR="00D136FD">
        <w:rPr>
          <w:rFonts w:eastAsiaTheme="minorEastAsia"/>
        </w:rPr>
        <w:tab/>
      </w:r>
      <w:r w:rsidR="00D136F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322F4">
        <w:rPr>
          <w:rFonts w:eastAsiaTheme="minorEastAsia"/>
        </w:rPr>
        <w:tab/>
      </w:r>
    </w:p>
    <w:p w14:paraId="34887F4F" w14:textId="35A1F156" w:rsidR="005D6C13" w:rsidRPr="009322F4" w:rsidRDefault="009322F4" w:rsidP="009322F4">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3CB63127" w14:textId="77777777" w:rsidR="005D6C13" w:rsidRDefault="005D6C13" w:rsidP="005D6C13">
      <w:pPr>
        <w:jc w:val="center"/>
        <w:rPr>
          <w:rFonts w:eastAsiaTheme="minorEastAsia"/>
        </w:rPr>
      </w:pPr>
    </w:p>
    <w:p w14:paraId="78C68F26" w14:textId="3EB622DF"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p>
    <w:p w14:paraId="2C77A1F0" w14:textId="77777777" w:rsidR="00A91A4F" w:rsidRDefault="00A91A4F" w:rsidP="00A91A4F">
      <w:pPr>
        <w:rPr>
          <w:i/>
        </w:rPr>
      </w:pPr>
      <w:r>
        <w:rPr>
          <w:i/>
        </w:rPr>
        <w:t>Forward simulation</w:t>
      </w:r>
    </w:p>
    <w:p w14:paraId="41F59EDA" w14:textId="00C3574F" w:rsidR="008518AD" w:rsidRDefault="008518AD" w:rsidP="00A91A4F">
      <w:pPr>
        <w:rPr>
          <w:i/>
        </w:rPr>
      </w:pPr>
      <w:r>
        <w:rPr>
          <w:i/>
        </w:rPr>
        <w:t>Process submodel</w:t>
      </w:r>
    </w:p>
    <w:p w14:paraId="04FE67ED" w14:textId="62ADF6DE"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7014D4"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0AD91974" w:rsidR="004F6C38" w:rsidRDefault="007014D4"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9322F4"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5151550A" w:rsidR="004F6C38" w:rsidRDefault="004F6C38" w:rsidP="004F6C38">
      <w:pPr>
        <w:rPr>
          <w:rFonts w:eastAsiaTheme="minorEastAsia"/>
        </w:rPr>
      </w:pPr>
      <w:r>
        <w:rPr>
          <w:rFonts w:eastAsiaTheme="minorEastAsia"/>
        </w:rPr>
        <w:lastRenderedPageBreak/>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r w:rsidR="0051250B">
        <w:rPr>
          <w:rFonts w:eastAsiaTheme="minorEastAsia"/>
        </w:rPr>
        <w:t xml:space="preserve">Note that recruitment deviations in Larkin models did not include an autocorrelation component because AR1 processes have not been validated in these models and the inclusion of delayed density dependence parameters, to some extent, accounts for such effects. </w:t>
      </w:r>
    </w:p>
    <w:p w14:paraId="79F41FA1" w14:textId="3C6C33FA" w:rsidR="00D20FCD" w:rsidRDefault="0051250B" w:rsidP="002800A9">
      <w:pPr>
        <w:ind w:firstLine="720"/>
      </w:pPr>
      <w:r>
        <w:t>We also incorporated a second productivity scenario in our analysis intended to represent a period of broadly unfavorable environmental conditions for sockeye salmon, which could magnify the relative effects of CV</w:t>
      </w:r>
      <w:r>
        <w:rPr>
          <w:vertAlign w:val="subscript"/>
        </w:rPr>
        <w:t xml:space="preserve">C </w:t>
      </w:r>
      <w:r>
        <w:t>or synchrony.</w:t>
      </w:r>
      <w:r w:rsidR="00D20FCD">
        <w:t xml:space="preserve"> Changes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D20FCD">
        <w:rPr>
          <w:rFonts w:eastAsiaTheme="minorEastAsia"/>
        </w:rPr>
        <w:t>(REF); however,</w:t>
      </w:r>
      <w:r>
        <w:t xml:space="preserve"> </w:t>
      </w:r>
      <w:r w:rsidR="00D20FCD">
        <w:t>r</w:t>
      </w:r>
      <w:r>
        <w:t>ather than manipulate per capita productivity directly,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 xml:space="preserve">y-tailed) in a subset of years. Thus deviations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p>
    <w:p w14:paraId="4013A24E" w14:textId="22AD67A6" w:rsidR="00D20FCD" w:rsidRPr="008518AD" w:rsidRDefault="00D20FCD" w:rsidP="00D20FCD">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 xml:space="preserve">Student </m:t>
          </m:r>
          <m:r>
            <w:rPr>
              <w:rFonts w:ascii="Cambria Math" w:hAnsi="Cambria Math"/>
            </w:rPr>
            <m:t>t</m:t>
          </m:r>
          <m:d>
            <m:dPr>
              <m:ctrlPr>
                <w:rPr>
                  <w:rFonts w:ascii="Cambria Math" w:hAnsi="Cambria Math"/>
                </w:rPr>
              </m:ctrlPr>
            </m:dPr>
            <m:e>
              <m:r>
                <m:rPr>
                  <m:sty m:val="p"/>
                </m:rPr>
                <w:rPr>
                  <w:rFonts w:ascii="Cambria Math" w:hAnsi="Cambria Math"/>
                </w:rPr>
                <m:t xml:space="preserve"> 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m:t>
              </m:r>
              <m:r>
                <w:rPr>
                  <w:rFonts w:ascii="Cambria Math" w:hAnsi="Cambria Math"/>
                </w:rPr>
                <m:t>, γ</m:t>
              </m:r>
              <m:r>
                <m:rPr>
                  <m:sty m:val="p"/>
                </m:rPr>
                <w:rPr>
                  <w:rFonts w:ascii="Cambria Math" w:hAnsi="Cambria Math"/>
                </w:rPr>
                <m:t xml:space="preserve"> </m:t>
              </m:r>
              <m:ctrlPr>
                <w:rPr>
                  <w:rFonts w:ascii="Cambria Math" w:eastAsiaTheme="minorEastAsia" w:hAnsi="Cambria Math"/>
                  <w:i/>
                </w:rPr>
              </m:ctrlPr>
            </m:e>
          </m:d>
        </m:oMath>
      </m:oMathPara>
    </w:p>
    <w:p w14:paraId="558FAB95" w14:textId="23433C07" w:rsidR="0051250B" w:rsidRDefault="00D20FCD" w:rsidP="008518AD">
      <w:pPr>
        <w:rPr>
          <w:rFonts w:eastAsiaTheme="minorEastAsia"/>
        </w:rPr>
      </w:pPr>
      <w:r>
        <w:t xml:space="preserve">Where </w:t>
      </w:r>
      <w:r w:rsidR="007014D4">
        <w:rPr>
          <w:b/>
        </w:rPr>
        <w:t>V</w:t>
      </w:r>
      <w:r w:rsidR="008518AD">
        <w:t xml:space="preserve"> is defined as above,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approaches the normal distribution (Anderson ref). </w:t>
      </w:r>
      <w:r w:rsidR="008518AD">
        <w:t xml:space="preserve">When </w:t>
      </w:r>
      <m:oMath>
        <m:r>
          <w:rPr>
            <w:rFonts w:ascii="Cambria Math" w:hAnsi="Cambria Math"/>
          </w:rPr>
          <m:t>γ</m:t>
        </m:r>
      </m:oMath>
      <w:r w:rsidR="008518AD">
        <w:t xml:space="preserve"> is negative the distribution is left-skewed, when it is positive it is right-skewed. We assigned relatively moderate values to both parameters </w:t>
      </w:r>
      <m:oMath>
        <m:r>
          <w:rPr>
            <w:rFonts w:ascii="Cambria Math" w:hAnsi="Cambria Math"/>
          </w:rPr>
          <m:t>(v=7;</m:t>
        </m:r>
        <m:r>
          <w:rPr>
            <w:rFonts w:ascii="Cambria Math" w:hAnsi="Cambria Math"/>
          </w:rPr>
          <m:t>γ</m:t>
        </m:r>
        <m:r>
          <w:rPr>
            <w:rFonts w:ascii="Cambria Math" w:hAnsi="Cambria Math"/>
          </w:rPr>
          <m:t>=-0.5)</m:t>
        </m:r>
      </m:oMath>
      <w:r w:rsidR="008518AD">
        <w:rPr>
          <w:rFonts w:eastAsiaTheme="minorEastAsia"/>
        </w:rPr>
        <w:t xml:space="preserve">. In the low productivity scenario we sampled from the Student </w:t>
      </w:r>
      <w:r w:rsidR="008518AD">
        <w:rPr>
          <w:rFonts w:eastAsiaTheme="minorEastAsia"/>
          <w:i/>
        </w:rPr>
        <w:t>t</w:t>
      </w:r>
      <w:r w:rsidR="008518AD">
        <w:rPr>
          <w:rFonts w:eastAsiaTheme="minorEastAsia"/>
        </w:rPr>
        <w:t xml:space="preserve"> distribution with a mean frequency of 0.3, resulting in an increased likelihood of recruitment failures in approximately one third of years.</w:t>
      </w:r>
    </w:p>
    <w:p w14:paraId="3C089EA2" w14:textId="4E893501" w:rsidR="008518AD" w:rsidRPr="008518AD" w:rsidRDefault="008518AD" w:rsidP="008518AD">
      <w:pPr>
        <w:rPr>
          <w:i/>
        </w:rPr>
      </w:pPr>
      <w:r>
        <w:rPr>
          <w:rFonts w:eastAsiaTheme="minorEastAsia"/>
          <w:i/>
        </w:rPr>
        <w:t>Management submodel</w:t>
      </w:r>
    </w:p>
    <w:p w14:paraId="4FE1128E" w14:textId="59328AA8" w:rsidR="002800A9" w:rsidRPr="00BF0BBF" w:rsidRDefault="005A0A00" w:rsidP="00DA242F">
      <w:pPr>
        <w:ind w:firstLine="720"/>
      </w:pPr>
      <w:r>
        <w:t>To adequately represent the framework used to manage Fraser River sockeye salmon w</w:t>
      </w:r>
      <w:commentRangeStart w:id="2"/>
      <w:r w:rsidR="0045142B">
        <w:t>e modeled four sequential sources of mortality</w:t>
      </w:r>
      <w:commentRangeEnd w:id="2"/>
      <w:r w:rsidR="0045142B">
        <w:rPr>
          <w:rStyle w:val="CommentReference"/>
        </w:rPr>
        <w:commentReference w:id="2"/>
      </w:r>
      <w:r w:rsidR="00FE3E50">
        <w:t xml:space="preserve">: </w:t>
      </w:r>
      <w:r w:rsidR="0045142B">
        <w:t>American fisheries, Canadian mixed-stock fisheries, en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3"/>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3"/>
      <w:r w:rsidR="002800A9">
        <w:rPr>
          <w:rStyle w:val="CommentReference"/>
        </w:rPr>
        <w:commentReference w:id="3"/>
      </w:r>
    </w:p>
    <w:p w14:paraId="713E5E3C" w14:textId="3A9B0BFB" w:rsidR="00422BF4" w:rsidRPr="00422BF4" w:rsidRDefault="00DA242F" w:rsidP="00D40465">
      <w:pPr>
        <w:rPr>
          <w:i/>
        </w:rPr>
      </w:pPr>
      <w:r>
        <w:rPr>
          <w:i/>
        </w:rPr>
        <w:t>Component variability and synchrony “treatments”</w:t>
      </w:r>
    </w:p>
    <w:p w14:paraId="0139705A" w14:textId="74640BDF" w:rsidR="00422BF4" w:rsidRDefault="00C36435" w:rsidP="007C1550">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DA242F">
        <w:t xml:space="preserve"> to </w:t>
      </w:r>
      <w:r w:rsidR="00DA242F">
        <w:lastRenderedPageBreak/>
        <w:t>create</w:t>
      </w:r>
      <w:r w:rsidR="007C1550">
        <w:rPr>
          <w:rFonts w:eastAsiaTheme="minorEastAsia"/>
        </w:rPr>
        <w:t xml:space="preserve"> nine operating models defined by unique variance-covariance matrices </w:t>
      </w:r>
      <w:r w:rsidR="009322F4">
        <w:rPr>
          <w:rFonts w:eastAsiaTheme="minorEastAsia"/>
          <w:b/>
        </w:rPr>
        <w:t>V</w:t>
      </w:r>
      <w:r w:rsidR="007C1550">
        <w:rPr>
          <w:rFonts w:eastAsiaTheme="minorEastAsia"/>
          <w:bCs/>
          <w:color w:val="222222"/>
          <w:shd w:val="clear" w:color="auto" w:fill="FFFFFF"/>
        </w:rPr>
        <w:t xml:space="preserve"> (Table 1)</w:t>
      </w:r>
      <w:r w:rsidR="007C1550">
        <w:rPr>
          <w:rFonts w:eastAsiaTheme="minorEastAsia"/>
        </w:rPr>
        <w:t xml:space="preserve">. Each operating model represents a </w:t>
      </w:r>
      <w:r w:rsidR="009322F4">
        <w:rPr>
          <w:rFonts w:eastAsiaTheme="minorEastAsia"/>
        </w:rPr>
        <w:t>distinct</w:t>
      </w:r>
      <w:r w:rsidR="007C1550">
        <w:rPr>
          <w:rFonts w:eastAsiaTheme="minorEastAsia"/>
        </w:rPr>
        <w:t xml:space="preserve"> component variabi</w:t>
      </w:r>
      <w:r w:rsidR="00DA242F">
        <w:rPr>
          <w:rFonts w:eastAsiaTheme="minorEastAsia"/>
        </w:rPr>
        <w:t xml:space="preserve">lity and synchrony “treatment”. We created component variance treatments by adjusting CU-specific estimates of process variance </w:t>
      </w:r>
      <m:oMath>
        <m:r>
          <w:rPr>
            <w:rFonts w:ascii="Cambria Math" w:hAnsi="Cambria Math"/>
          </w:rPr>
          <m:t>σ</m:t>
        </m:r>
      </m:oMath>
      <w:r w:rsidR="00DA242F">
        <w:rPr>
          <w:rFonts w:eastAsiaTheme="minorEastAsia"/>
        </w:rPr>
        <w:t xml:space="preserve"> up or down, e.g. the “high CV</w:t>
      </w:r>
      <w:r w:rsidR="00DA242F">
        <w:rPr>
          <w:rFonts w:eastAsiaTheme="minorEastAsia"/>
          <w:vertAlign w:val="subscript"/>
        </w:rPr>
        <w:t>C</w:t>
      </w:r>
      <w:r w:rsidR="00DA242F">
        <w:rPr>
          <w:rFonts w:eastAsiaTheme="minorEastAsia"/>
        </w:rPr>
        <w:t xml:space="preserve">” represents a 50% increase in average process variance. We created synchrony treatments by setting the correlation coefficient </w:t>
      </w:r>
      <m:oMath>
        <m:r>
          <w:rPr>
            <w:rFonts w:ascii="Cambria Math" w:hAnsi="Cambria Math"/>
          </w:rPr>
          <m:t>ρ</m:t>
        </m:r>
      </m:oMath>
      <w:r w:rsidR="00DA242F">
        <w:t xml:space="preserve"> at values that produced </w:t>
      </w:r>
      <m:oMath>
        <m:r>
          <w:rPr>
            <w:rFonts w:ascii="Cambria Math" w:hAnsi="Cambria Math"/>
          </w:rPr>
          <m:t>φ</m:t>
        </m:r>
      </m:oMath>
      <w:r w:rsidR="00DA242F">
        <w:t xml:space="preserve"> values consistent with historical observations, current observations, or values moderately higher than present. </w:t>
      </w:r>
      <w:r w:rsidR="00422BF4">
        <w:t xml:space="preserve">We introduced additional stochasticity into the model via </w:t>
      </w:r>
      <w:r w:rsidR="00155B1C">
        <w:t xml:space="preserve">interannual </w:t>
      </w:r>
      <w:r w:rsidR="00422BF4">
        <w:t>variation in</w:t>
      </w:r>
      <w:r w:rsidR="009322F4">
        <w:t>:</w:t>
      </w:r>
      <w:r w:rsidR="00422BF4">
        <w:t xml:space="preserve"> age at maturity (lognormal), </w:t>
      </w:r>
      <w:r w:rsidR="007C1550">
        <w:t>in-season abundance</w:t>
      </w:r>
      <w:r w:rsidR="009322F4">
        <w:t xml:space="preserve"> estimates</w:t>
      </w:r>
      <w:r w:rsidR="007C1550">
        <w:t xml:space="preserve"> error</w:t>
      </w:r>
      <w:r w:rsidR="00422BF4">
        <w:t xml:space="preserve">, </w:t>
      </w:r>
      <w:r w:rsidR="00F07D48">
        <w:t xml:space="preserve">en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0891A476" w14:textId="4FC80380" w:rsidR="002800A9"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r w:rsidR="00162C8A">
        <w:rPr>
          <w:i/>
        </w:rPr>
        <w:t>S</w:t>
      </w:r>
      <w:r w:rsidR="00162C8A">
        <w:rPr>
          <w:vertAlign w:val="subscript"/>
        </w:rPr>
        <w:t>Gen, k</w:t>
      </w:r>
      <w:r w:rsidR="00162C8A">
        <w:t>)</w:t>
      </w:r>
      <w:r w:rsidR="00AF0717">
        <w:rPr>
          <w:rFonts w:ascii="Calibri" w:hAnsi="Calibri"/>
        </w:rPr>
        <w:t>.</w:t>
      </w:r>
      <w:r w:rsidR="00162C8A">
        <w:rPr>
          <w:rFonts w:ascii="Calibri" w:hAnsi="Calibri"/>
        </w:rPr>
        <w:t xml:space="preserve"> </w:t>
      </w: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Scheuerell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r>
        <w:rPr>
          <w:i/>
        </w:rPr>
        <w:t>S</w:t>
      </w:r>
      <w:r w:rsidRPr="00741E3C">
        <w:rPr>
          <w:vertAlign w:val="subscript"/>
        </w:rPr>
        <w:t>gen</w:t>
      </w:r>
      <w:r>
        <w:t xml:space="preserve">), which was solved numerically according to the following equation (Holt et al. 2009) </w:t>
      </w:r>
      <w:r>
        <w:tab/>
      </w:r>
      <w:r>
        <w:tab/>
      </w:r>
      <w:r>
        <w:tab/>
      </w:r>
    </w:p>
    <w:p w14:paraId="2A0B669F" w14:textId="77777777" w:rsidR="002800A9" w:rsidRDefault="002800A9" w:rsidP="002800A9">
      <w:r>
        <w:lastRenderedPageBreak/>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S</w:t>
      </w:r>
      <w:r>
        <w:rPr>
          <w:vertAlign w:val="subscript"/>
        </w:rPr>
        <w:t>gen</w:t>
      </w:r>
      <w:r>
        <w:t xml:space="preserve"> is intended to be precautionary lower benchmark. Therefore, it represents an abundance at which a CU is at increased risk of extirpation, particularly if additional mortality is introduced by harvest; however S</w:t>
      </w:r>
      <w:r>
        <w:rPr>
          <w:vertAlign w:val="subscript"/>
        </w:rPr>
        <w:t>gen</w:t>
      </w:r>
      <w:r>
        <w:t xml:space="preserve"> is greater than the abundance that would trigger protection under at-risk species legislation. Within the Wild Salmon Policy framework, CUs with an abundance greater than S</w:t>
      </w:r>
      <w:r>
        <w:rPr>
          <w:vertAlign w:val="subscript"/>
        </w:rPr>
        <w:t>MSY</w:t>
      </w:r>
      <w:r>
        <w:t xml:space="preserve"> are considered green status, those with abundances below S</w:t>
      </w:r>
      <w:r>
        <w:rPr>
          <w:vertAlign w:val="subscript"/>
        </w:rPr>
        <w:t xml:space="preserve">MSY </w:t>
      </w:r>
      <w:r>
        <w:t>and above S</w:t>
      </w:r>
      <w:r>
        <w:rPr>
          <w:vertAlign w:val="subscript"/>
        </w:rPr>
        <w:t>gen</w:t>
      </w:r>
      <w:r>
        <w:t xml:space="preserve"> are amber, and those below S</w:t>
      </w:r>
      <w:r>
        <w:rPr>
          <w:vertAlign w:val="subscript"/>
        </w:rPr>
        <w:t>gen</w:t>
      </w:r>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our analysis on performance metrics that represent the status of the metapo</w:t>
      </w:r>
      <w:r w:rsidR="001D4E33">
        <w:rPr>
          <w:rFonts w:ascii="Calibri" w:hAnsi="Calibri"/>
        </w:rPr>
        <w:t>pulation</w:t>
      </w:r>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11A47116" w14:textId="77777777" w:rsidR="00DE0F7B" w:rsidRDefault="00DE0F7B" w:rsidP="00A91A4F"/>
    <w:p w14:paraId="42999713" w14:textId="77777777" w:rsidR="000E43A3" w:rsidRDefault="000E43A3" w:rsidP="00A91A4F"/>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4"/>
      <w:r>
        <w:t xml:space="preserve">A range </w:t>
      </w:r>
      <w:commentRangeEnd w:id="4"/>
      <w:r>
        <w:rPr>
          <w:rStyle w:val="CommentReference"/>
        </w:rPr>
        <w:commentReference w:id="4"/>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metapopulations is often associated with connectivity (i.e. dispersal). Although Fraser River sockeye salmon likely function as a metapopulation over evolutionary time scales, dispersal is assumed to be nil from a management perspective, with each CU representing a genetically distinct population assemblage (REF).  In the absence of dispersal, synchronous dynamics may be driven by a common </w:t>
      </w:r>
      <w:r>
        <w:lastRenderedPageBreak/>
        <w:t>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3A1CB5B1"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8-18T11:57:00Z" w:initials="CF">
    <w:p w14:paraId="31940A4E" w14:textId="467C277E" w:rsidR="007014D4" w:rsidRDefault="007014D4">
      <w:pPr>
        <w:pStyle w:val="CommentText"/>
      </w:pPr>
      <w:r>
        <w:rPr>
          <w:rStyle w:val="CommentReference"/>
        </w:rPr>
        <w:annotationRef/>
      </w:r>
      <w:r>
        <w:t>May be too explicit</w:t>
      </w:r>
    </w:p>
  </w:comment>
  <w:comment w:id="2" w:author="DFO-MPO" w:date="2018-08-07T12:07:00Z" w:initials="D">
    <w:p w14:paraId="2ECF67AD" w14:textId="77777777" w:rsidR="007014D4" w:rsidRDefault="007014D4" w:rsidP="0045142B">
      <w:pPr>
        <w:pStyle w:val="CommentText"/>
      </w:pPr>
      <w:r>
        <w:rPr>
          <w:rStyle w:val="CommentReference"/>
        </w:rPr>
        <w:annotationRef/>
      </w:r>
      <w:r>
        <w:t>I’ve left the distinct sources of mortality in because they’re cooked into the model by default and, in the case of en-route mortality, because they interact with the TAM rule. However does this lead to unnecessary complexity?</w:t>
      </w:r>
    </w:p>
  </w:comment>
  <w:comment w:id="3" w:author="DFO-MPO" w:date="2018-08-08T14:32:00Z" w:initials="D">
    <w:p w14:paraId="007F8DDE" w14:textId="11155BD1" w:rsidR="007014D4" w:rsidRDefault="007014D4">
      <w:pPr>
        <w:pStyle w:val="CommentText"/>
      </w:pPr>
      <w:r>
        <w:rPr>
          <w:rStyle w:val="CommentReference"/>
        </w:rPr>
        <w:annotationRef/>
      </w:r>
      <w:r>
        <w:t>Is this sufficient detail for the main text?</w:t>
      </w:r>
    </w:p>
  </w:comment>
  <w:comment w:id="4" w:author="DFO-MPO" w:date="2018-08-20T10:28:00Z" w:initials="D">
    <w:p w14:paraId="6569B4E5" w14:textId="77777777" w:rsidR="007014D4" w:rsidRDefault="007014D4"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4853"/>
    <w:rsid w:val="000715F4"/>
    <w:rsid w:val="00076F0E"/>
    <w:rsid w:val="000835A0"/>
    <w:rsid w:val="000873ED"/>
    <w:rsid w:val="000C23EB"/>
    <w:rsid w:val="000E1287"/>
    <w:rsid w:val="000E43A3"/>
    <w:rsid w:val="00107E59"/>
    <w:rsid w:val="00114E9C"/>
    <w:rsid w:val="00125432"/>
    <w:rsid w:val="001463EA"/>
    <w:rsid w:val="00155B1C"/>
    <w:rsid w:val="00161092"/>
    <w:rsid w:val="00162C8A"/>
    <w:rsid w:val="00182788"/>
    <w:rsid w:val="00192B01"/>
    <w:rsid w:val="00196031"/>
    <w:rsid w:val="001A61A9"/>
    <w:rsid w:val="001D4E33"/>
    <w:rsid w:val="001E3FCB"/>
    <w:rsid w:val="001F4BE2"/>
    <w:rsid w:val="00207CE4"/>
    <w:rsid w:val="002317A6"/>
    <w:rsid w:val="002343E7"/>
    <w:rsid w:val="002632D7"/>
    <w:rsid w:val="00273B50"/>
    <w:rsid w:val="00274866"/>
    <w:rsid w:val="002800A9"/>
    <w:rsid w:val="00294313"/>
    <w:rsid w:val="002A5B41"/>
    <w:rsid w:val="002A7562"/>
    <w:rsid w:val="002B0FBF"/>
    <w:rsid w:val="002B2200"/>
    <w:rsid w:val="002B2D86"/>
    <w:rsid w:val="002B460B"/>
    <w:rsid w:val="002E258D"/>
    <w:rsid w:val="002E34D8"/>
    <w:rsid w:val="002E5DFE"/>
    <w:rsid w:val="002F10BF"/>
    <w:rsid w:val="00302934"/>
    <w:rsid w:val="003031CA"/>
    <w:rsid w:val="0032697E"/>
    <w:rsid w:val="00330D87"/>
    <w:rsid w:val="003507A2"/>
    <w:rsid w:val="003633CA"/>
    <w:rsid w:val="003655FD"/>
    <w:rsid w:val="00370CB7"/>
    <w:rsid w:val="00392E97"/>
    <w:rsid w:val="003B1DEE"/>
    <w:rsid w:val="003B7E04"/>
    <w:rsid w:val="003C1DAB"/>
    <w:rsid w:val="003C75EE"/>
    <w:rsid w:val="003E748B"/>
    <w:rsid w:val="003F5C0E"/>
    <w:rsid w:val="00422BF4"/>
    <w:rsid w:val="00424B71"/>
    <w:rsid w:val="0042726A"/>
    <w:rsid w:val="004272D3"/>
    <w:rsid w:val="0045142B"/>
    <w:rsid w:val="00463DBD"/>
    <w:rsid w:val="0047719C"/>
    <w:rsid w:val="00484993"/>
    <w:rsid w:val="00485670"/>
    <w:rsid w:val="00486597"/>
    <w:rsid w:val="004A4853"/>
    <w:rsid w:val="004B605E"/>
    <w:rsid w:val="004E0329"/>
    <w:rsid w:val="004E2EDE"/>
    <w:rsid w:val="004F1724"/>
    <w:rsid w:val="004F6C38"/>
    <w:rsid w:val="00500504"/>
    <w:rsid w:val="005027FD"/>
    <w:rsid w:val="00507319"/>
    <w:rsid w:val="0051250B"/>
    <w:rsid w:val="00531AE1"/>
    <w:rsid w:val="005326C5"/>
    <w:rsid w:val="005641CB"/>
    <w:rsid w:val="00590F69"/>
    <w:rsid w:val="005A0A00"/>
    <w:rsid w:val="005C7CAB"/>
    <w:rsid w:val="005D28A8"/>
    <w:rsid w:val="005D6C13"/>
    <w:rsid w:val="005D760D"/>
    <w:rsid w:val="005F3EF6"/>
    <w:rsid w:val="006068C0"/>
    <w:rsid w:val="00645D76"/>
    <w:rsid w:val="00697A59"/>
    <w:rsid w:val="006A3951"/>
    <w:rsid w:val="006A4872"/>
    <w:rsid w:val="006C114F"/>
    <w:rsid w:val="006D6CBB"/>
    <w:rsid w:val="007014D4"/>
    <w:rsid w:val="00703544"/>
    <w:rsid w:val="0070590B"/>
    <w:rsid w:val="00714028"/>
    <w:rsid w:val="007141E5"/>
    <w:rsid w:val="007350E4"/>
    <w:rsid w:val="00741E3C"/>
    <w:rsid w:val="007579DE"/>
    <w:rsid w:val="0079592C"/>
    <w:rsid w:val="007A279A"/>
    <w:rsid w:val="007B5D6D"/>
    <w:rsid w:val="007C1550"/>
    <w:rsid w:val="007D37A5"/>
    <w:rsid w:val="007D5362"/>
    <w:rsid w:val="008018CA"/>
    <w:rsid w:val="00815021"/>
    <w:rsid w:val="008214FE"/>
    <w:rsid w:val="00837CE3"/>
    <w:rsid w:val="008518AD"/>
    <w:rsid w:val="00886C25"/>
    <w:rsid w:val="008B18F2"/>
    <w:rsid w:val="008B4C24"/>
    <w:rsid w:val="008C1650"/>
    <w:rsid w:val="008C1951"/>
    <w:rsid w:val="008C5E1B"/>
    <w:rsid w:val="00901BDD"/>
    <w:rsid w:val="009215C5"/>
    <w:rsid w:val="009322F4"/>
    <w:rsid w:val="00937B72"/>
    <w:rsid w:val="00940776"/>
    <w:rsid w:val="00951950"/>
    <w:rsid w:val="00961B8C"/>
    <w:rsid w:val="00961DFC"/>
    <w:rsid w:val="009736AE"/>
    <w:rsid w:val="009801E9"/>
    <w:rsid w:val="0098510C"/>
    <w:rsid w:val="0098639B"/>
    <w:rsid w:val="00992367"/>
    <w:rsid w:val="00996327"/>
    <w:rsid w:val="009E2CC0"/>
    <w:rsid w:val="00A16FF3"/>
    <w:rsid w:val="00A44098"/>
    <w:rsid w:val="00A80702"/>
    <w:rsid w:val="00A91A4F"/>
    <w:rsid w:val="00A957BB"/>
    <w:rsid w:val="00AA4419"/>
    <w:rsid w:val="00AE3B72"/>
    <w:rsid w:val="00AE6C34"/>
    <w:rsid w:val="00AF0717"/>
    <w:rsid w:val="00B27AEE"/>
    <w:rsid w:val="00B40124"/>
    <w:rsid w:val="00B42D41"/>
    <w:rsid w:val="00B643B7"/>
    <w:rsid w:val="00B71AD9"/>
    <w:rsid w:val="00B96B00"/>
    <w:rsid w:val="00BB7A46"/>
    <w:rsid w:val="00BC14E9"/>
    <w:rsid w:val="00BE3900"/>
    <w:rsid w:val="00BF0BBF"/>
    <w:rsid w:val="00BF12B8"/>
    <w:rsid w:val="00C12967"/>
    <w:rsid w:val="00C14A36"/>
    <w:rsid w:val="00C21A57"/>
    <w:rsid w:val="00C26602"/>
    <w:rsid w:val="00C36435"/>
    <w:rsid w:val="00C72C7A"/>
    <w:rsid w:val="00C93206"/>
    <w:rsid w:val="00CB3AA4"/>
    <w:rsid w:val="00CC7F18"/>
    <w:rsid w:val="00CD0FAC"/>
    <w:rsid w:val="00D01D2B"/>
    <w:rsid w:val="00D136FD"/>
    <w:rsid w:val="00D20FCD"/>
    <w:rsid w:val="00D21D5F"/>
    <w:rsid w:val="00D2599C"/>
    <w:rsid w:val="00D40465"/>
    <w:rsid w:val="00D413CD"/>
    <w:rsid w:val="00D53F99"/>
    <w:rsid w:val="00D63DB9"/>
    <w:rsid w:val="00D95057"/>
    <w:rsid w:val="00D971BA"/>
    <w:rsid w:val="00DA242F"/>
    <w:rsid w:val="00DA470D"/>
    <w:rsid w:val="00DC48B1"/>
    <w:rsid w:val="00DE08F6"/>
    <w:rsid w:val="00DE0F7B"/>
    <w:rsid w:val="00DE21D8"/>
    <w:rsid w:val="00DE7503"/>
    <w:rsid w:val="00E06BE2"/>
    <w:rsid w:val="00E23EA2"/>
    <w:rsid w:val="00E314B6"/>
    <w:rsid w:val="00E531D5"/>
    <w:rsid w:val="00E53403"/>
    <w:rsid w:val="00E63CBB"/>
    <w:rsid w:val="00EA0C93"/>
    <w:rsid w:val="00EB655E"/>
    <w:rsid w:val="00EC016C"/>
    <w:rsid w:val="00ED0654"/>
    <w:rsid w:val="00ED5A49"/>
    <w:rsid w:val="00ED7E4C"/>
    <w:rsid w:val="00F0579C"/>
    <w:rsid w:val="00F07D48"/>
    <w:rsid w:val="00F22932"/>
    <w:rsid w:val="00F42DD1"/>
    <w:rsid w:val="00F93B58"/>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06576-4541-4780-ACB8-AF1B9FB49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2475</TotalTime>
  <Pages>9</Pages>
  <Words>5739</Words>
  <Characters>32716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38379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64</cp:revision>
  <cp:lastPrinted>2018-05-03T17:52:00Z</cp:lastPrinted>
  <dcterms:created xsi:type="dcterms:W3CDTF">2018-04-17T18:31:00Z</dcterms:created>
  <dcterms:modified xsi:type="dcterms:W3CDTF">2018-08-20T23:05:00Z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