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77777777" w:rsidR="00D63DB9" w:rsidRDefault="006A4872" w:rsidP="00E06BE2">
      <w:pPr>
        <w:ind w:firstLine="720"/>
      </w:pPr>
      <w:r>
        <w:t xml:space="preserve">Sockeye salmon is an anadromous, </w:t>
      </w:r>
      <w:proofErr w:type="spellStart"/>
      <w:r>
        <w:t>semelparous</w:t>
      </w:r>
      <w:proofErr w:type="spellEnd"/>
      <w:r>
        <w:t xml:space="preserve">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Typically, 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w:t>
      </w:r>
      <w:r w:rsidR="00E06BE2">
        <w:lastRenderedPageBreak/>
        <w:t xml:space="preserve">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77777777" w:rsidR="00961DFC" w:rsidRDefault="000C23EB" w:rsidP="006A4872">
      <w:pPr>
        <w:ind w:firstLine="720"/>
      </w:pPr>
      <w:r>
        <w:t>The time series w</w:t>
      </w:r>
      <w:r w:rsidR="00961DFC">
        <w:t xml:space="preserve">e used </w:t>
      </w:r>
      <w:r>
        <w:t xml:space="preserve">for this analysis include </w:t>
      </w:r>
      <w:r w:rsidR="00961DFC">
        <w:t>estimates of spawner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77777777" w:rsidR="000835A0" w:rsidRDefault="006A3951" w:rsidP="006A3951">
      <w:r>
        <w:rPr>
          <w:i/>
        </w:rPr>
        <w:tab/>
      </w:r>
      <w:r w:rsidR="000835A0">
        <w:t xml:space="preserve">We examined temporal changes in three </w:t>
      </w:r>
      <w:r>
        <w:t xml:space="preserve">recently defined, </w:t>
      </w:r>
      <w:r w:rsidR="000835A0">
        <w:t>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5C304413" w:rsidR="000C23EB" w:rsidRDefault="000C23EB" w:rsidP="006A3951">
      <w:r>
        <w:t>This synchrony index</w:t>
      </w:r>
      <w:r w:rsidR="002A7562">
        <w:t xml:space="preserve"> (</w:t>
      </w:r>
      <w:r w:rsidR="002A7562">
        <w:rPr>
          <w:rFonts w:ascii="Calibri" w:hAnsi="Calibri"/>
        </w:rPr>
        <w:t>φ</w:t>
      </w:r>
      <w:r w:rsidR="002A7562">
        <w:t>)</w:t>
      </w:r>
      <w:r>
        <w:t xml:space="preserve"> is approximately equivalent to </w:t>
      </w:r>
      <w:r w:rsidR="00BC14E9">
        <w:t>comparing</w:t>
      </w:r>
      <w:r>
        <w:t xml:space="preserve"> mean pairwise correlation coefficients</w:t>
      </w:r>
      <w:r w:rsidR="00BC14E9">
        <w:t>, which are commonly used in similar analyses</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w:t>
      </w:r>
      <w:proofErr w:type="spellStart"/>
      <w:r>
        <w:t>CV</w:t>
      </w:r>
      <w:r>
        <w:rPr>
          <w:vertAlign w:val="subscript"/>
        </w:rPr>
        <w:t>c</w:t>
      </w:r>
      <w:proofErr w:type="spellEnd"/>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as a function of the first two metrics following Thibaut and Connolly (2013).</w:t>
      </w:r>
    </w:p>
    <w:p w14:paraId="2B9ACF7F" w14:textId="77777777" w:rsidR="000C23EB" w:rsidRDefault="000C23EB" w:rsidP="000C23EB">
      <w:r>
        <w:t>Eq. 3 Add EQ 3</w:t>
      </w:r>
    </w:p>
    <w:p w14:paraId="6D170337" w14:textId="77777777"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 xml:space="preserve">is dampened when components are asynchronous. </w:t>
      </w:r>
    </w:p>
    <w:p w14:paraId="26E34B25" w14:textId="77777777" w:rsidR="000C23EB" w:rsidRDefault="000C23EB" w:rsidP="00A91A4F">
      <w:pPr>
        <w:rPr>
          <w:i/>
        </w:rPr>
      </w:pPr>
      <w:r>
        <w:rPr>
          <w:i/>
        </w:rPr>
        <w:lastRenderedPageBreak/>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680A42CC" w:rsidR="00BC14E9" w:rsidRDefault="00BC14E9" w:rsidP="00A91A4F">
      <w:proofErr w:type="gramStart"/>
      <w:r>
        <w:t>Ricker Eq.</w:t>
      </w:r>
      <w:proofErr w:type="gramEnd"/>
    </w:p>
    <w:p w14:paraId="78C68F26" w14:textId="66359399" w:rsidR="000C23EB" w:rsidRDefault="00BC14E9" w:rsidP="00A91A4F">
      <w:r>
        <w:t xml:space="preserve">Where </w:t>
      </w:r>
      <w:proofErr w:type="spellStart"/>
      <w:r>
        <w:rPr>
          <w:i/>
        </w:rPr>
        <w:t>i</w:t>
      </w:r>
      <w:proofErr w:type="spellEnd"/>
      <w:r>
        <w:rPr>
          <w:i/>
        </w:rPr>
        <w:t xml:space="preserve">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w:t>
      </w:r>
      <w:proofErr w:type="spellStart"/>
      <w:r>
        <w:t>spawners</w:t>
      </w:r>
      <w:proofErr w:type="spellEnd"/>
      <w:r>
        <w:t xml:space="preserve">,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proofErr w:type="spellStart"/>
      <w:proofErr w:type="gramStart"/>
      <w:r w:rsidR="00D40465">
        <w:rPr>
          <w:i/>
        </w:rPr>
        <w:t>w</w:t>
      </w:r>
      <w:r w:rsidR="00D40465">
        <w:rPr>
          <w:i/>
          <w:vertAlign w:val="subscript"/>
        </w:rPr>
        <w:t>i</w:t>
      </w:r>
      <w:proofErr w:type="spellEnd"/>
      <w:r w:rsidR="00D40465">
        <w:rPr>
          <w:i/>
          <w:vertAlign w:val="subscript"/>
        </w:rPr>
        <w:t>(</w:t>
      </w:r>
      <w:proofErr w:type="gramEnd"/>
      <w:r w:rsidR="00D40465">
        <w:rPr>
          <w:i/>
          <w:vertAlign w:val="subscript"/>
        </w:rPr>
        <w:t>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 productivity was estimated using a Ricker or Larkin model followed designations in the most recent Wild Salmon Policy assessment (REF). </w:t>
      </w:r>
      <w:r w:rsidR="002A7562" w:rsidRPr="00BC14E9">
        <w:t>We</w:t>
      </w:r>
      <w:r w:rsidR="002A7562">
        <w:t xml:space="preserve"> examined trends in per capita productivity because this metric accounts for density dependent processes</w:t>
      </w:r>
      <w:r>
        <w:t xml:space="preserve"> and </w:t>
      </w:r>
      <w:proofErr w:type="spellStart"/>
      <w:r>
        <w:t>cyclicity</w:t>
      </w:r>
      <w:proofErr w:type="spellEnd"/>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slowed even when harvest is dramatically reduced.</w:t>
      </w:r>
    </w:p>
    <w:p w14:paraId="16C7D102" w14:textId="38FCE4AF"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A</w:t>
      </w:r>
      <w:r>
        <w:rPr>
          <w:vertAlign w:val="subscript"/>
        </w:rPr>
        <w:t xml:space="preserve"> </w:t>
      </w:r>
      <w:r>
        <w:t xml:space="preserve">by </w:t>
      </w:r>
      <w:proofErr w:type="gramStart"/>
      <w:r>
        <w:t>regressing</w:t>
      </w:r>
      <w:proofErr w:type="gramEnd"/>
      <w:r>
        <w:t xml:space="preserve"> each index against time. We then tested whether changes CV</w:t>
      </w:r>
      <w:r>
        <w:rPr>
          <w:vertAlign w:val="subscript"/>
        </w:rPr>
        <w:t>A</w:t>
      </w:r>
      <w:r>
        <w:t xml:space="preserve"> were more strongly correlated with </w:t>
      </w:r>
      <w:r>
        <w:rPr>
          <w:rFonts w:ascii="Calibri" w:hAnsi="Calibri"/>
        </w:rPr>
        <w:t xml:space="preserve">φ or </w:t>
      </w:r>
      <w:r>
        <w:t>CV</w:t>
      </w:r>
      <w:r>
        <w:rPr>
          <w:vertAlign w:val="subscript"/>
        </w:rPr>
        <w:t>C</w:t>
      </w:r>
      <w:r>
        <w:rPr>
          <w:vertAlign w:val="subscript"/>
        </w:rPr>
        <w:t xml:space="preserve"> </w:t>
      </w:r>
      <w:r>
        <w:t>by comparing correlation coefficients.</w:t>
      </w:r>
    </w:p>
    <w:p w14:paraId="2C77A1F0" w14:textId="77777777" w:rsidR="00A91A4F" w:rsidRDefault="00A91A4F" w:rsidP="00A91A4F">
      <w:pPr>
        <w:rPr>
          <w:i/>
        </w:rPr>
      </w:pPr>
      <w:r>
        <w:rPr>
          <w:i/>
        </w:rPr>
        <w:t>Forward simulation</w:t>
      </w:r>
    </w:p>
    <w:p w14:paraId="58DDE5FD" w14:textId="2352E88E" w:rsidR="00B42D41" w:rsidRDefault="00B42D41" w:rsidP="00A91A4F">
      <w:r>
        <w:tab/>
        <w:t xml:space="preserve">We used a stochastic closed-loop model to forward simulate the dynamics of the Fraser River sockeye salmon aggregate and explore how differences in aggregate variability may influence conservation outcomes. The model includes CU-specific population dynamics and harvesting, while incorporating process, observation, and management implementation uncertainty. </w:t>
      </w:r>
    </w:p>
    <w:p w14:paraId="65A5E95D" w14:textId="7A005B8A" w:rsidR="00FC25A5" w:rsidRDefault="00B42D41" w:rsidP="00D40465">
      <w:r>
        <w:tab/>
        <w:t xml:space="preserve">Population dynamics were modeled using the same age-structured Ricker or Larkin models described above, with demographic stochasticity incorporated via random deviations in recruitment and age-at-maturity. </w:t>
      </w:r>
      <w:r w:rsidR="00D40465">
        <w:t xml:space="preserve">To generate future recruits, we used CU-specific median estimates of </w:t>
      </w:r>
      <w:proofErr w:type="gramStart"/>
      <w:r w:rsidR="00D40465">
        <w:rPr>
          <w:i/>
        </w:rPr>
        <w:t>a</w:t>
      </w:r>
      <w:r w:rsidR="00D40465">
        <w:t xml:space="preserve"> and</w:t>
      </w:r>
      <w:proofErr w:type="gramEnd"/>
      <w:r w:rsidR="00D40465">
        <w:t xml:space="preserve"> </w:t>
      </w:r>
      <w:r w:rsidR="00D40465">
        <w:rPr>
          <w:i/>
        </w:rPr>
        <w:t xml:space="preserve">b </w:t>
      </w:r>
      <w:r w:rsidR="00D40465">
        <w:t>generated from an external stock recruit analysis (ref to FRSSI). While these models generate estimates of stock-recruit deviations, we parameterized sigma within the closed-loop simulation depending on the operating model scenario that was being explored (details below).</w:t>
      </w:r>
    </w:p>
    <w:p w14:paraId="7AC4B397" w14:textId="72BC2114" w:rsidR="00D40465" w:rsidRDefault="00D40465" w:rsidP="00D40465">
      <w:r>
        <w:tab/>
        <w:t xml:space="preserve">Harvest occurred each year, with exploitation rates determined by a harvest control rule (HCR) that replicates the Total Allowable Mortality framework currently used to regulate harvest rates for Fraser River sockeye salmon (details in supplement). </w:t>
      </w:r>
      <w:r w:rsidR="002317A6">
        <w:t xml:space="preserve">Briefly, each year a forecast of recruit abundance was generated at the MU level, the scale at which harvest rates are set for mixed stock, marine fisheries. </w:t>
      </w:r>
      <w:r w:rsidR="002317A6">
        <w:lastRenderedPageBreak/>
        <w:t xml:space="preserve">Whether the forecast was above, below, or between two </w:t>
      </w:r>
      <w:proofErr w:type="gramStart"/>
      <w:r w:rsidR="002317A6">
        <w:t>reference</w:t>
      </w:r>
      <w:proofErr w:type="gramEnd"/>
      <w:r w:rsidR="002317A6">
        <w:t xml:space="preserve"> control points determined each MU’s total allowable catch (TAC). The TACs were then used to calculate an MU-specific target harvest rate. The target harvest rate was converted into a realized exploitation rate that incorporated fishery-specific outcome uncertainty. </w:t>
      </w:r>
      <w:bookmarkStart w:id="0" w:name="_GoBack"/>
      <w:bookmarkEnd w:id="0"/>
    </w:p>
    <w:p w14:paraId="28F678D1" w14:textId="77777777"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14:paraId="1285B036" w14:textId="77777777"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14:paraId="2DC5C9A1" w14:textId="77777777"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en route mortality.  </w:t>
      </w:r>
    </w:p>
    <w:p w14:paraId="17D5004E" w14:textId="77777777" w:rsidR="00FC25A5" w:rsidRDefault="00FC25A5" w:rsidP="00FC25A5">
      <w:pPr>
        <w:pStyle w:val="ListParagraph"/>
        <w:numPr>
          <w:ilvl w:val="2"/>
          <w:numId w:val="8"/>
        </w:numPr>
        <w:spacing w:line="240" w:lineRule="auto"/>
      </w:pPr>
      <w:r>
        <w:t>Provide details of TAM rule as supplement</w:t>
      </w:r>
    </w:p>
    <w:p w14:paraId="61796981" w14:textId="77777777"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14:paraId="09D16A69" w14:textId="77777777"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14:paraId="41EBEAE0" w14:textId="77777777"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14:paraId="129E7E13" w14:textId="77777777"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14:paraId="65576B8D" w14:textId="77777777"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14:paraId="65C5F974" w14:textId="77777777"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14:paraId="76FFD34B" w14:textId="77777777"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14:paraId="4F59E3A0" w14:textId="77777777"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14:paraId="467E42DF" w14:textId="77777777"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14:paraId="74D8455E" w14:textId="77777777"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14:paraId="27EA179E" w14:textId="77777777"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14:paraId="5A98D499" w14:textId="77777777"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14:paraId="3420E75F" w14:textId="77777777" w:rsidR="003E748B" w:rsidRDefault="003E748B" w:rsidP="00645D76">
      <w:pPr>
        <w:pStyle w:val="ListParagraph"/>
        <w:numPr>
          <w:ilvl w:val="1"/>
          <w:numId w:val="8"/>
        </w:numPr>
        <w:spacing w:line="240" w:lineRule="auto"/>
      </w:pPr>
      <w:proofErr w:type="spellStart"/>
      <w:r>
        <w:t>Ppn</w:t>
      </w:r>
      <w:proofErr w:type="spellEnd"/>
      <w:r>
        <w:t xml:space="preserve"> of CUs above specific reference points at end of sim</w:t>
      </w:r>
      <w:r w:rsidR="00022839">
        <w:t xml:space="preserve"> – provides an index of CU-specific conservation status, which is the focus of most management and conservation interventions</w:t>
      </w:r>
    </w:p>
    <w:p w14:paraId="6D58EFAA" w14:textId="77777777" w:rsidR="001F4BE2" w:rsidRDefault="001F4BE2" w:rsidP="001F4BE2">
      <w:pPr>
        <w:pStyle w:val="ListParagraph"/>
        <w:numPr>
          <w:ilvl w:val="0"/>
          <w:numId w:val="8"/>
        </w:numPr>
        <w:spacing w:line="240" w:lineRule="auto"/>
      </w:pPr>
      <w:r>
        <w:t>Simulation specifics</w:t>
      </w:r>
    </w:p>
    <w:p w14:paraId="07EF49E4" w14:textId="77777777" w:rsidR="001F4BE2" w:rsidRDefault="001F4BE2" w:rsidP="001F4BE2">
      <w:pPr>
        <w:pStyle w:val="ListParagraph"/>
        <w:numPr>
          <w:ilvl w:val="1"/>
          <w:numId w:val="8"/>
        </w:numPr>
        <w:spacing w:line="240" w:lineRule="auto"/>
      </w:pPr>
      <w:r>
        <w:t xml:space="preserve">Instead of a priming period to initiate the simulation, we used CU-specific observations of recruits and </w:t>
      </w:r>
      <w:proofErr w:type="spellStart"/>
      <w:r>
        <w:t>spawners</w:t>
      </w:r>
      <w:proofErr w:type="spellEnd"/>
      <w:r>
        <w:t>; ensured that populations were at realistic levels of abundance and that cyclic stocks generated realistic patterns</w:t>
      </w:r>
    </w:p>
    <w:p w14:paraId="01F2707F" w14:textId="77777777"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14:paraId="4CD2623F" w14:textId="77777777" w:rsidR="001F4BE2" w:rsidRPr="00927404" w:rsidRDefault="001F4BE2" w:rsidP="001F4BE2">
      <w:pPr>
        <w:pStyle w:val="ListParagraph"/>
        <w:numPr>
          <w:ilvl w:val="1"/>
          <w:numId w:val="8"/>
        </w:numPr>
        <w:spacing w:line="240" w:lineRule="auto"/>
      </w:pPr>
      <w:r>
        <w:lastRenderedPageBreak/>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14:paraId="033F56D1" w14:textId="77777777" w:rsidR="00076F0E" w:rsidRDefault="00076F0E">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F4BE2"/>
    <w:rsid w:val="002317A6"/>
    <w:rsid w:val="002343E7"/>
    <w:rsid w:val="00274866"/>
    <w:rsid w:val="00294313"/>
    <w:rsid w:val="002A7562"/>
    <w:rsid w:val="002E5DFE"/>
    <w:rsid w:val="003655FD"/>
    <w:rsid w:val="003B7E04"/>
    <w:rsid w:val="003E748B"/>
    <w:rsid w:val="003F5C0E"/>
    <w:rsid w:val="00485670"/>
    <w:rsid w:val="00486597"/>
    <w:rsid w:val="004A4853"/>
    <w:rsid w:val="005641CB"/>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A91A4F"/>
    <w:rsid w:val="00A957BB"/>
    <w:rsid w:val="00AE3B72"/>
    <w:rsid w:val="00B42D41"/>
    <w:rsid w:val="00B96B00"/>
    <w:rsid w:val="00BC14E9"/>
    <w:rsid w:val="00BF12B8"/>
    <w:rsid w:val="00C14A36"/>
    <w:rsid w:val="00D2599C"/>
    <w:rsid w:val="00D40465"/>
    <w:rsid w:val="00D413CD"/>
    <w:rsid w:val="00D63DB9"/>
    <w:rsid w:val="00D95057"/>
    <w:rsid w:val="00D971BA"/>
    <w:rsid w:val="00DA470D"/>
    <w:rsid w:val="00DE7503"/>
    <w:rsid w:val="00E06BE2"/>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20</cp:revision>
  <cp:lastPrinted>2018-05-03T17:52:00Z</cp:lastPrinted>
  <dcterms:created xsi:type="dcterms:W3CDTF">2018-04-17T18:31:00Z</dcterms:created>
  <dcterms:modified xsi:type="dcterms:W3CDTF">2018-06-18T18:56:00Z</dcterms:modified>
</cp:coreProperties>
</file>