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757215C3" w14:textId="7DC97B2A" w:rsidR="00E62993" w:rsidRDefault="00ED0654" w:rsidP="0042726A">
      <w:pPr>
        <w:ind w:firstLine="720"/>
      </w:pPr>
      <w:r>
        <w:t>Ecological aggregates</w:t>
      </w:r>
      <w:r w:rsidR="00C14AB9">
        <w:t>,</w:t>
      </w:r>
      <w:r>
        <w:t xml:space="preserve"> such as m</w:t>
      </w:r>
      <w:r w:rsidR="003C75EE">
        <w:t xml:space="preserve">etapopulations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w:t>
      </w:r>
      <w:r w:rsidR="0001087A">
        <w:t>typically reduces temporal</w:t>
      </w:r>
      <w:r w:rsidR="005C7CAB">
        <w:t xml:space="preserve"> variability in</w:t>
      </w:r>
      <w:r w:rsidR="003C75EE">
        <w:t xml:space="preserve"> the dynamics of </w:t>
      </w:r>
      <w:r w:rsidR="00330D87">
        <w:t xml:space="preserve">these </w:t>
      </w:r>
      <w:r w:rsidR="00CC7F18">
        <w:t>ecological aggregates</w:t>
      </w:r>
      <w:r w:rsidR="0001087A">
        <w:t xml:space="preserve"> and creates </w:t>
      </w:r>
      <w:r w:rsidR="005C7CAB">
        <w:t>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 xml:space="preserve">(Tilman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01087A">
        <w:t>as well as increased</w:t>
      </w:r>
      <w:r w:rsidR="00C14AB9">
        <w:t xml:space="preserv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 </w:instrText>
      </w:r>
      <w:r w:rsidR="00E531D5" w:rsidRPr="0001087A">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EN.CITE.DATA </w:instrText>
      </w:r>
      <w:r w:rsidR="00E531D5" w:rsidRPr="0001087A">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01087A">
        <w:t>As the</w:t>
      </w:r>
      <w:r w:rsidR="005162B8">
        <w:t xml:space="preserve"> recognition of the</w:t>
      </w:r>
      <w:r w:rsidR="00AE2504">
        <w:t>se</w:t>
      </w:r>
      <w:r w:rsidR="00240A6D">
        <w:t xml:space="preserve"> ecological benefits </w:t>
      </w:r>
      <w:r w:rsidR="00AE2504">
        <w:t>has</w:t>
      </w:r>
      <w:r w:rsidR="005162B8">
        <w:t xml:space="preserve"> </w:t>
      </w:r>
      <w:r w:rsidR="0001087A">
        <w:t>grown,</w:t>
      </w:r>
      <w:r w:rsidR="0001087A" w:rsidRPr="0001087A">
        <w:t xml:space="preserve"> </w:t>
      </w:r>
      <w:r w:rsidR="0001087A">
        <w:t>systems-based approaches have developed (Link 2018), which explicitly emphasize</w:t>
      </w:r>
      <w:r w:rsidR="00240A6D">
        <w:t xml:space="preserve"> monitoring and </w:t>
      </w:r>
      <w:r w:rsidR="0001087A">
        <w:t>conserving</w:t>
      </w:r>
      <w:r w:rsidR="00240A6D">
        <w:t xml:space="preserve"> aggregates</w:t>
      </w:r>
      <w:r w:rsidR="005162B8">
        <w:t xml:space="preserve"> rather than component species or populations</w:t>
      </w:r>
      <w:r w:rsidR="00240A6D">
        <w:t xml:space="preserve">. </w:t>
      </w:r>
    </w:p>
    <w:p w14:paraId="362378CE" w14:textId="3B8B4E92" w:rsidR="00344A1C" w:rsidRDefault="00AE2504" w:rsidP="00105D86">
      <w:pPr>
        <w:ind w:firstLine="720"/>
      </w:pPr>
      <w:r>
        <w:t xml:space="preserve">Accounting for portfolio effects via </w:t>
      </w:r>
      <w:r w:rsidR="005162B8">
        <w:t>s</w:t>
      </w:r>
      <w:r w:rsidR="00240A6D">
        <w:t xml:space="preserve">ystems-based approaches </w:t>
      </w:r>
      <w:r w:rsidR="005162B8">
        <w:t xml:space="preserve">may be particularly useful in disciplines such as fishery science, </w:t>
      </w:r>
      <w:r w:rsidR="00C14AB9">
        <w:t>where managers are often tasked with sustainably harvesting aggregates of distinct stocks</w:t>
      </w:r>
      <w:r w:rsidR="00923937">
        <w:t>.</w:t>
      </w:r>
      <w:r w:rsidR="0041059E">
        <w:t xml:space="preserve"> </w:t>
      </w:r>
      <w:r w:rsidR="00DD255E">
        <w:t>At the coarsest level</w:t>
      </w:r>
      <w:r w:rsidR="00E62993">
        <w:t xml:space="preserve"> the relationship between diversity and stability is strongly influenced by statistical averaging </w:t>
      </w:r>
      <w:r w:rsidR="00E62993">
        <w:fldChar w:fldCharType="begin"/>
      </w:r>
      <w:r w:rsidR="00E6299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E62993">
        <w:fldChar w:fldCharType="separate"/>
      </w:r>
      <w:r w:rsidR="00E62993">
        <w:rPr>
          <w:noProof/>
        </w:rPr>
        <w:t>(Doak</w:t>
      </w:r>
      <w:r w:rsidR="00E62993" w:rsidRPr="004272D3">
        <w:rPr>
          <w:i/>
          <w:noProof/>
        </w:rPr>
        <w:t xml:space="preserve"> et al.</w:t>
      </w:r>
      <w:r w:rsidR="00E62993">
        <w:rPr>
          <w:noProof/>
        </w:rPr>
        <w:t xml:space="preserve"> 1998)</w:t>
      </w:r>
      <w:r w:rsidR="00E62993">
        <w:fldChar w:fldCharType="end"/>
      </w:r>
      <w:r w:rsidR="00DD255E">
        <w:t>. Thus</w:t>
      </w:r>
      <w:r w:rsidR="00E62993">
        <w:t xml:space="preserve"> there are tangible benefits to simply insuring that a relatively large number of stocks contribute to a fishery. </w:t>
      </w:r>
      <w:r w:rsidR="00105D86">
        <w:t>Indeed one of the most commonly cited examples of ecological portfolios is the Bristol Bay sockeye salmon</w:t>
      </w:r>
      <w:r w:rsidR="00CF1937">
        <w:t xml:space="preserve"> (</w:t>
      </w:r>
      <w:r w:rsidR="00CF1937">
        <w:rPr>
          <w:i/>
        </w:rPr>
        <w:t>Oncorhynchus nerka</w:t>
      </w:r>
      <w:r w:rsidR="00CF1937">
        <w:t>)</w:t>
      </w:r>
      <w:r w:rsidR="00105D86">
        <w:t xml:space="preserve"> fishery, where the sheer number of distinct populations in the region reduces aggregate variability in spawner abundance (Hilborn et al. 2003; Schindler et al. 2010). </w:t>
      </w:r>
      <w:r w:rsidR="004270DD">
        <w:t>Since s</w:t>
      </w:r>
      <w:r w:rsidR="00DD255E">
        <w:t>tock diversity</w:t>
      </w:r>
      <w:r w:rsidR="00105D86">
        <w:t xml:space="preserve"> is correlated with </w:t>
      </w:r>
      <w:r w:rsidR="00DD255E">
        <w:t>fewer</w:t>
      </w:r>
      <w:r w:rsidR="00105D86">
        <w:t xml:space="preserve"> fishery closures</w:t>
      </w:r>
      <w:r w:rsidR="0041059E">
        <w:t xml:space="preserve"> (Schindler et al. 2010)</w:t>
      </w:r>
      <w:r w:rsidR="004270DD">
        <w:t xml:space="preserve"> and more stable revenues (Cline et al. 2017) there are also</w:t>
      </w:r>
      <w:r w:rsidR="009B43D3">
        <w:t xml:space="preserve"> socio-economic</w:t>
      </w:r>
      <w:r w:rsidR="00DD255E">
        <w:t xml:space="preserve"> incentives to </w:t>
      </w:r>
      <w:r w:rsidR="009B43D3">
        <w:t>ensure the</w:t>
      </w:r>
      <w:r w:rsidR="00DD255E">
        <w:t xml:space="preserve"> maximum number of populations is maintained</w:t>
      </w:r>
      <w:r w:rsidR="00105D86">
        <w:t xml:space="preserve">. </w:t>
      </w:r>
    </w:p>
    <w:p w14:paraId="0B93D00D" w14:textId="5DF970A1" w:rsidR="00F70F29" w:rsidRDefault="00344A1C" w:rsidP="0098639B">
      <w:pPr>
        <w:ind w:firstLine="720"/>
      </w:pPr>
      <w:r>
        <w:t>Yet</w:t>
      </w:r>
      <w:r w:rsidR="00C14AB9">
        <w:t xml:space="preserve"> </w:t>
      </w:r>
      <w:r>
        <w:t xml:space="preserve">the presence of an </w:t>
      </w:r>
      <w:r w:rsidR="00922C82">
        <w:t xml:space="preserve">ecological portfolio does not guarantee stability indefinitely. </w:t>
      </w:r>
      <w:r w:rsidR="002A5B41">
        <w:t xml:space="preserve">For example, </w:t>
      </w:r>
      <w:r w:rsidR="00F70F29">
        <w:t xml:space="preserve">aggregate </w:t>
      </w:r>
      <w:r w:rsidR="00C16A84">
        <w:t>Chinook salmon</w:t>
      </w:r>
      <w:r w:rsidR="00CF1937">
        <w:t xml:space="preserve"> (</w:t>
      </w:r>
      <w:r w:rsidR="00CF1937">
        <w:rPr>
          <w:i/>
        </w:rPr>
        <w:t>O. tshawytscha</w:t>
      </w:r>
      <w:r w:rsidR="00CF1937">
        <w:t>)</w:t>
      </w:r>
      <w:r w:rsidR="00C16A84">
        <w:t xml:space="preserve">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 xml:space="preserve">Reduced </w:t>
      </w:r>
      <w:r w:rsidR="009B43D3">
        <w:t xml:space="preserve">population </w:t>
      </w:r>
      <w:r w:rsidR="00F70F29">
        <w:t>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r w:rsidR="0001087A">
        <w:t>Weakened ecological portfolios will likely become more common as climate change and anthropogenic impacts rise.</w:t>
      </w:r>
    </w:p>
    <w:p w14:paraId="2471CF74" w14:textId="70F83E7F"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r w:rsidR="00302934">
        <w:t>metapopulation</w:t>
      </w:r>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w:t>
      </w:r>
      <w:r w:rsidR="006068C0">
        <w:lastRenderedPageBreak/>
        <w:t>addressed in isolation</w:t>
      </w:r>
      <w:r w:rsidR="00C14A36">
        <w:t xml:space="preserve">. Conversely, coherent increases in 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patterns in synchrony among watersheds suggest changes in hatchery practices</w:t>
      </w:r>
      <w:r w:rsidR="00105D86">
        <w:t xml:space="preserve">, rather than </w:t>
      </w:r>
      <w:r w:rsidR="0041059E">
        <w:t>poor</w:t>
      </w:r>
      <w:r w:rsidR="00105D86">
        <w:t xml:space="preserve">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6DB9704C" w14:textId="4B3AE98E" w:rsidR="00A67078" w:rsidRDefault="003371FC" w:rsidP="003C77F8">
      <w:pPr>
        <w:ind w:firstLine="720"/>
      </w:pPr>
      <w:r>
        <w:t>While p</w:t>
      </w:r>
      <w:r w:rsidR="00F93B58">
        <w:t>atterns</w:t>
      </w:r>
      <w:r w:rsidR="002B0FBF">
        <w:t xml:space="preserve"> </w:t>
      </w:r>
      <w:r>
        <w:t>of</w:t>
      </w:r>
      <w:r w:rsidR="002B0FBF">
        <w:t xml:space="preserve"> covariance amo</w:t>
      </w:r>
      <w:r>
        <w:t xml:space="preserve">ng populations </w:t>
      </w:r>
      <w:r w:rsidR="0001087A">
        <w:t>are often quantified</w:t>
      </w:r>
      <w:r w:rsidR="00AE6C34">
        <w:t xml:space="preserve"> </w:t>
      </w:r>
      <w:r w:rsidR="00F93B58">
        <w:t>in ecological systems</w:t>
      </w:r>
      <w:r w:rsidR="002B0FBF">
        <w:t>,</w:t>
      </w:r>
      <w:r w:rsidR="002E34D8">
        <w:t xml:space="preserve"> </w:t>
      </w:r>
      <w:r w:rsidR="002B0FBF">
        <w:t>particularly in Pacific</w:t>
      </w:r>
      <w:r w:rsidR="00B27AEE">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 </w:instrText>
      </w:r>
      <w:r w:rsidR="00F93B58" w:rsidRPr="003371FC">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EN.CITE.DATA </w:instrText>
      </w:r>
      <w:r w:rsidR="00F93B58" w:rsidRPr="003371FC">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t xml:space="preserve">, </w:t>
      </w:r>
      <w:r w:rsidR="00142953">
        <w:t xml:space="preserve">direct </w:t>
      </w:r>
      <w:r>
        <w:t xml:space="preserve">links between covariance and </w:t>
      </w:r>
      <w:r w:rsidR="003C77F8">
        <w:t xml:space="preserve">the recovery </w:t>
      </w:r>
      <w:r>
        <w:t>or</w:t>
      </w:r>
      <w:r w:rsidR="003C77F8">
        <w:t xml:space="preserve"> persistence of metapopulations </w:t>
      </w:r>
      <w:r>
        <w:t xml:space="preserve">are less </w:t>
      </w:r>
      <w:r w:rsidR="001D36DC">
        <w:t>certain</w:t>
      </w:r>
      <w:r w:rsidR="00DD255E">
        <w:t xml:space="preserve">. </w:t>
      </w:r>
      <w:r w:rsidR="003C77F8">
        <w:t>Generally, t</w:t>
      </w:r>
      <w:r w:rsidR="00DD255E">
        <w:t>he benefit</w:t>
      </w:r>
      <w:r w:rsidR="003C77F8">
        <w:t xml:space="preserve">s of portfolio effects are </w:t>
      </w:r>
      <w:r>
        <w:t>quantified by testing the</w:t>
      </w:r>
      <w:r w:rsidR="003C77F8">
        <w:t xml:space="preserve"> effects of</w:t>
      </w:r>
      <w:r w:rsidR="00B27AEE">
        <w:t xml:space="preserve"> </w:t>
      </w:r>
      <w:r>
        <w:t>sequentially removing</w:t>
      </w:r>
      <w:r w:rsidR="00B27AEE">
        <w:t xml:space="preserve"> </w:t>
      </w:r>
      <w:r w:rsidR="00E314B6">
        <w:t>component populations</w:t>
      </w:r>
      <w:r w:rsidR="00142953">
        <w:t xml:space="preserve"> (Moore et al. 2010; Schindler et al. 2010)</w:t>
      </w:r>
      <w:r w:rsidR="00B27AEE">
        <w:t>.</w:t>
      </w:r>
      <w:r w:rsidR="002B0FBF">
        <w:t xml:space="preserve"> </w:t>
      </w:r>
      <w:r w:rsidR="00E314B6">
        <w:t>Though less dramatic</w:t>
      </w:r>
      <w:r w:rsidR="00A67078">
        <w:t xml:space="preserve"> than stock extirpations</w:t>
      </w:r>
      <w:r w:rsidR="00E314B6">
        <w:t xml:space="preserve">, </w:t>
      </w:r>
      <w:r w:rsidR="0041059E">
        <w:t xml:space="preserve">temporal </w:t>
      </w:r>
      <w:r w:rsidR="00E314B6">
        <w:t>c</w:t>
      </w:r>
      <w:r w:rsidR="004B605E">
        <w:t xml:space="preserve">hanges in </w:t>
      </w:r>
      <w:r w:rsidR="00A67078">
        <w:t>aggregate variability</w:t>
      </w:r>
      <w:r w:rsidR="00142953">
        <w:t xml:space="preserve"> will precede declines in stock diversity and</w:t>
      </w:r>
      <w:r w:rsidR="004B605E">
        <w:t xml:space="preserve"> may</w:t>
      </w:r>
      <w:r w:rsidR="008C1951">
        <w:t xml:space="preserve"> </w:t>
      </w:r>
      <w:r w:rsidR="00142953">
        <w:t>serve as early warning signals of hysteresis (Dakos ref)</w:t>
      </w:r>
      <w:r w:rsidR="003C77F8">
        <w:t xml:space="preserve">. </w:t>
      </w:r>
      <w:r w:rsidR="00142953">
        <w:t>More immediately,</w:t>
      </w:r>
      <w:r w:rsidR="007579DE">
        <w:t xml:space="preserve"> </w:t>
      </w:r>
      <w:r w:rsidR="003C77F8">
        <w:t>h</w:t>
      </w:r>
      <w:r w:rsidR="00BE3900">
        <w:t xml:space="preserve">igh levels of component variability </w:t>
      </w:r>
      <w:r w:rsidR="00E314B6">
        <w:t>are likely to</w:t>
      </w:r>
      <w:r w:rsidR="00BE3900">
        <w:t xml:space="preserve"> </w:t>
      </w:r>
      <w:r w:rsidR="00A67078">
        <w:t xml:space="preserve">increase the probability that fisheries associated with individual stocks will be closed </w:t>
      </w:r>
      <w:r w:rsidR="00BE3900">
        <w:t>or</w:t>
      </w:r>
      <w:r w:rsidR="00A67078">
        <w:t xml:space="preserve"> increase</w:t>
      </w:r>
      <w:r w:rsidR="00BE3900">
        <w:t xml:space="preserve"> the probability </w:t>
      </w:r>
      <w:r w:rsidR="008C1951">
        <w:t>of</w:t>
      </w:r>
      <w:r w:rsidR="00BE3900">
        <w:t xml:space="preserve"> overharvest if management targets fail to</w:t>
      </w:r>
      <w:r w:rsidR="00A67078">
        <w:t xml:space="preserve"> accurately</w:t>
      </w:r>
      <w:r w:rsidR="00BE3900">
        <w:t xml:space="preserve"> t</w:t>
      </w:r>
      <w:r w:rsidR="00E314B6">
        <w:t xml:space="preserve">rack changes in stock abundance. </w:t>
      </w:r>
      <w:r w:rsidR="0025035C">
        <w:t>These issues may be exacerbated if</w:t>
      </w:r>
      <w:r w:rsidR="00DD255E">
        <w:t xml:space="preserve"> p</w:t>
      </w:r>
      <w:r w:rsidR="00E314B6">
        <w:t>eriodic years of high abundance create incentives to maintain harvesting capacity</w:t>
      </w:r>
      <w:r w:rsidR="00A67078">
        <w:t xml:space="preserve"> that increase </w:t>
      </w:r>
      <w:r w:rsidR="00DD255E">
        <w:t xml:space="preserve">the </w:t>
      </w:r>
      <w:r w:rsidR="00A67078">
        <w:t>costs of socio-economic and conservation</w:t>
      </w:r>
      <w:r w:rsidR="00DD255E">
        <w:t xml:space="preserve"> </w:t>
      </w:r>
      <w:r w:rsidR="00A67078">
        <w:t>tradeoffs</w:t>
      </w:r>
      <w:r w:rsidR="001D36DC">
        <w:t xml:space="preserve"> when abundance declines</w:t>
      </w:r>
      <w:r w:rsidR="00E314B6">
        <w:t xml:space="preserve">. </w:t>
      </w:r>
      <w:r w:rsidR="00142953">
        <w:t>Thus changes in component variability may reduce the performance of ecological portfolios even if the portfolio’s composition is unchanged.</w:t>
      </w:r>
    </w:p>
    <w:p w14:paraId="3D305BCC" w14:textId="2045F4C4" w:rsidR="00BF12B8" w:rsidRPr="003C77F8" w:rsidRDefault="009B43D3" w:rsidP="007D3757">
      <w:pPr>
        <w:ind w:firstLine="720"/>
      </w:pPr>
      <w:r>
        <w:t>At least two processes have the potential to exacerbate negative outcomes associated with greater component variability</w:t>
      </w:r>
      <w:r w:rsidR="00A67078">
        <w:t>. First</w:t>
      </w:r>
      <w:r w:rsidR="002C62BE">
        <w:t>,</w:t>
      </w:r>
      <w:r w:rsidR="00A67078">
        <w:t xml:space="preserve"> h</w:t>
      </w:r>
      <w:r w:rsidR="003C77F8">
        <w:t xml:space="preserve">igh levels of synchrony </w:t>
      </w:r>
      <w:r w:rsidR="00A67078">
        <w:t xml:space="preserve">will </w:t>
      </w:r>
      <w:r w:rsidR="002C62BE">
        <w:t xml:space="preserve">decrease the ability of stock diversity to buffer the aggregate </w:t>
      </w:r>
      <w:r>
        <w:t>abundance from shifts in individual stocks</w:t>
      </w:r>
      <w:r w:rsidR="002C62BE">
        <w:t xml:space="preserve"> (Carlson and Satterthwaite). As aggregate variability increases, a larger proportion of the fishery </w:t>
      </w:r>
      <w:r>
        <w:t>is likely to</w:t>
      </w:r>
      <w:r w:rsidR="002C62BE">
        <w:t xml:space="preserve"> be</w:t>
      </w:r>
      <w:r>
        <w:t xml:space="preserve"> simultaneously</w:t>
      </w:r>
      <w:r w:rsidR="002C62BE">
        <w:t xml:space="preserve"> closed and harvesters will </w:t>
      </w:r>
      <w:r w:rsidR="004270DD">
        <w:t>be less</w:t>
      </w:r>
      <w:r w:rsidR="002C62BE">
        <w:t xml:space="preserve"> </w:t>
      </w:r>
      <w:r w:rsidR="004270DD">
        <w:t>capable of shifting effort among stocks</w:t>
      </w:r>
      <w:r w:rsidR="002C62BE">
        <w:t xml:space="preserve"> </w:t>
      </w:r>
      <w:r w:rsidR="004270DD">
        <w:t xml:space="preserve">to maintain revenue </w:t>
      </w:r>
      <w:r w:rsidR="00142953">
        <w:t>(</w:t>
      </w:r>
      <w:r w:rsidR="004270DD">
        <w:t>Cline et al. 2017</w:t>
      </w:r>
      <w:r w:rsidR="00142953">
        <w:t>)</w:t>
      </w:r>
      <w:r w:rsidR="003C77F8">
        <w:t>.</w:t>
      </w:r>
      <w:r w:rsidR="002C62BE">
        <w:t xml:space="preserve"> Second, decline</w:t>
      </w:r>
      <w:r w:rsidR="00142953">
        <w:t>s in per capita productivity will further compromise portfolios by reducing</w:t>
      </w:r>
      <w:r w:rsidR="002C62BE">
        <w:t xml:space="preserve"> the biomass available during boom years and </w:t>
      </w:r>
      <w:r w:rsidR="00142953">
        <w:t>increasing</w:t>
      </w:r>
      <w:r w:rsidR="007D3757">
        <w:t xml:space="preserve"> the frequency of bust years. In severe cases, greater variability could increase the likelihood of extirpation </w:t>
      </w:r>
      <w:r>
        <w:t xml:space="preserve">if stochastic events drive abundance to </w:t>
      </w:r>
      <w:r w:rsidR="00142953">
        <w:t>very</w:t>
      </w:r>
      <w:r>
        <w:t xml:space="preserve"> low levels</w:t>
      </w:r>
      <w:r w:rsidR="007D3757">
        <w:t xml:space="preserve"> (REF). We note that while increases</w:t>
      </w:r>
      <w:r w:rsidR="002C62BE">
        <w:t xml:space="preserve"> in aggregate variability </w:t>
      </w:r>
      <w:r w:rsidR="007D3757">
        <w:t>do not necessarily coincide with</w:t>
      </w:r>
      <w:r w:rsidR="002C62BE">
        <w:t xml:space="preserve"> </w:t>
      </w:r>
      <w:r w:rsidR="007D3757">
        <w:t>declines in productivity,</w:t>
      </w:r>
      <w:r w:rsidR="002C62BE">
        <w:t xml:space="preserve"> </w:t>
      </w:r>
      <w:r w:rsidR="007D3757">
        <w:t xml:space="preserve">the latter are </w:t>
      </w:r>
      <w:r>
        <w:t>well documented</w:t>
      </w:r>
      <w:r w:rsidR="007D3757">
        <w:t xml:space="preserve"> in many species of exploited fishes</w:t>
      </w:r>
      <w:r w:rsidR="00FF0269">
        <w:t xml:space="preserve"> (Peterman and Dorner 2012; Britten et al. 2016)</w:t>
      </w:r>
      <w:r w:rsidR="007D3757">
        <w:t xml:space="preserve"> </w:t>
      </w:r>
      <w:r>
        <w:t xml:space="preserve">and </w:t>
      </w:r>
      <w:r w:rsidR="00861496">
        <w:t>are likely to become more common</w:t>
      </w:r>
      <w:r>
        <w:t xml:space="preserve"> </w:t>
      </w:r>
      <w:r w:rsidR="00861496">
        <w:t>d</w:t>
      </w:r>
      <w:r>
        <w:t>ue to persistent stresso</w:t>
      </w:r>
      <w:r w:rsidR="00FF0269">
        <w:t>rs such as climate change (Oliver et al. 2015).</w:t>
      </w:r>
    </w:p>
    <w:p w14:paraId="7798A3B1" w14:textId="77777777" w:rsidR="004270DD" w:rsidRDefault="00CF1937" w:rsidP="00DE08F6">
      <w:pPr>
        <w:ind w:firstLine="720"/>
      </w:pPr>
      <w:r>
        <w:t xml:space="preserve">In this study, we </w:t>
      </w:r>
      <w:r w:rsidR="004270DD">
        <w:t>explore</w:t>
      </w:r>
      <w:r>
        <w:t xml:space="preserve"> how </w:t>
      </w:r>
      <w:r w:rsidR="004270DD">
        <w:t>increases in</w:t>
      </w:r>
      <w:r>
        <w:t xml:space="preserve"> variability and synchrony influence </w:t>
      </w:r>
      <w:r w:rsidR="009B43D3">
        <w:t xml:space="preserve">the probability of achieving </w:t>
      </w:r>
      <w:r>
        <w:t>conservation and management objectives using Fraser River sockeye salmon as a case study</w:t>
      </w:r>
      <w:r w:rsidR="002A27DA">
        <w:t xml:space="preserve">. </w:t>
      </w:r>
      <w:r w:rsidR="003C77F8">
        <w:t xml:space="preserve">Sockeye salmon are an anadromous, semelparous species and the Fraser River aggregate </w:t>
      </w:r>
      <w:r w:rsidR="001D36DC">
        <w:t>is composed</w:t>
      </w:r>
      <w:r w:rsidR="003C77F8">
        <w:t xml:space="preserve"> of populations that spawn throughout</w:t>
      </w:r>
      <w:r w:rsidR="00D413CD">
        <w:t xml:space="preserve"> southern British Columbia</w:t>
      </w:r>
      <w:r w:rsidR="003C77F8">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w:t>
      </w:r>
      <w:r w:rsidR="002B460B">
        <w:t>fisheries</w:t>
      </w:r>
      <w:r w:rsidR="00DE08F6">
        <w:t xml:space="preserve"> for over a century</w:t>
      </w:r>
      <w:r w:rsidR="003C77F8">
        <w:t xml:space="preserve"> and by indigenous communities for </w:t>
      </w:r>
      <w:r w:rsidR="001D36DC">
        <w:t>thousands of years</w:t>
      </w:r>
      <w:r w:rsidR="003C77F8">
        <w:t xml:space="preserve"> (REF)</w:t>
      </w:r>
      <w:r w:rsidR="002A27DA">
        <w:t>.</w:t>
      </w:r>
      <w:r w:rsidR="007579DE">
        <w:t xml:space="preserve"> </w:t>
      </w:r>
      <w:r w:rsidR="004D7BDE">
        <w:t xml:space="preserve">Despite the historical abundance of </w:t>
      </w:r>
      <w:r w:rsidR="003C77F8">
        <w:t>Fraser River sockeye salmon</w:t>
      </w:r>
      <w:r w:rsidR="004D7BDE">
        <w:t>, the aggregate’s</w:t>
      </w:r>
      <w:r w:rsidR="003C77F8">
        <w:t xml:space="preserve"> produ</w:t>
      </w:r>
      <w:r w:rsidR="004270DD">
        <w:t xml:space="preserve">ctivity </w:t>
      </w:r>
      <w:r w:rsidR="004D7BDE">
        <w:t xml:space="preserve">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be variable</w:t>
      </w:r>
      <w:r w:rsidR="004D7BDE">
        <w:t xml:space="preserve"> and </w:t>
      </w:r>
      <w:r w:rsidR="004F1724">
        <w:t xml:space="preserve">several populations within the aggregate </w:t>
      </w:r>
      <w:r>
        <w:t>have been</w:t>
      </w:r>
      <w:r w:rsidR="004F1724">
        <w:t xml:space="preserve"> assessed as </w:t>
      </w:r>
      <w:r w:rsidR="001D36DC">
        <w:t>at risk</w:t>
      </w:r>
      <w:r w:rsidR="004F1724">
        <w:t xml:space="preserve"> (</w:t>
      </w:r>
      <w:r w:rsidR="004270DD">
        <w:t>State of the Pacific Ocean 2018; WSP status assessment; COSEWIC assessment</w:t>
      </w:r>
      <w:r w:rsidR="004F1724">
        <w:t xml:space="preserve">). </w:t>
      </w:r>
      <w:r w:rsidR="00D01D2B">
        <w:t>Since</w:t>
      </w:r>
      <w:r w:rsidR="004F1724">
        <w:t xml:space="preserve"> Fraser River </w:t>
      </w:r>
      <w:r w:rsidR="00CD0FAC">
        <w:t>sockeye</w:t>
      </w:r>
      <w:r w:rsidR="000E43A3">
        <w:t xml:space="preserve"> salmon</w:t>
      </w:r>
      <w:r w:rsidR="00CD0FAC">
        <w:t xml:space="preserve"> fisheries</w:t>
      </w:r>
      <w:r>
        <w:t xml:space="preserve"> </w:t>
      </w:r>
      <w:r>
        <w:lastRenderedPageBreak/>
        <w:t xml:space="preserve">are </w:t>
      </w:r>
      <w:r w:rsidR="004270DD">
        <w:t>predominantly</w:t>
      </w:r>
      <w:r>
        <w:t xml:space="preserve"> mixed-stock</w:t>
      </w:r>
      <w:r w:rsidR="00D01D2B">
        <w:t>, like most Pacific salmon fisheries,</w:t>
      </w:r>
      <w:r w:rsidR="00CD0FAC">
        <w:t xml:space="preserve"> abundant and depleted populations </w:t>
      </w:r>
      <w:r w:rsidR="00D01D2B">
        <w:t>are inevitably</w:t>
      </w:r>
      <w:r w:rsidR="00CD0FAC">
        <w:t xml:space="preserve"> harvested simultaneously</w:t>
      </w:r>
      <w:r w:rsidR="00DE08F6">
        <w:t xml:space="preserve"> (REF). </w:t>
      </w:r>
      <w:r>
        <w:t>Thus</w:t>
      </w:r>
      <w:r w:rsidR="00CD0FAC">
        <w:t xml:space="preserv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may increase tension between these trade-offs </w:t>
      </w:r>
      <w:r w:rsidR="004D7BDE">
        <w:t>if</w:t>
      </w:r>
      <w:r w:rsidR="00CD0FAC">
        <w:t xml:space="preserve"> the fishery becomes increasingly concentrated on a smaller number of abundant years.</w:t>
      </w:r>
      <w:r w:rsidR="00505BE1">
        <w:t xml:space="preserve"> </w:t>
      </w:r>
    </w:p>
    <w:p w14:paraId="033E85F8" w14:textId="2852DB6C" w:rsidR="000835A0" w:rsidRPr="00E51CA9" w:rsidRDefault="004D7BDE" w:rsidP="00DE08F6">
      <w:pPr>
        <w:ind w:firstLine="720"/>
        <w:rPr>
          <w:strike/>
        </w:rPr>
      </w:pPr>
      <w:r>
        <w:t>W</w:t>
      </w:r>
      <w:r w:rsidR="002B460B">
        <w:t>e</w:t>
      </w:r>
      <w:r w:rsidR="00D01D2B">
        <w:t xml:space="preserve"> </w:t>
      </w:r>
      <w:r>
        <w:t>f</w:t>
      </w:r>
      <w:r w:rsidR="00D01D2B">
        <w:t>irst</w:t>
      </w:r>
      <w:r>
        <w:t xml:space="preserve"> </w:t>
      </w:r>
      <w:r w:rsidR="004270DD">
        <w:t>present</w:t>
      </w:r>
      <w:r w:rsidR="00D7777B">
        <w:t xml:space="preserve"> a retrospective analysis </w:t>
      </w:r>
      <w:r w:rsidR="004270DD">
        <w:t>that</w:t>
      </w:r>
      <w:r w:rsidR="00D7777B">
        <w:t xml:space="preserve"> </w:t>
      </w:r>
      <w:r w:rsidR="00813DCE">
        <w:t>reveals</w:t>
      </w:r>
      <w:r>
        <w:t xml:space="preserve"> </w:t>
      </w:r>
      <w:r w:rsidR="00D7777B">
        <w:t xml:space="preserve">aggregate temporal variability within the </w:t>
      </w:r>
      <w:r w:rsidR="001D36DC">
        <w:t>Fraser River</w:t>
      </w:r>
      <w:r w:rsidR="00D7777B">
        <w:t xml:space="preserve"> has increased</w:t>
      </w:r>
      <w:r w:rsidR="004270DD">
        <w:t xml:space="preserve"> in recent years due to greater component variability, as well as greater synchrony among components</w:t>
      </w:r>
      <w:r w:rsidR="00D7777B">
        <w:t>.</w:t>
      </w:r>
      <w:r w:rsidR="00D01D2B">
        <w:t xml:space="preserve"> </w:t>
      </w:r>
      <w:r w:rsidR="00D7777B">
        <w:t>We</w:t>
      </w:r>
      <w:r w:rsidR="002B460B">
        <w:t xml:space="preserve"> then use stochastic</w:t>
      </w:r>
      <w:r w:rsidR="00813DCE">
        <w:t>, closed-loop</w:t>
      </w:r>
      <w:r w:rsidR="002B460B">
        <w:t xml:space="preserve"> simulations to</w:t>
      </w:r>
      <w:r w:rsidR="001D36DC">
        <w:t xml:space="preserve"> </w:t>
      </w:r>
      <w:r w:rsidR="00813DCE">
        <w:t>demonstrate</w:t>
      </w:r>
      <w:r w:rsidR="00505BE1">
        <w:t xml:space="preserve"> </w:t>
      </w:r>
      <w:r w:rsidR="004270DD">
        <w:t>increases in</w:t>
      </w:r>
      <w:r w:rsidR="006A4872">
        <w:t xml:space="preserve"> </w:t>
      </w:r>
      <w:r w:rsidR="00E51CA9">
        <w:t>component</w:t>
      </w:r>
      <w:r w:rsidR="006A4872">
        <w:t xml:space="preserve"> variability</w:t>
      </w:r>
      <w:r w:rsidR="00E51CA9">
        <w:t xml:space="preserve"> and synchrony</w:t>
      </w:r>
      <w:r w:rsidR="00940776">
        <w:t xml:space="preserve"> </w:t>
      </w:r>
      <w:r w:rsidR="00813DCE">
        <w:t>reduce the likelihood of meeting a suite of</w:t>
      </w:r>
      <w:bookmarkStart w:id="0" w:name="_GoBack"/>
      <w:bookmarkEnd w:id="0"/>
      <w:r w:rsidR="00505BE1">
        <w:t xml:space="preserve"> conservation- and catch-based performance metrics</w:t>
      </w:r>
      <w:r w:rsidR="00E51CA9">
        <w:t xml:space="preserve">. </w:t>
      </w:r>
    </w:p>
    <w:p w14:paraId="10A61AF1" w14:textId="77777777" w:rsidR="00F22932" w:rsidRDefault="00F22932" w:rsidP="000835A0"/>
    <w:p w14:paraId="4F644A99" w14:textId="77777777" w:rsidR="000835A0" w:rsidRPr="000835A0" w:rsidRDefault="000835A0" w:rsidP="00507319">
      <w:pPr>
        <w:jc w:val="cente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C67402D" w:rsidR="00D63DB9" w:rsidRDefault="006A4872" w:rsidP="00E06BE2">
      <w:pPr>
        <w:ind w:firstLine="720"/>
      </w:pPr>
      <w:r>
        <w:t xml:space="preserve">Sockeye salmon is an anadromous, semelparous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w:t>
      </w:r>
      <w:r w:rsidR="0094700F">
        <w:t xml:space="preserve"> </w:t>
      </w:r>
      <w:r w:rsidR="0094700F">
        <w:fldChar w:fldCharType="begin"/>
      </w:r>
      <w:r w:rsidR="0094700F">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0094700F">
        <w:fldChar w:fldCharType="separate"/>
      </w:r>
      <w:r w:rsidR="0094700F">
        <w:rPr>
          <w:noProof/>
        </w:rPr>
        <w:t>(Burgner 1991)</w:t>
      </w:r>
      <w:r w:rsidR="0094700F">
        <w:fldChar w:fldCharType="end"/>
      </w:r>
      <w:r w:rsidR="00937B72">
        <w:t xml:space="preserve">. 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94700F">
        <w:t xml:space="preserve"> </w: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 </w:instrTex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EN.CITE.DATA </w:instrText>
      </w:r>
      <w:r w:rsidR="0094700F">
        <w:fldChar w:fldCharType="end"/>
      </w:r>
      <w:r w:rsidR="0094700F">
        <w:fldChar w:fldCharType="separate"/>
      </w:r>
      <w:r w:rsidR="0094700F">
        <w:rPr>
          <w:noProof/>
        </w:rPr>
        <w:t>(Holtby &amp; Ciruna 2007; Grant</w:t>
      </w:r>
      <w:r w:rsidR="0094700F" w:rsidRPr="0094700F">
        <w:rPr>
          <w:i/>
          <w:noProof/>
        </w:rPr>
        <w:t xml:space="preserve"> et al.</w:t>
      </w:r>
      <w:r w:rsidR="0094700F">
        <w:rPr>
          <w:noProof/>
        </w:rPr>
        <w:t xml:space="preserve"> 2011)</w:t>
      </w:r>
      <w:r w:rsidR="0094700F">
        <w:fldChar w:fldCharType="end"/>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9D3206">
        <w:t xml:space="preserve"> </w:t>
      </w:r>
      <w:r w:rsidR="009D3206">
        <w:fldChar w:fldCharType="begin"/>
      </w:r>
      <w:r w:rsidR="009D3206">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009D3206">
        <w:fldChar w:fldCharType="separate"/>
      </w:r>
      <w:r w:rsidR="009D3206">
        <w:rPr>
          <w:noProof/>
        </w:rPr>
        <w:t>(Holtby &amp; Ciruna 2007)</w:t>
      </w:r>
      <w:r w:rsidR="009D3206">
        <w:fldChar w:fldCharType="end"/>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w:t>
      </w:r>
      <w:r w:rsidR="0094700F">
        <w:t>timing</w:t>
      </w:r>
      <w:r w:rsidR="009D3206">
        <w:t xml:space="preserve"> </w:t>
      </w:r>
      <w:r w:rsidR="009D3206">
        <w:fldChar w:fldCharType="begin"/>
      </w:r>
      <w:r w:rsidR="009D320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9D3206">
        <w:fldChar w:fldCharType="separate"/>
      </w:r>
      <w:r w:rsidR="009D3206">
        <w:rPr>
          <w:noProof/>
        </w:rPr>
        <w:t>(Grant</w:t>
      </w:r>
      <w:r w:rsidR="009D3206" w:rsidRPr="009D3206">
        <w:rPr>
          <w:i/>
          <w:noProof/>
        </w:rPr>
        <w:t xml:space="preserve"> et al.</w:t>
      </w:r>
      <w:r w:rsidR="009D3206">
        <w:rPr>
          <w:noProof/>
        </w:rPr>
        <w:t xml:space="preserve"> 2011)</w:t>
      </w:r>
      <w:r w:rsidR="009D3206">
        <w:fldChar w:fldCharType="end"/>
      </w:r>
      <w:r w:rsidR="009D3206">
        <w:t>.</w:t>
      </w:r>
      <w:r w:rsidR="0094700F">
        <w:t xml:space="preserve"> </w:t>
      </w:r>
      <w:r w:rsidR="00992367">
        <w:t xml:space="preserve">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w:t>
      </w:r>
      <w:r w:rsidR="009D3206">
        <w:t>this</w:t>
      </w:r>
      <w:r w:rsidR="00E51CA9">
        <w:t xml:space="preserve">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7F2D5F35" w14:textId="20513023" w:rsidR="001B700F" w:rsidRDefault="001B700F" w:rsidP="001B700F">
      <w:r>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197"/>
        <w:gridCol w:w="1707"/>
        <w:gridCol w:w="1707"/>
        <w:gridCol w:w="1456"/>
        <w:gridCol w:w="1197"/>
        <w:gridCol w:w="1197"/>
      </w:tblGrid>
      <w:tr w:rsidR="00FC666B" w14:paraId="3E7E487E" w14:textId="77777777" w:rsidTr="00FC666B">
        <w:tc>
          <w:tcPr>
            <w:tcW w:w="1197" w:type="dxa"/>
          </w:tcPr>
          <w:p w14:paraId="4F3B8972" w14:textId="011D308C" w:rsidR="00FC666B" w:rsidRDefault="00FC666B" w:rsidP="001B700F">
            <w:r>
              <w:lastRenderedPageBreak/>
              <w:t>MU</w:t>
            </w:r>
          </w:p>
        </w:tc>
        <w:tc>
          <w:tcPr>
            <w:tcW w:w="1707" w:type="dxa"/>
          </w:tcPr>
          <w:p w14:paraId="63437482" w14:textId="407A763B" w:rsidR="00FC666B" w:rsidRDefault="00FC666B" w:rsidP="001B700F">
            <w:r>
              <w:t>CU</w:t>
            </w:r>
          </w:p>
        </w:tc>
        <w:tc>
          <w:tcPr>
            <w:tcW w:w="1707" w:type="dxa"/>
          </w:tcPr>
          <w:p w14:paraId="3A14A724" w14:textId="1CB80C98" w:rsidR="00FC666B" w:rsidRDefault="00FC666B" w:rsidP="001B700F">
            <w:r>
              <w:t>Stock</w:t>
            </w:r>
          </w:p>
        </w:tc>
        <w:tc>
          <w:tcPr>
            <w:tcW w:w="1456" w:type="dxa"/>
          </w:tcPr>
          <w:p w14:paraId="455CE9EB" w14:textId="02F701D7" w:rsidR="00FC666B" w:rsidRDefault="00FC666B" w:rsidP="001B700F">
            <w:commentRangeStart w:id="1"/>
            <w:r>
              <w:t>Status</w:t>
            </w:r>
            <w:commentRangeEnd w:id="1"/>
            <w:r w:rsidR="0093048D">
              <w:rPr>
                <w:rStyle w:val="CommentReference"/>
              </w:rPr>
              <w:commentReference w:id="1"/>
            </w:r>
            <w:r w:rsidRPr="001B700F">
              <w:rPr>
                <w:vertAlign w:val="superscript"/>
              </w:rPr>
              <w:t>†</w:t>
            </w:r>
          </w:p>
        </w:tc>
        <w:tc>
          <w:tcPr>
            <w:tcW w:w="1197" w:type="dxa"/>
          </w:tcPr>
          <w:p w14:paraId="1886AE0C" w14:textId="1CDC3770" w:rsidR="00FC666B" w:rsidRDefault="00FC666B" w:rsidP="001B700F">
            <w:r>
              <w:t>SR Model</w:t>
            </w:r>
          </w:p>
        </w:tc>
        <w:tc>
          <w:tcPr>
            <w:tcW w:w="1197" w:type="dxa"/>
          </w:tcPr>
          <w:p w14:paraId="01CFB564" w14:textId="47477C09" w:rsidR="00FC666B" w:rsidRDefault="00FC666B" w:rsidP="001B700F">
            <w:r>
              <w:t>Time Series</w:t>
            </w:r>
          </w:p>
        </w:tc>
      </w:tr>
      <w:tr w:rsidR="00FC666B" w14:paraId="6084864B" w14:textId="77777777" w:rsidTr="00FC666B">
        <w:tc>
          <w:tcPr>
            <w:tcW w:w="1197" w:type="dxa"/>
          </w:tcPr>
          <w:p w14:paraId="0DAFDF1F" w14:textId="53B69563" w:rsidR="00FC666B" w:rsidRDefault="00FC666B" w:rsidP="001B700F">
            <w:r>
              <w:t>Early Stuart</w:t>
            </w:r>
          </w:p>
        </w:tc>
        <w:tc>
          <w:tcPr>
            <w:tcW w:w="1707" w:type="dxa"/>
          </w:tcPr>
          <w:p w14:paraId="0CBB3F32" w14:textId="37DB703D" w:rsidR="00FC666B" w:rsidRDefault="00FC666B" w:rsidP="00FC666B">
            <w:r>
              <w:t>Takla-Trembleur</w:t>
            </w:r>
          </w:p>
        </w:tc>
        <w:tc>
          <w:tcPr>
            <w:tcW w:w="1707" w:type="dxa"/>
          </w:tcPr>
          <w:p w14:paraId="2F0F5778" w14:textId="66301A00" w:rsidR="00FC666B" w:rsidRDefault="00FC666B" w:rsidP="00FC666B">
            <w:r>
              <w:t>Early Stuart</w:t>
            </w:r>
          </w:p>
        </w:tc>
        <w:tc>
          <w:tcPr>
            <w:tcW w:w="1456" w:type="dxa"/>
          </w:tcPr>
          <w:p w14:paraId="7A9B5AB3" w14:textId="5DE15F15" w:rsidR="00FC666B" w:rsidRDefault="00FC666B" w:rsidP="001B700F">
            <w:r>
              <w:t>Red</w:t>
            </w:r>
          </w:p>
        </w:tc>
        <w:tc>
          <w:tcPr>
            <w:tcW w:w="1197" w:type="dxa"/>
          </w:tcPr>
          <w:p w14:paraId="34F38980" w14:textId="2A09A277" w:rsidR="00FC666B" w:rsidRDefault="00FC666B" w:rsidP="001B700F">
            <w:r>
              <w:t>Larkin</w:t>
            </w:r>
          </w:p>
        </w:tc>
        <w:tc>
          <w:tcPr>
            <w:tcW w:w="1197" w:type="dxa"/>
          </w:tcPr>
          <w:p w14:paraId="7DEED2BB" w14:textId="5E4F673E" w:rsidR="00FC666B" w:rsidRDefault="004526B1" w:rsidP="001B700F">
            <w:r>
              <w:t>1948-2011</w:t>
            </w:r>
          </w:p>
        </w:tc>
      </w:tr>
      <w:tr w:rsidR="004526B1" w14:paraId="706C04B2" w14:textId="77777777" w:rsidTr="00FC666B">
        <w:tc>
          <w:tcPr>
            <w:tcW w:w="1197" w:type="dxa"/>
            <w:vMerge w:val="restart"/>
          </w:tcPr>
          <w:p w14:paraId="5720C3CF" w14:textId="716734EF" w:rsidR="004526B1" w:rsidRDefault="004526B1" w:rsidP="001B700F">
            <w:r>
              <w:t>Early Summer</w:t>
            </w:r>
          </w:p>
        </w:tc>
        <w:tc>
          <w:tcPr>
            <w:tcW w:w="1707" w:type="dxa"/>
          </w:tcPr>
          <w:p w14:paraId="2C547FC1" w14:textId="06E53D21" w:rsidR="004526B1" w:rsidRDefault="004526B1" w:rsidP="001B700F">
            <w:r>
              <w:t>Bowron</w:t>
            </w:r>
          </w:p>
        </w:tc>
        <w:tc>
          <w:tcPr>
            <w:tcW w:w="1707" w:type="dxa"/>
          </w:tcPr>
          <w:p w14:paraId="1F04D0DD" w14:textId="0674079B" w:rsidR="004526B1" w:rsidRDefault="004526B1" w:rsidP="001B700F">
            <w:r>
              <w:t>Bowron</w:t>
            </w:r>
          </w:p>
        </w:tc>
        <w:tc>
          <w:tcPr>
            <w:tcW w:w="1456" w:type="dxa"/>
          </w:tcPr>
          <w:p w14:paraId="16CD8102" w14:textId="135D66CD" w:rsidR="004526B1" w:rsidRDefault="004526B1" w:rsidP="001B700F">
            <w:r>
              <w:t>Red</w:t>
            </w:r>
          </w:p>
        </w:tc>
        <w:tc>
          <w:tcPr>
            <w:tcW w:w="1197" w:type="dxa"/>
          </w:tcPr>
          <w:p w14:paraId="64DAF195" w14:textId="1E03A6E1" w:rsidR="004526B1" w:rsidRDefault="004526B1" w:rsidP="001B700F">
            <w:r>
              <w:t>Ricker</w:t>
            </w:r>
          </w:p>
        </w:tc>
        <w:tc>
          <w:tcPr>
            <w:tcW w:w="1197" w:type="dxa"/>
          </w:tcPr>
          <w:p w14:paraId="3E72C263" w14:textId="7E512106" w:rsidR="004526B1" w:rsidRDefault="004526B1" w:rsidP="001B700F">
            <w:r>
              <w:t>1948-2011</w:t>
            </w:r>
          </w:p>
        </w:tc>
      </w:tr>
      <w:tr w:rsidR="004526B1" w14:paraId="5CDC3883" w14:textId="77777777" w:rsidTr="00FC666B">
        <w:tc>
          <w:tcPr>
            <w:tcW w:w="1197" w:type="dxa"/>
            <w:vMerge/>
          </w:tcPr>
          <w:p w14:paraId="7AFD0C55" w14:textId="77777777" w:rsidR="004526B1" w:rsidRDefault="004526B1" w:rsidP="001B700F"/>
        </w:tc>
        <w:tc>
          <w:tcPr>
            <w:tcW w:w="1707" w:type="dxa"/>
            <w:vMerge w:val="restart"/>
          </w:tcPr>
          <w:p w14:paraId="1BDF3F86" w14:textId="2366D5CF" w:rsidR="004526B1" w:rsidRDefault="004526B1" w:rsidP="001B700F">
            <w:r>
              <w:t>Shuswap-ES</w:t>
            </w:r>
          </w:p>
        </w:tc>
        <w:tc>
          <w:tcPr>
            <w:tcW w:w="1707" w:type="dxa"/>
          </w:tcPr>
          <w:p w14:paraId="58CF19D4" w14:textId="73D5FD73" w:rsidR="004526B1" w:rsidRDefault="004526B1" w:rsidP="001B700F">
            <w:r>
              <w:t>Seymour</w:t>
            </w:r>
          </w:p>
        </w:tc>
        <w:tc>
          <w:tcPr>
            <w:tcW w:w="1456" w:type="dxa"/>
          </w:tcPr>
          <w:p w14:paraId="1C1ECB16" w14:textId="0B27E47F" w:rsidR="004526B1" w:rsidRDefault="004526B1" w:rsidP="001B700F">
            <w:r>
              <w:t>Amber</w:t>
            </w:r>
          </w:p>
        </w:tc>
        <w:tc>
          <w:tcPr>
            <w:tcW w:w="1197" w:type="dxa"/>
          </w:tcPr>
          <w:p w14:paraId="6461C223" w14:textId="3AF6D73D" w:rsidR="004526B1" w:rsidRDefault="004526B1" w:rsidP="001B700F">
            <w:r>
              <w:t>Larkin</w:t>
            </w:r>
          </w:p>
        </w:tc>
        <w:tc>
          <w:tcPr>
            <w:tcW w:w="1197" w:type="dxa"/>
          </w:tcPr>
          <w:p w14:paraId="1561ACEE" w14:textId="49B15119" w:rsidR="004526B1" w:rsidRDefault="004526B1" w:rsidP="001B700F">
            <w:r>
              <w:t>1948-2011</w:t>
            </w:r>
          </w:p>
        </w:tc>
      </w:tr>
      <w:tr w:rsidR="004526B1" w14:paraId="4D0F20A2" w14:textId="77777777" w:rsidTr="00FC666B">
        <w:tc>
          <w:tcPr>
            <w:tcW w:w="1197" w:type="dxa"/>
            <w:vMerge/>
          </w:tcPr>
          <w:p w14:paraId="0770E99D" w14:textId="77777777" w:rsidR="004526B1" w:rsidRDefault="004526B1" w:rsidP="001B700F"/>
        </w:tc>
        <w:tc>
          <w:tcPr>
            <w:tcW w:w="1707" w:type="dxa"/>
            <w:vMerge/>
          </w:tcPr>
          <w:p w14:paraId="0BF2071E" w14:textId="7369135F" w:rsidR="004526B1" w:rsidRDefault="004526B1" w:rsidP="001B700F"/>
        </w:tc>
        <w:tc>
          <w:tcPr>
            <w:tcW w:w="1707" w:type="dxa"/>
          </w:tcPr>
          <w:p w14:paraId="11BECE5B" w14:textId="5FF7C8C2" w:rsidR="004526B1" w:rsidRDefault="004526B1" w:rsidP="001B700F">
            <w:r>
              <w:t>Scotch</w:t>
            </w:r>
          </w:p>
        </w:tc>
        <w:tc>
          <w:tcPr>
            <w:tcW w:w="1456" w:type="dxa"/>
          </w:tcPr>
          <w:p w14:paraId="5FFF33E0" w14:textId="1475996E" w:rsidR="004526B1" w:rsidRDefault="004526B1" w:rsidP="001B700F">
            <w:r>
              <w:t>Amber</w:t>
            </w:r>
          </w:p>
        </w:tc>
        <w:tc>
          <w:tcPr>
            <w:tcW w:w="1197" w:type="dxa"/>
          </w:tcPr>
          <w:p w14:paraId="5C7608C4" w14:textId="2AAC1DCC" w:rsidR="004526B1" w:rsidRDefault="004526B1" w:rsidP="001B700F">
            <w:r>
              <w:t>Ricker</w:t>
            </w:r>
          </w:p>
        </w:tc>
        <w:tc>
          <w:tcPr>
            <w:tcW w:w="1197" w:type="dxa"/>
          </w:tcPr>
          <w:p w14:paraId="373B32BA" w14:textId="096CF093" w:rsidR="004526B1" w:rsidRDefault="004526B1" w:rsidP="001B700F">
            <w:r>
              <w:t>1980-2011</w:t>
            </w:r>
          </w:p>
        </w:tc>
      </w:tr>
      <w:tr w:rsidR="004526B1" w14:paraId="11CD2B32" w14:textId="77777777" w:rsidTr="00FC666B">
        <w:tc>
          <w:tcPr>
            <w:tcW w:w="1197" w:type="dxa"/>
            <w:vMerge/>
          </w:tcPr>
          <w:p w14:paraId="5863B7FF" w14:textId="77777777" w:rsidR="004526B1" w:rsidRDefault="004526B1" w:rsidP="001B700F"/>
        </w:tc>
        <w:tc>
          <w:tcPr>
            <w:tcW w:w="1707" w:type="dxa"/>
          </w:tcPr>
          <w:p w14:paraId="452CF23D" w14:textId="3FDDA21A" w:rsidR="004526B1" w:rsidRDefault="004526B1" w:rsidP="001B700F">
            <w:r>
              <w:t>North Barriere</w:t>
            </w:r>
          </w:p>
        </w:tc>
        <w:tc>
          <w:tcPr>
            <w:tcW w:w="1707" w:type="dxa"/>
          </w:tcPr>
          <w:p w14:paraId="0496A6FA" w14:textId="34A0A14D" w:rsidR="004526B1" w:rsidRDefault="004526B1" w:rsidP="001B700F">
            <w:r>
              <w:t>Fennel</w:t>
            </w:r>
          </w:p>
        </w:tc>
        <w:tc>
          <w:tcPr>
            <w:tcW w:w="1456" w:type="dxa"/>
          </w:tcPr>
          <w:p w14:paraId="22908988" w14:textId="7E8BDAC3" w:rsidR="004526B1" w:rsidRDefault="004526B1" w:rsidP="001B700F">
            <w:r>
              <w:t>Amber</w:t>
            </w:r>
          </w:p>
        </w:tc>
        <w:tc>
          <w:tcPr>
            <w:tcW w:w="1197" w:type="dxa"/>
          </w:tcPr>
          <w:p w14:paraId="1DF8EF8A" w14:textId="0D25C595" w:rsidR="004526B1" w:rsidRDefault="004526B1" w:rsidP="001B700F">
            <w:r>
              <w:t>Ricker</w:t>
            </w:r>
          </w:p>
        </w:tc>
        <w:tc>
          <w:tcPr>
            <w:tcW w:w="1197" w:type="dxa"/>
          </w:tcPr>
          <w:p w14:paraId="720A3F65" w14:textId="1AFB09CE" w:rsidR="004526B1" w:rsidRDefault="004526B1" w:rsidP="001B700F">
            <w:r>
              <w:t>1967-2011</w:t>
            </w:r>
          </w:p>
        </w:tc>
      </w:tr>
      <w:tr w:rsidR="004526B1" w14:paraId="1825E70A" w14:textId="77777777" w:rsidTr="00FC666B">
        <w:tc>
          <w:tcPr>
            <w:tcW w:w="1197" w:type="dxa"/>
            <w:vMerge/>
          </w:tcPr>
          <w:p w14:paraId="06FEDBF5" w14:textId="77777777" w:rsidR="004526B1" w:rsidRDefault="004526B1" w:rsidP="001B700F"/>
        </w:tc>
        <w:tc>
          <w:tcPr>
            <w:tcW w:w="1707" w:type="dxa"/>
          </w:tcPr>
          <w:p w14:paraId="43B4CE08" w14:textId="522E8190" w:rsidR="004526B1" w:rsidRDefault="004526B1" w:rsidP="001B700F">
            <w:r>
              <w:t>Anderson-Seton</w:t>
            </w:r>
          </w:p>
        </w:tc>
        <w:tc>
          <w:tcPr>
            <w:tcW w:w="1707" w:type="dxa"/>
          </w:tcPr>
          <w:p w14:paraId="7A4901B8" w14:textId="37D55279" w:rsidR="004526B1" w:rsidRDefault="004526B1" w:rsidP="001B700F">
            <w:r>
              <w:t>Gates</w:t>
            </w:r>
          </w:p>
        </w:tc>
        <w:tc>
          <w:tcPr>
            <w:tcW w:w="1456" w:type="dxa"/>
          </w:tcPr>
          <w:p w14:paraId="5DD3E721" w14:textId="565467D2" w:rsidR="004526B1" w:rsidRDefault="004526B1" w:rsidP="001B700F">
            <w:r>
              <w:t>Amber/Green</w:t>
            </w:r>
          </w:p>
        </w:tc>
        <w:tc>
          <w:tcPr>
            <w:tcW w:w="1197" w:type="dxa"/>
          </w:tcPr>
          <w:p w14:paraId="2556BD6C" w14:textId="7D198F4F" w:rsidR="004526B1" w:rsidRDefault="004526B1" w:rsidP="001B700F">
            <w:r>
              <w:t>Ricker</w:t>
            </w:r>
          </w:p>
        </w:tc>
        <w:tc>
          <w:tcPr>
            <w:tcW w:w="1197" w:type="dxa"/>
          </w:tcPr>
          <w:p w14:paraId="0BADA94F" w14:textId="2BB3D9A3" w:rsidR="004526B1" w:rsidRDefault="004526B1" w:rsidP="001B700F">
            <w:r>
              <w:t>1968-2011</w:t>
            </w:r>
          </w:p>
        </w:tc>
      </w:tr>
      <w:tr w:rsidR="004526B1" w14:paraId="19A36130" w14:textId="77777777" w:rsidTr="00FC666B">
        <w:tc>
          <w:tcPr>
            <w:tcW w:w="1197" w:type="dxa"/>
            <w:vMerge/>
          </w:tcPr>
          <w:p w14:paraId="09C0188E" w14:textId="77777777" w:rsidR="004526B1" w:rsidRDefault="004526B1" w:rsidP="001B700F"/>
        </w:tc>
        <w:tc>
          <w:tcPr>
            <w:tcW w:w="1707" w:type="dxa"/>
          </w:tcPr>
          <w:p w14:paraId="297AA38E" w14:textId="4FFFE939" w:rsidR="004526B1" w:rsidRDefault="004526B1" w:rsidP="001B700F">
            <w:r>
              <w:t>Nadina-Francois</w:t>
            </w:r>
          </w:p>
        </w:tc>
        <w:tc>
          <w:tcPr>
            <w:tcW w:w="1707" w:type="dxa"/>
          </w:tcPr>
          <w:p w14:paraId="60E13941" w14:textId="0D3DBCBF" w:rsidR="004526B1" w:rsidRDefault="004526B1" w:rsidP="001B700F">
            <w:r>
              <w:t>Nadina</w:t>
            </w:r>
          </w:p>
        </w:tc>
        <w:tc>
          <w:tcPr>
            <w:tcW w:w="1456" w:type="dxa"/>
          </w:tcPr>
          <w:p w14:paraId="3B5E5512" w14:textId="7F1FBC3A" w:rsidR="004526B1" w:rsidRDefault="004526B1" w:rsidP="001B700F">
            <w:r>
              <w:t>Amber/Green</w:t>
            </w:r>
          </w:p>
        </w:tc>
        <w:tc>
          <w:tcPr>
            <w:tcW w:w="1197" w:type="dxa"/>
          </w:tcPr>
          <w:p w14:paraId="2CF260F1" w14:textId="589BD404" w:rsidR="004526B1" w:rsidRDefault="004526B1" w:rsidP="001B700F">
            <w:r>
              <w:t>Ricker</w:t>
            </w:r>
          </w:p>
        </w:tc>
        <w:tc>
          <w:tcPr>
            <w:tcW w:w="1197" w:type="dxa"/>
          </w:tcPr>
          <w:p w14:paraId="697DC960" w14:textId="2DB105BA" w:rsidR="004526B1" w:rsidRDefault="004526B1" w:rsidP="001B700F">
            <w:r>
              <w:t>1973-2011</w:t>
            </w:r>
          </w:p>
        </w:tc>
      </w:tr>
      <w:tr w:rsidR="004526B1" w14:paraId="0DA20BF3" w14:textId="77777777" w:rsidTr="00FC666B">
        <w:tc>
          <w:tcPr>
            <w:tcW w:w="1197" w:type="dxa"/>
            <w:vMerge/>
          </w:tcPr>
          <w:p w14:paraId="25D3BE1F" w14:textId="77777777" w:rsidR="004526B1" w:rsidRDefault="004526B1" w:rsidP="001B700F"/>
        </w:tc>
        <w:tc>
          <w:tcPr>
            <w:tcW w:w="1707" w:type="dxa"/>
          </w:tcPr>
          <w:p w14:paraId="4731839A" w14:textId="27A320C7" w:rsidR="004526B1" w:rsidRDefault="004526B1" w:rsidP="001B700F">
            <w:r>
              <w:t>Pitt</w:t>
            </w:r>
          </w:p>
        </w:tc>
        <w:tc>
          <w:tcPr>
            <w:tcW w:w="1707" w:type="dxa"/>
          </w:tcPr>
          <w:p w14:paraId="51928AB4" w14:textId="382D2971" w:rsidR="004526B1" w:rsidRDefault="004526B1" w:rsidP="001B700F">
            <w:r>
              <w:t>Upper Pitt River</w:t>
            </w:r>
          </w:p>
        </w:tc>
        <w:tc>
          <w:tcPr>
            <w:tcW w:w="1456" w:type="dxa"/>
          </w:tcPr>
          <w:p w14:paraId="7DDFFA79" w14:textId="7F84EE35" w:rsidR="004526B1" w:rsidRDefault="004526B1" w:rsidP="001B700F">
            <w:r>
              <w:t>Green</w:t>
            </w:r>
          </w:p>
        </w:tc>
        <w:tc>
          <w:tcPr>
            <w:tcW w:w="1197" w:type="dxa"/>
          </w:tcPr>
          <w:p w14:paraId="1498E10E" w14:textId="6D218321" w:rsidR="004526B1" w:rsidRDefault="004526B1" w:rsidP="001B700F">
            <w:r>
              <w:t>Ricker</w:t>
            </w:r>
          </w:p>
        </w:tc>
        <w:tc>
          <w:tcPr>
            <w:tcW w:w="1197" w:type="dxa"/>
          </w:tcPr>
          <w:p w14:paraId="47FE9B8B" w14:textId="7B357D4B" w:rsidR="004526B1" w:rsidRDefault="004526B1" w:rsidP="001B700F">
            <w:r>
              <w:t>1948-2011</w:t>
            </w:r>
          </w:p>
        </w:tc>
      </w:tr>
      <w:tr w:rsidR="004526B1" w14:paraId="53FAEFE4" w14:textId="77777777" w:rsidTr="00FC666B">
        <w:tc>
          <w:tcPr>
            <w:tcW w:w="1197" w:type="dxa"/>
            <w:vMerge w:val="restart"/>
          </w:tcPr>
          <w:p w14:paraId="151003AF" w14:textId="29B37219" w:rsidR="004526B1" w:rsidRDefault="004526B1" w:rsidP="001B700F">
            <w:r>
              <w:t>Summer</w:t>
            </w:r>
          </w:p>
        </w:tc>
        <w:tc>
          <w:tcPr>
            <w:tcW w:w="1707" w:type="dxa"/>
          </w:tcPr>
          <w:p w14:paraId="2269FB5C" w14:textId="2C0F9ED2" w:rsidR="004526B1" w:rsidRDefault="004526B1" w:rsidP="001B700F">
            <w:r>
              <w:t>Takla-Trembleur</w:t>
            </w:r>
          </w:p>
        </w:tc>
        <w:tc>
          <w:tcPr>
            <w:tcW w:w="1707" w:type="dxa"/>
          </w:tcPr>
          <w:p w14:paraId="56DCC765" w14:textId="786DB138" w:rsidR="004526B1" w:rsidRDefault="004526B1" w:rsidP="001B700F">
            <w:r>
              <w:t>Late Stuart</w:t>
            </w:r>
          </w:p>
        </w:tc>
        <w:tc>
          <w:tcPr>
            <w:tcW w:w="1456" w:type="dxa"/>
          </w:tcPr>
          <w:p w14:paraId="6EDA58C3" w14:textId="5D3AC5A5" w:rsidR="004526B1" w:rsidRDefault="004526B1" w:rsidP="001B700F">
            <w:r>
              <w:t>Red/Amber</w:t>
            </w:r>
          </w:p>
        </w:tc>
        <w:tc>
          <w:tcPr>
            <w:tcW w:w="1197" w:type="dxa"/>
          </w:tcPr>
          <w:p w14:paraId="498C2055" w14:textId="7C3BDB74" w:rsidR="004526B1" w:rsidRDefault="004526B1" w:rsidP="001B700F">
            <w:r>
              <w:t>Larkin</w:t>
            </w:r>
          </w:p>
        </w:tc>
        <w:tc>
          <w:tcPr>
            <w:tcW w:w="1197" w:type="dxa"/>
          </w:tcPr>
          <w:p w14:paraId="1FC14183" w14:textId="017BF6D0" w:rsidR="004526B1" w:rsidRDefault="004526B1" w:rsidP="001B700F">
            <w:r>
              <w:t>1948-2011</w:t>
            </w:r>
          </w:p>
        </w:tc>
      </w:tr>
      <w:tr w:rsidR="004526B1" w14:paraId="06D7BD41" w14:textId="77777777" w:rsidTr="00FC666B">
        <w:tc>
          <w:tcPr>
            <w:tcW w:w="1197" w:type="dxa"/>
            <w:vMerge/>
          </w:tcPr>
          <w:p w14:paraId="60856B1F" w14:textId="77777777" w:rsidR="004526B1" w:rsidRDefault="004526B1" w:rsidP="001B700F"/>
        </w:tc>
        <w:tc>
          <w:tcPr>
            <w:tcW w:w="1707" w:type="dxa"/>
          </w:tcPr>
          <w:p w14:paraId="796B788C" w14:textId="2334A21D" w:rsidR="004526B1" w:rsidRDefault="004526B1" w:rsidP="001B700F">
            <w:r>
              <w:t>Francois-Fraser</w:t>
            </w:r>
          </w:p>
        </w:tc>
        <w:tc>
          <w:tcPr>
            <w:tcW w:w="1707" w:type="dxa"/>
          </w:tcPr>
          <w:p w14:paraId="2AFC8F77" w14:textId="353BF440" w:rsidR="004526B1" w:rsidRDefault="004526B1" w:rsidP="001B700F">
            <w:r>
              <w:t>Stellako</w:t>
            </w:r>
          </w:p>
        </w:tc>
        <w:tc>
          <w:tcPr>
            <w:tcW w:w="1456" w:type="dxa"/>
          </w:tcPr>
          <w:p w14:paraId="3618A4C5" w14:textId="32BD2ADA" w:rsidR="004526B1" w:rsidRDefault="004526B1" w:rsidP="001B700F">
            <w:r>
              <w:t>Amber/Green</w:t>
            </w:r>
          </w:p>
        </w:tc>
        <w:tc>
          <w:tcPr>
            <w:tcW w:w="1197" w:type="dxa"/>
          </w:tcPr>
          <w:p w14:paraId="6A75D98E" w14:textId="39B0757C" w:rsidR="004526B1" w:rsidRDefault="004526B1" w:rsidP="001B700F">
            <w:r>
              <w:t>Ricker</w:t>
            </w:r>
          </w:p>
        </w:tc>
        <w:tc>
          <w:tcPr>
            <w:tcW w:w="1197" w:type="dxa"/>
          </w:tcPr>
          <w:p w14:paraId="4627FB12" w14:textId="4E14A673" w:rsidR="004526B1" w:rsidRDefault="004526B1" w:rsidP="001B700F">
            <w:r>
              <w:t>1948-2011</w:t>
            </w:r>
          </w:p>
        </w:tc>
      </w:tr>
      <w:tr w:rsidR="004526B1" w14:paraId="200C69AE" w14:textId="77777777" w:rsidTr="00FC666B">
        <w:tc>
          <w:tcPr>
            <w:tcW w:w="1197" w:type="dxa"/>
            <w:vMerge/>
          </w:tcPr>
          <w:p w14:paraId="65F7501D" w14:textId="77777777" w:rsidR="004526B1" w:rsidRDefault="004526B1" w:rsidP="001B700F"/>
        </w:tc>
        <w:tc>
          <w:tcPr>
            <w:tcW w:w="1707" w:type="dxa"/>
          </w:tcPr>
          <w:p w14:paraId="5BC961C5" w14:textId="72E25399" w:rsidR="004526B1" w:rsidRDefault="004526B1" w:rsidP="001B700F">
            <w:r>
              <w:t>Kamloops-ES</w:t>
            </w:r>
          </w:p>
        </w:tc>
        <w:tc>
          <w:tcPr>
            <w:tcW w:w="1707" w:type="dxa"/>
          </w:tcPr>
          <w:p w14:paraId="57B8985C" w14:textId="6FAE0AE4" w:rsidR="004526B1" w:rsidRDefault="004526B1" w:rsidP="001B700F">
            <w:r>
              <w:t>Raft</w:t>
            </w:r>
          </w:p>
        </w:tc>
        <w:tc>
          <w:tcPr>
            <w:tcW w:w="1456" w:type="dxa"/>
          </w:tcPr>
          <w:p w14:paraId="5FB9DA6F" w14:textId="1E21B3DB" w:rsidR="004526B1" w:rsidRDefault="004526B1" w:rsidP="001B700F">
            <w:r>
              <w:t>Amber</w:t>
            </w:r>
          </w:p>
        </w:tc>
        <w:tc>
          <w:tcPr>
            <w:tcW w:w="1197" w:type="dxa"/>
          </w:tcPr>
          <w:p w14:paraId="77FDCC6E" w14:textId="4197F07C" w:rsidR="004526B1" w:rsidRDefault="004526B1" w:rsidP="001B700F">
            <w:r>
              <w:t>Ricker</w:t>
            </w:r>
          </w:p>
        </w:tc>
        <w:tc>
          <w:tcPr>
            <w:tcW w:w="1197" w:type="dxa"/>
          </w:tcPr>
          <w:p w14:paraId="5E989EAE" w14:textId="09425B87" w:rsidR="004526B1" w:rsidRDefault="004526B1" w:rsidP="001B700F">
            <w:r>
              <w:t>1948-2011</w:t>
            </w:r>
          </w:p>
        </w:tc>
      </w:tr>
      <w:tr w:rsidR="004526B1" w14:paraId="5254F297" w14:textId="77777777" w:rsidTr="00FC666B">
        <w:tc>
          <w:tcPr>
            <w:tcW w:w="1197" w:type="dxa"/>
            <w:vMerge/>
          </w:tcPr>
          <w:p w14:paraId="7091FF3F" w14:textId="77777777" w:rsidR="004526B1" w:rsidRDefault="004526B1" w:rsidP="001B700F"/>
        </w:tc>
        <w:tc>
          <w:tcPr>
            <w:tcW w:w="1707" w:type="dxa"/>
          </w:tcPr>
          <w:p w14:paraId="2BFA0E8C" w14:textId="02E4C5D7" w:rsidR="004526B1" w:rsidRDefault="004526B1" w:rsidP="001B700F">
            <w:r>
              <w:t>Quesnel</w:t>
            </w:r>
          </w:p>
        </w:tc>
        <w:tc>
          <w:tcPr>
            <w:tcW w:w="1707" w:type="dxa"/>
          </w:tcPr>
          <w:p w14:paraId="330CD1AC" w14:textId="1D868A12" w:rsidR="004526B1" w:rsidRDefault="004526B1" w:rsidP="001B700F">
            <w:r>
              <w:t>Quesnel</w:t>
            </w:r>
          </w:p>
        </w:tc>
        <w:tc>
          <w:tcPr>
            <w:tcW w:w="1456" w:type="dxa"/>
          </w:tcPr>
          <w:p w14:paraId="0DD491E6" w14:textId="2C4E8ABA" w:rsidR="004526B1" w:rsidRDefault="004526B1" w:rsidP="001B700F">
            <w:r>
              <w:t>Red/Amber</w:t>
            </w:r>
          </w:p>
        </w:tc>
        <w:tc>
          <w:tcPr>
            <w:tcW w:w="1197" w:type="dxa"/>
          </w:tcPr>
          <w:p w14:paraId="2EEDD2F0" w14:textId="1F5EE61B" w:rsidR="004526B1" w:rsidRDefault="004526B1" w:rsidP="001B700F">
            <w:r>
              <w:t>Larkin</w:t>
            </w:r>
          </w:p>
        </w:tc>
        <w:tc>
          <w:tcPr>
            <w:tcW w:w="1197" w:type="dxa"/>
          </w:tcPr>
          <w:p w14:paraId="74C2055F" w14:textId="51BE0409" w:rsidR="004526B1" w:rsidRDefault="004526B1" w:rsidP="001B700F">
            <w:r>
              <w:t>1948-2011</w:t>
            </w:r>
          </w:p>
        </w:tc>
      </w:tr>
      <w:tr w:rsidR="004526B1" w14:paraId="1272FED8" w14:textId="77777777" w:rsidTr="00FC666B">
        <w:tc>
          <w:tcPr>
            <w:tcW w:w="1197" w:type="dxa"/>
            <w:vMerge/>
          </w:tcPr>
          <w:p w14:paraId="5B92E05A" w14:textId="77777777" w:rsidR="004526B1" w:rsidRDefault="004526B1" w:rsidP="001B700F"/>
        </w:tc>
        <w:tc>
          <w:tcPr>
            <w:tcW w:w="1707" w:type="dxa"/>
          </w:tcPr>
          <w:p w14:paraId="2CB5D063" w14:textId="4D6B9A86" w:rsidR="004526B1" w:rsidRDefault="004526B1" w:rsidP="001B700F">
            <w:r>
              <w:t>Chilko</w:t>
            </w:r>
          </w:p>
        </w:tc>
        <w:tc>
          <w:tcPr>
            <w:tcW w:w="1707" w:type="dxa"/>
          </w:tcPr>
          <w:p w14:paraId="560841D3" w14:textId="3413EA2F" w:rsidR="004526B1" w:rsidRDefault="004526B1" w:rsidP="001B700F">
            <w:r>
              <w:t>Chilko</w:t>
            </w:r>
          </w:p>
        </w:tc>
        <w:tc>
          <w:tcPr>
            <w:tcW w:w="1456" w:type="dxa"/>
          </w:tcPr>
          <w:p w14:paraId="15D23005" w14:textId="5C2CD843" w:rsidR="004526B1" w:rsidRDefault="004526B1" w:rsidP="001B700F">
            <w:r>
              <w:t>Green</w:t>
            </w:r>
          </w:p>
        </w:tc>
        <w:tc>
          <w:tcPr>
            <w:tcW w:w="1197" w:type="dxa"/>
          </w:tcPr>
          <w:p w14:paraId="3B88E6AA" w14:textId="7CF1A819" w:rsidR="004526B1" w:rsidRDefault="004526B1" w:rsidP="001B700F">
            <w:r>
              <w:t>Ricker</w:t>
            </w:r>
          </w:p>
        </w:tc>
        <w:tc>
          <w:tcPr>
            <w:tcW w:w="1197" w:type="dxa"/>
          </w:tcPr>
          <w:p w14:paraId="0E05E01A" w14:textId="01ADBDBE" w:rsidR="004526B1" w:rsidRDefault="004526B1" w:rsidP="001B700F">
            <w:r>
              <w:t>1948-2011</w:t>
            </w:r>
          </w:p>
        </w:tc>
      </w:tr>
      <w:tr w:rsidR="004526B1" w14:paraId="6E093926" w14:textId="77777777" w:rsidTr="00FC666B">
        <w:tc>
          <w:tcPr>
            <w:tcW w:w="1197" w:type="dxa"/>
            <w:vMerge/>
          </w:tcPr>
          <w:p w14:paraId="4405C9B1" w14:textId="77777777" w:rsidR="004526B1" w:rsidRDefault="004526B1" w:rsidP="001B700F"/>
        </w:tc>
        <w:tc>
          <w:tcPr>
            <w:tcW w:w="1707" w:type="dxa"/>
          </w:tcPr>
          <w:p w14:paraId="2D175AE0" w14:textId="215AF6F3" w:rsidR="004526B1" w:rsidRDefault="004526B1" w:rsidP="00FC666B">
            <w:r>
              <w:t>Harrison (river-type)</w:t>
            </w:r>
          </w:p>
        </w:tc>
        <w:tc>
          <w:tcPr>
            <w:tcW w:w="1707" w:type="dxa"/>
          </w:tcPr>
          <w:p w14:paraId="74061977" w14:textId="39C07A2E" w:rsidR="004526B1" w:rsidRDefault="004526B1" w:rsidP="001B700F">
            <w:r>
              <w:t>Harrison</w:t>
            </w:r>
          </w:p>
        </w:tc>
        <w:tc>
          <w:tcPr>
            <w:tcW w:w="1456" w:type="dxa"/>
          </w:tcPr>
          <w:p w14:paraId="290BDF1F" w14:textId="3F716240" w:rsidR="004526B1" w:rsidRDefault="004526B1" w:rsidP="001B700F">
            <w:r>
              <w:t>Green</w:t>
            </w:r>
          </w:p>
        </w:tc>
        <w:tc>
          <w:tcPr>
            <w:tcW w:w="1197" w:type="dxa"/>
          </w:tcPr>
          <w:p w14:paraId="477B6986" w14:textId="5DCACC3A" w:rsidR="004526B1" w:rsidRDefault="004526B1" w:rsidP="001B700F">
            <w:r>
              <w:t>Ricker</w:t>
            </w:r>
          </w:p>
        </w:tc>
        <w:tc>
          <w:tcPr>
            <w:tcW w:w="1197" w:type="dxa"/>
          </w:tcPr>
          <w:p w14:paraId="648C1B89" w14:textId="0154C7CB" w:rsidR="004526B1" w:rsidRDefault="004526B1" w:rsidP="001B700F">
            <w:r>
              <w:t>1948-2011</w:t>
            </w:r>
          </w:p>
        </w:tc>
      </w:tr>
      <w:tr w:rsidR="004526B1" w14:paraId="59D2C660" w14:textId="77777777" w:rsidTr="00FC666B">
        <w:tc>
          <w:tcPr>
            <w:tcW w:w="1197" w:type="dxa"/>
            <w:vMerge w:val="restart"/>
          </w:tcPr>
          <w:p w14:paraId="3EA4A5F3" w14:textId="061134E8" w:rsidR="004526B1" w:rsidRDefault="004526B1" w:rsidP="001B700F">
            <w:r>
              <w:t>Late Summer</w:t>
            </w:r>
          </w:p>
        </w:tc>
        <w:tc>
          <w:tcPr>
            <w:tcW w:w="1707" w:type="dxa"/>
          </w:tcPr>
          <w:p w14:paraId="4D7F430D" w14:textId="235CFAE0" w:rsidR="004526B1" w:rsidRDefault="004526B1" w:rsidP="00FC666B">
            <w:r>
              <w:t>Shuswap-L</w:t>
            </w:r>
          </w:p>
        </w:tc>
        <w:tc>
          <w:tcPr>
            <w:tcW w:w="1707" w:type="dxa"/>
          </w:tcPr>
          <w:p w14:paraId="263C3984" w14:textId="4250731D" w:rsidR="004526B1" w:rsidRDefault="004526B1" w:rsidP="001B700F">
            <w:r>
              <w:t>Late Shuswap</w:t>
            </w:r>
          </w:p>
        </w:tc>
        <w:tc>
          <w:tcPr>
            <w:tcW w:w="1456" w:type="dxa"/>
          </w:tcPr>
          <w:p w14:paraId="6F775717" w14:textId="1981E96E" w:rsidR="004526B1" w:rsidRDefault="004526B1" w:rsidP="001B700F">
            <w:r>
              <w:t>Amber/Green</w:t>
            </w:r>
          </w:p>
        </w:tc>
        <w:tc>
          <w:tcPr>
            <w:tcW w:w="1197" w:type="dxa"/>
          </w:tcPr>
          <w:p w14:paraId="5054FAE6" w14:textId="16AE621E" w:rsidR="004526B1" w:rsidRDefault="004526B1" w:rsidP="001B700F">
            <w:r>
              <w:t>Larkin</w:t>
            </w:r>
          </w:p>
        </w:tc>
        <w:tc>
          <w:tcPr>
            <w:tcW w:w="1197" w:type="dxa"/>
          </w:tcPr>
          <w:p w14:paraId="672A38D2" w14:textId="2C8158D8" w:rsidR="004526B1" w:rsidRDefault="004526B1" w:rsidP="001B700F">
            <w:r>
              <w:t>1948-2011</w:t>
            </w:r>
          </w:p>
        </w:tc>
      </w:tr>
      <w:tr w:rsidR="004526B1" w14:paraId="03821DB1" w14:textId="77777777" w:rsidTr="00FC666B">
        <w:tc>
          <w:tcPr>
            <w:tcW w:w="1197" w:type="dxa"/>
            <w:vMerge/>
          </w:tcPr>
          <w:p w14:paraId="305B04F6" w14:textId="77777777" w:rsidR="004526B1" w:rsidRDefault="004526B1" w:rsidP="001B700F"/>
        </w:tc>
        <w:tc>
          <w:tcPr>
            <w:tcW w:w="1707" w:type="dxa"/>
          </w:tcPr>
          <w:p w14:paraId="2EDA1E05" w14:textId="411126F6" w:rsidR="004526B1" w:rsidRDefault="004526B1" w:rsidP="00FC666B">
            <w:r>
              <w:t>Lillooet-Harrison</w:t>
            </w:r>
          </w:p>
        </w:tc>
        <w:tc>
          <w:tcPr>
            <w:tcW w:w="1707" w:type="dxa"/>
          </w:tcPr>
          <w:p w14:paraId="00BE78B1" w14:textId="4A107F10" w:rsidR="004526B1" w:rsidRDefault="004526B1" w:rsidP="001B700F">
            <w:r>
              <w:t>Birkenhead</w:t>
            </w:r>
          </w:p>
        </w:tc>
        <w:tc>
          <w:tcPr>
            <w:tcW w:w="1456" w:type="dxa"/>
          </w:tcPr>
          <w:p w14:paraId="2628CDBB" w14:textId="3815BB38" w:rsidR="004526B1" w:rsidRDefault="004526B1" w:rsidP="001B700F">
            <w:r>
              <w:t>Amber</w:t>
            </w:r>
          </w:p>
        </w:tc>
        <w:tc>
          <w:tcPr>
            <w:tcW w:w="1197" w:type="dxa"/>
          </w:tcPr>
          <w:p w14:paraId="066957F4" w14:textId="4809C4BB" w:rsidR="004526B1" w:rsidRDefault="004526B1" w:rsidP="001B700F">
            <w:r>
              <w:t>Ricker</w:t>
            </w:r>
          </w:p>
        </w:tc>
        <w:tc>
          <w:tcPr>
            <w:tcW w:w="1197" w:type="dxa"/>
          </w:tcPr>
          <w:p w14:paraId="125FE287" w14:textId="440650C9" w:rsidR="004526B1" w:rsidRDefault="004526B1" w:rsidP="001B700F">
            <w:r>
              <w:t>1948-2011</w:t>
            </w:r>
          </w:p>
        </w:tc>
      </w:tr>
      <w:tr w:rsidR="004526B1" w14:paraId="16FF005F" w14:textId="77777777" w:rsidTr="00FC666B">
        <w:tc>
          <w:tcPr>
            <w:tcW w:w="1197" w:type="dxa"/>
            <w:vMerge/>
          </w:tcPr>
          <w:p w14:paraId="2A2E6632" w14:textId="77777777" w:rsidR="004526B1" w:rsidRDefault="004526B1" w:rsidP="001B700F"/>
        </w:tc>
        <w:tc>
          <w:tcPr>
            <w:tcW w:w="1707" w:type="dxa"/>
          </w:tcPr>
          <w:p w14:paraId="511359A4" w14:textId="75E75E87" w:rsidR="004526B1" w:rsidRDefault="004526B1" w:rsidP="00FC666B">
            <w:r>
              <w:t>Cultus</w:t>
            </w:r>
          </w:p>
        </w:tc>
        <w:tc>
          <w:tcPr>
            <w:tcW w:w="1707" w:type="dxa"/>
          </w:tcPr>
          <w:p w14:paraId="6E62BB5F" w14:textId="48225974" w:rsidR="004526B1" w:rsidRDefault="004526B1" w:rsidP="001B700F">
            <w:r>
              <w:t>Cultus</w:t>
            </w:r>
          </w:p>
        </w:tc>
        <w:tc>
          <w:tcPr>
            <w:tcW w:w="1456" w:type="dxa"/>
          </w:tcPr>
          <w:p w14:paraId="5CBB20B3" w14:textId="34BC1608" w:rsidR="004526B1" w:rsidRDefault="004526B1" w:rsidP="001B700F">
            <w:r>
              <w:t>Red</w:t>
            </w:r>
          </w:p>
        </w:tc>
        <w:tc>
          <w:tcPr>
            <w:tcW w:w="1197" w:type="dxa"/>
          </w:tcPr>
          <w:p w14:paraId="11E2502B" w14:textId="39CD16D8" w:rsidR="004526B1" w:rsidRDefault="004526B1" w:rsidP="001B700F">
            <w:r>
              <w:t>Ricker</w:t>
            </w:r>
          </w:p>
        </w:tc>
        <w:tc>
          <w:tcPr>
            <w:tcW w:w="1197" w:type="dxa"/>
          </w:tcPr>
          <w:p w14:paraId="322A2CA2" w14:textId="73F298DA" w:rsidR="004526B1" w:rsidRDefault="004526B1" w:rsidP="001B700F">
            <w:r>
              <w:t>1948-2011*</w:t>
            </w:r>
          </w:p>
        </w:tc>
      </w:tr>
      <w:tr w:rsidR="004526B1" w14:paraId="5D600F8A" w14:textId="77777777" w:rsidTr="00FC666B">
        <w:tc>
          <w:tcPr>
            <w:tcW w:w="1197" w:type="dxa"/>
            <w:vMerge/>
          </w:tcPr>
          <w:p w14:paraId="5312D1FE" w14:textId="77777777" w:rsidR="004526B1" w:rsidRDefault="004526B1" w:rsidP="001B700F"/>
        </w:tc>
        <w:tc>
          <w:tcPr>
            <w:tcW w:w="1707" w:type="dxa"/>
          </w:tcPr>
          <w:p w14:paraId="140ED82A" w14:textId="68CE8D15" w:rsidR="004526B1" w:rsidRDefault="004526B1" w:rsidP="00FC666B">
            <w:r>
              <w:t>Seton</w:t>
            </w:r>
          </w:p>
        </w:tc>
        <w:tc>
          <w:tcPr>
            <w:tcW w:w="1707" w:type="dxa"/>
          </w:tcPr>
          <w:p w14:paraId="18878366" w14:textId="57074594" w:rsidR="004526B1" w:rsidRDefault="004526B1" w:rsidP="001B700F">
            <w:r>
              <w:t>Portage</w:t>
            </w:r>
          </w:p>
        </w:tc>
        <w:tc>
          <w:tcPr>
            <w:tcW w:w="1456" w:type="dxa"/>
          </w:tcPr>
          <w:p w14:paraId="21C8A61D" w14:textId="2EA5FDB6" w:rsidR="004526B1" w:rsidRDefault="004526B1" w:rsidP="001B700F">
            <w:r>
              <w:t>Red</w:t>
            </w:r>
          </w:p>
        </w:tc>
        <w:tc>
          <w:tcPr>
            <w:tcW w:w="1197" w:type="dxa"/>
          </w:tcPr>
          <w:p w14:paraId="29997A02" w14:textId="0BF23F4D" w:rsidR="004526B1" w:rsidRDefault="004526B1" w:rsidP="001B700F">
            <w:r>
              <w:t>Ricker</w:t>
            </w:r>
          </w:p>
        </w:tc>
        <w:tc>
          <w:tcPr>
            <w:tcW w:w="1197" w:type="dxa"/>
          </w:tcPr>
          <w:p w14:paraId="7FEA5F89" w14:textId="3CDEE0B3" w:rsidR="004526B1" w:rsidRDefault="004526B1" w:rsidP="001B700F">
            <w:r>
              <w:t>1965-2011</w:t>
            </w:r>
          </w:p>
        </w:tc>
      </w:tr>
      <w:tr w:rsidR="004526B1" w14:paraId="5FAC3531" w14:textId="77777777" w:rsidTr="00FC666B">
        <w:tc>
          <w:tcPr>
            <w:tcW w:w="1197" w:type="dxa"/>
            <w:vMerge/>
          </w:tcPr>
          <w:p w14:paraId="66701F24" w14:textId="77777777" w:rsidR="004526B1" w:rsidRDefault="004526B1" w:rsidP="001B700F"/>
        </w:tc>
        <w:tc>
          <w:tcPr>
            <w:tcW w:w="1707" w:type="dxa"/>
          </w:tcPr>
          <w:p w14:paraId="766784B0" w14:textId="4D052EA2" w:rsidR="004526B1" w:rsidRDefault="004526B1" w:rsidP="00FC666B">
            <w:r>
              <w:t>Harrison (upstream)</w:t>
            </w:r>
          </w:p>
        </w:tc>
        <w:tc>
          <w:tcPr>
            <w:tcW w:w="1707" w:type="dxa"/>
          </w:tcPr>
          <w:p w14:paraId="7C5A4141" w14:textId="5ADADDF5" w:rsidR="004526B1" w:rsidRDefault="004526B1" w:rsidP="001B700F">
            <w:r>
              <w:t>Weaver Creek</w:t>
            </w:r>
          </w:p>
        </w:tc>
        <w:tc>
          <w:tcPr>
            <w:tcW w:w="1456" w:type="dxa"/>
          </w:tcPr>
          <w:p w14:paraId="2D865B6B" w14:textId="3102E990" w:rsidR="004526B1" w:rsidRDefault="004526B1" w:rsidP="001B700F">
            <w:r>
              <w:t>Red</w:t>
            </w:r>
          </w:p>
        </w:tc>
        <w:tc>
          <w:tcPr>
            <w:tcW w:w="1197" w:type="dxa"/>
          </w:tcPr>
          <w:p w14:paraId="166DD4A4" w14:textId="677336DA" w:rsidR="004526B1" w:rsidRDefault="004526B1" w:rsidP="001B700F">
            <w:r>
              <w:t>Ricker</w:t>
            </w:r>
          </w:p>
        </w:tc>
        <w:tc>
          <w:tcPr>
            <w:tcW w:w="1197" w:type="dxa"/>
          </w:tcPr>
          <w:p w14:paraId="0E8356F9" w14:textId="4D5F1675" w:rsidR="004526B1" w:rsidRDefault="004526B1" w:rsidP="001B700F">
            <w:r>
              <w:t>1966-2011</w:t>
            </w:r>
          </w:p>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AE47D" w:rsidR="00697A59" w:rsidRDefault="006A3951" w:rsidP="00FF04FF">
      <w:r>
        <w:rPr>
          <w:i/>
        </w:rPr>
        <w:tab/>
      </w:r>
      <w:r w:rsidR="000835A0">
        <w:t>We examined temporal changes in three metrics</w:t>
      </w:r>
      <w:r w:rsidR="009801E9">
        <w:t xml:space="preserve"> of metapopulation variability</w:t>
      </w:r>
      <w:r w:rsidR="000835A0">
        <w:t xml:space="preserve">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9D3206">
        <w:t>The synchrony index</w:t>
      </w:r>
      <w:r>
        <w:t xml:space="preserve"> 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2864B446" w:rsidR="000C23EB" w:rsidRDefault="00697A59" w:rsidP="006A3951">
      <w:r>
        <w:t xml:space="preserve">Here </w:t>
      </w:r>
      <w:r>
        <w:rPr>
          <w:i/>
        </w:rPr>
        <w:t xml:space="preserve">v </w:t>
      </w:r>
      <w:r>
        <w:t xml:space="preserve">denotes variance (over time) for </w:t>
      </w:r>
      <w:commentRangeStart w:id="2"/>
      <w:r>
        <w:t xml:space="preserve">populations </w:t>
      </w:r>
      <w:commentRangeEnd w:id="2"/>
      <w:r w:rsidR="00E51CA9">
        <w:rPr>
          <w:rStyle w:val="CommentReference"/>
        </w:rPr>
        <w:commentReference w:id="2"/>
      </w:r>
      <w:r>
        <w:rPr>
          <w:i/>
        </w:rPr>
        <w:t xml:space="preserve">i </w:t>
      </w:r>
      <w:r>
        <w:t xml:space="preserve">through </w:t>
      </w:r>
      <w:r>
        <w:rPr>
          <w:i/>
        </w:rPr>
        <w:t xml:space="preserve">j </w:t>
      </w:r>
      <w:r>
        <w:t>making up an aggregate. Thus the simplified numerator</w:t>
      </w:r>
      <w:r w:rsidR="000E43A3">
        <w:t xml:space="preserve"> represents the variance of </w:t>
      </w:r>
      <w:del w:id="3" w:author="DFO-MPO" w:date="2018-09-11T08:22:00Z">
        <w:r w:rsidR="000E43A3" w:rsidDel="00FD02C8">
          <w:delText>aggregate abundance</w:delText>
        </w:r>
      </w:del>
      <w:ins w:id="4" w:author="DFO-MPO" w:date="2018-09-11T08:22:00Z">
        <w:r w:rsidR="00FD02C8">
          <w:t>an aggregate</w:t>
        </w:r>
      </w:ins>
      <w:r w:rsidR="000E43A3">
        <w:t>,</w:t>
      </w:r>
      <w:r>
        <w:t xml:space="preserve"> consisting of </w:t>
      </w:r>
      <w:r>
        <w:rPr>
          <w:i/>
        </w:rPr>
        <w:t>n</w:t>
      </w:r>
      <w:r w:rsidR="000E43A3">
        <w:t xml:space="preserve"> populations, and t</w:t>
      </w:r>
      <w:r>
        <w:t>he denominator is the variance of a hypothetical</w:t>
      </w:r>
      <w:r w:rsidR="00424B71">
        <w:t>, perfectly synchronized</w:t>
      </w:r>
      <w:r>
        <w:t xml:space="preserve"> population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94700F">
        <w:fldChar w:fldCharType="begin"/>
      </w:r>
      <w:r w:rsidR="0094700F">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0094700F">
        <w:fldChar w:fldCharType="end"/>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w:t>
      </w:r>
      <w:r w:rsidR="000C23EB">
        <w:lastRenderedPageBreak/>
        <w:t>than -1 and 1), and explicitly accounts for unequal variances among components</w:t>
      </w:r>
      <w:r w:rsidR="009D3206">
        <w:t xml:space="preserve"> </w:t>
      </w:r>
      <w:r w:rsidR="009D3206">
        <w:fldChar w:fldCharType="begin"/>
      </w:r>
      <w:r w:rsidR="009D3206">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D3206">
        <w:fldChar w:fldCharType="separate"/>
      </w:r>
      <w:r w:rsidR="009D3206">
        <w:rPr>
          <w:noProof/>
        </w:rPr>
        <w:t>(Thibaut &amp; Connolly 2013)</w:t>
      </w:r>
      <w:r w:rsidR="009D3206">
        <w:fldChar w:fldCharType="end"/>
      </w:r>
      <w:r w:rsidR="00424B71">
        <w:t>.</w:t>
      </w:r>
    </w:p>
    <w:p w14:paraId="0C8B770C" w14:textId="50912EEC" w:rsidR="000C23EB" w:rsidRDefault="000C23EB" w:rsidP="006A3951">
      <w:r>
        <w:tab/>
        <w:t>The second metric is the mean of the component</w:t>
      </w:r>
      <w:r w:rsidR="00BB7A46">
        <w:t xml:space="preserve"> populations</w:t>
      </w:r>
      <w:r>
        <w:t>’ coefficients of variation (CV</w:t>
      </w:r>
      <w:r>
        <w:rPr>
          <w:vertAlign w:val="subscript"/>
        </w:rPr>
        <w:t>c</w:t>
      </w:r>
      <w:r>
        <w:t>), weighted by each component’s mean abundance.</w:t>
      </w:r>
    </w:p>
    <w:p w14:paraId="5D62C147" w14:textId="2C26282D" w:rsidR="00ED7E4C" w:rsidRDefault="00BB7A46" w:rsidP="000C23EB">
      <w:r>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18DAEF6C" w14:textId="77777777" w:rsidR="00C030C1" w:rsidRDefault="0047719C" w:rsidP="0047719C">
      <w:pPr>
        <w:spacing w:before="240"/>
      </w:pPr>
      <w:r>
        <w:t xml:space="preserve">where </w:t>
      </w:r>
      <w:r>
        <w:rPr>
          <w:i/>
        </w:rPr>
        <w:t>m</w:t>
      </w:r>
      <w:r>
        <w:rPr>
          <w:i/>
          <w:vertAlign w:val="superscript"/>
        </w:rPr>
        <w:t>pop</w:t>
      </w:r>
      <w:r>
        <w:t>(</w:t>
      </w:r>
      <w:r>
        <w:rPr>
          <w:i/>
        </w:rPr>
        <w:t>i</w:t>
      </w:r>
      <w:r>
        <w:t xml:space="preserve">) is the mean abundance (through time) of population </w:t>
      </w:r>
      <w:r>
        <w:rPr>
          <w:i/>
        </w:rPr>
        <w:t>i</w:t>
      </w:r>
      <w:r>
        <w:t xml:space="preserve"> and </w:t>
      </w:r>
      <w:r>
        <w:rPr>
          <w:i/>
        </w:rPr>
        <w:t>m</w:t>
      </w:r>
      <w:r>
        <w:rPr>
          <w:i/>
          <w:vertAlign w:val="superscript"/>
        </w:rPr>
        <w:t>agg</w:t>
      </w:r>
      <w:r>
        <w:rPr>
          <w:i/>
        </w:rPr>
        <w:t xml:space="preserve"> </w:t>
      </w:r>
      <w:r>
        <w:t xml:space="preserve">is the mean abundance of the aggregate. </w:t>
      </w:r>
    </w:p>
    <w:p w14:paraId="309DAA4B" w14:textId="37AA2059" w:rsidR="000C23EB" w:rsidRDefault="000C23EB" w:rsidP="00C030C1">
      <w:pPr>
        <w:spacing w:before="240"/>
        <w:ind w:firstLine="720"/>
      </w:pPr>
      <w:r>
        <w:t>Finally, we calculated the coefficient of variation for the aggregate (CV</w:t>
      </w:r>
      <w:r>
        <w:rPr>
          <w:vertAlign w:val="subscript"/>
        </w:rPr>
        <w:t>A</w:t>
      </w:r>
      <w:r>
        <w:t>) as a function of the first two metrics following</w:t>
      </w:r>
      <w:r w:rsidR="0094700F">
        <w:t xml:space="preserve"> </w:t>
      </w:r>
      <w:r w:rsidR="0094700F">
        <w:fldChar w:fldCharType="begin"/>
      </w:r>
      <w:r w:rsidR="0094700F">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4700F">
        <w:fldChar w:fldCharType="separate"/>
      </w:r>
      <w:r w:rsidR="0094700F">
        <w:rPr>
          <w:noProof/>
        </w:rPr>
        <w:t>Thibaut and Connolly (2013)</w:t>
      </w:r>
      <w:r w:rsidR="0094700F">
        <w:fldChar w:fldCharType="end"/>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56386906"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w:t>
      </w:r>
      <w:r w:rsidR="00320A6C">
        <w:t>Thus a</w:t>
      </w:r>
      <w:r w:rsidR="00C030C1">
        <w:t>s synchrony increases</w:t>
      </w:r>
      <w:r>
        <w:t xml:space="preserve"> CV</w:t>
      </w:r>
      <w:r>
        <w:rPr>
          <w:vertAlign w:val="subscript"/>
        </w:rPr>
        <w:t>A</w:t>
      </w:r>
      <w:r>
        <w:t xml:space="preserve"> becomes </w:t>
      </w:r>
      <w:r w:rsidR="00D136FD">
        <w:t>more</w:t>
      </w:r>
      <w:r>
        <w:t xml:space="preserve"> similar to CV</w:t>
      </w:r>
      <w:r>
        <w:rPr>
          <w:vertAlign w:val="subscript"/>
        </w:rPr>
        <w:t>C</w:t>
      </w:r>
      <w:r w:rsidR="00C030C1">
        <w:t xml:space="preserve">, while </w:t>
      </w:r>
      <w:r>
        <w:t>CV</w:t>
      </w:r>
      <w:r>
        <w:rPr>
          <w:vertAlign w:val="subscript"/>
        </w:rPr>
        <w:t xml:space="preserve">A </w:t>
      </w:r>
      <w:r>
        <w:t xml:space="preserve">is dampened when components </w:t>
      </w:r>
      <w:r w:rsidR="00C030C1">
        <w:t>vary</w:t>
      </w:r>
      <w:r>
        <w:t xml:space="preserve"> asynchronous</w:t>
      </w:r>
      <w:r w:rsidR="00C030C1">
        <w:t>ly</w:t>
      </w:r>
      <w:r w:rsidR="00714028">
        <w:t xml:space="preserve">.  </w:t>
      </w:r>
    </w:p>
    <w:p w14:paraId="78C68F26" w14:textId="7220F83E"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of </w:t>
      </w:r>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of per capita productivity, log(recruits/spawner).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w:t>
      </w:r>
      <w:r w:rsidR="00B5638E">
        <w:t>,</w:t>
      </w:r>
      <w:r w:rsidR="00BB46A3">
        <w:t xml:space="preserve"> we also present </w:t>
      </w:r>
      <w:r w:rsidR="001B700F">
        <w:t xml:space="preserve">temporal </w:t>
      </w:r>
      <w:r w:rsidR="00BB46A3">
        <w:t>changes in</w:t>
      </w:r>
      <w:r w:rsidR="00B5638E">
        <w:t xml:space="preserve"> observed productivity,</w:t>
      </w:r>
      <w:r w:rsidR="00BB46A3">
        <w:t xml:space="preserve"> aggregate spawner abundance</w:t>
      </w:r>
      <w:r w:rsidR="00B5638E">
        <w:t>,</w:t>
      </w:r>
      <w:r w:rsidR="00BB46A3">
        <w:t xml:space="preserv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61E82160" w14:textId="17D473BD" w:rsidR="00B5638E" w:rsidRDefault="00B5638E" w:rsidP="009D23BD">
      <w:pPr>
        <w:tabs>
          <w:tab w:val="left" w:pos="709"/>
        </w:tabs>
        <w:rPr>
          <w:i/>
        </w:rPr>
      </w:pPr>
      <w:r>
        <w:rPr>
          <w:i/>
        </w:rPr>
        <w:t xml:space="preserve">Structure of biological and management submodels </w:t>
      </w:r>
    </w:p>
    <w:p w14:paraId="7225BEA0" w14:textId="0CBC66C3"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94700F">
        <w:t xml:space="preserve"> </w:t>
      </w:r>
      <w:r w:rsidR="0094700F">
        <w:fldChar w:fldCharType="begin"/>
      </w:r>
      <w:r w:rsidR="0094700F">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0094700F">
        <w:fldChar w:fldCharType="separate"/>
      </w:r>
      <w:r w:rsidR="0094700F">
        <w:rPr>
          <w:noProof/>
        </w:rPr>
        <w:t>(Ricker 1975)</w:t>
      </w:r>
      <w:r w:rsidR="0094700F">
        <w:fldChar w:fldCharType="end"/>
      </w:r>
      <w:r w:rsidR="005B527F">
        <w:t xml:space="preserve"> </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2714113C" w:rsidR="009D23BD" w:rsidRDefault="009D23BD" w:rsidP="009D23BD">
      <w:r>
        <w:t xml:space="preserve">where </w:t>
      </w:r>
      <w:r>
        <w:rPr>
          <w:i/>
        </w:rPr>
        <w:t xml:space="preserve">i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spawners in year </w:t>
      </w:r>
      <w:r>
        <w:rPr>
          <w:i/>
        </w:rPr>
        <w:t>y</w:t>
      </w:r>
      <w:r>
        <w:t xml:space="preserve">. The parameter </w:t>
      </w:r>
      <m:oMath>
        <m:r>
          <w:rPr>
            <w:rFonts w:ascii="Cambria Math" w:hAnsi="Cambria Math"/>
          </w:rPr>
          <m:t>α</m:t>
        </m:r>
      </m:oMath>
      <w:r>
        <w:t xml:space="preserve"> represents the </w:t>
      </w:r>
      <w:r>
        <w:lastRenderedPageBreak/>
        <w:t xml:space="preserve">number of recruits produced per spawner at low abundance and </w:t>
      </w:r>
      <m:oMath>
        <m:r>
          <w:rPr>
            <w:rFonts w:ascii="Cambria Math" w:hAnsi="Cambria Math"/>
          </w:rPr>
          <m:t>β</m:t>
        </m:r>
      </m:oMath>
      <w:r>
        <w:rPr>
          <w:i/>
        </w:rPr>
        <w:t xml:space="preserve"> </w:t>
      </w:r>
      <w:r>
        <w:t xml:space="preserve">the density-dependent parameter, the reciprocal of the number of spawners that produce maximum recruits. This model </w:t>
      </w:r>
      <w:r w:rsidR="00C030C1">
        <w:t>is commonly</w:t>
      </w:r>
      <w:r>
        <w:t xml:space="preserv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5AC8DB4C" w:rsidR="009D23BD" w:rsidRDefault="009D23BD" w:rsidP="009D23BD">
      <w:pPr>
        <w:tabs>
          <w:tab w:val="left" w:pos="851"/>
        </w:tabs>
      </w:pPr>
      <w:r>
        <w:tab/>
        <w:t xml:space="preserve">The productivity of a subset of CUs with cyclic dynamics (Table 1) was </w:t>
      </w:r>
      <w:r w:rsidR="00C030C1">
        <w:t>simulated</w:t>
      </w:r>
      <w:r>
        <w:t xml:space="preserve"> using a Larkin model, a modified version of the Ricker model that accounts for</w:t>
      </w:r>
      <w:r w:rsidR="005B527F">
        <w:t xml:space="preserve"> interactions among brood years, i.e.</w:t>
      </w:r>
      <w:r>
        <w:t xml:space="preserve"> delayed density-dependent effects (</w:t>
      </w:r>
      <w:r w:rsidR="0094700F">
        <w:t>Larkin 1971</w:t>
      </w:r>
      <w:r w:rsidR="0094700F">
        <w:fldChar w:fldCharType="begin"/>
      </w:r>
      <w:r w:rsidR="0094700F">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94700F">
        <w:fldChar w:fldCharType="end"/>
      </w:r>
      <w:r w:rsidR="00E27EF5">
        <w:t xml:space="preserve">; </w:t>
      </w:r>
      <w:r>
        <w:t xml:space="preserve">details in </w:t>
      </w:r>
      <w:r w:rsidR="005B527F">
        <w:t>Appendix</w:t>
      </w:r>
      <w:r>
        <w:t>). Whether we estimated productivity for a given CU using a Ricker or Larkin model followed assignments made in the most recent Wild Salmon Policy assessment (</w:t>
      </w:r>
      <w:commentRangeStart w:id="5"/>
      <w:r w:rsidR="0094700F">
        <w:t xml:space="preserve">DFO </w:t>
      </w:r>
      <w:r w:rsidR="0094700F">
        <w:rPr>
          <w:i/>
        </w:rPr>
        <w:t>in press</w:t>
      </w:r>
      <w:commentRangeEnd w:id="5"/>
      <w:r w:rsidR="0094700F">
        <w:rPr>
          <w:rStyle w:val="CommentReference"/>
        </w:rPr>
        <w:commentReference w:id="5"/>
      </w:r>
      <w:r w:rsidR="00320A6C">
        <w:t>; Table 1</w:t>
      </w:r>
      <w:r>
        <w:t>).</w:t>
      </w:r>
    </w:p>
    <w:p w14:paraId="6B170D9E" w14:textId="7E3F5B5F" w:rsidR="00CE0781" w:rsidRDefault="009D23BD" w:rsidP="005B527F">
      <w:pPr>
        <w:tabs>
          <w:tab w:val="left" w:pos="709"/>
        </w:tabs>
      </w:pPr>
      <w:r>
        <w:tab/>
      </w:r>
      <w:commentRangeStart w:id="6"/>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generated from an external, CU-specific Bayesian stock recruit analysis (ref to FRSSI</w:t>
      </w:r>
      <w:commentRangeEnd w:id="6"/>
      <w:r w:rsidR="00D31645">
        <w:rPr>
          <w:rStyle w:val="CommentReference"/>
        </w:rPr>
        <w:commentReference w:id="6"/>
      </w:r>
      <w:r w:rsidR="00B40124">
        <w:t xml:space="preserve">). </w:t>
      </w:r>
      <w:r w:rsidR="00EB655E">
        <w:t xml:space="preserve">To account for autocorrelation </w:t>
      </w:r>
      <w:r w:rsidR="00B40124">
        <w:t xml:space="preserve">and incorporate covariation among CUs we simulated deviations from the stock-recruitment relationship as </w:t>
      </w:r>
    </w:p>
    <w:p w14:paraId="6DFBD4C3" w14:textId="1692875E"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01087A"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01087A"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395FD42C" w:rsidR="004F6C38" w:rsidRDefault="0094700F" w:rsidP="004F6C38">
      <w:pPr>
        <w:rPr>
          <w:rFonts w:eastAsiaTheme="minorEastAsia"/>
        </w:rPr>
      </w:pPr>
      <w:r>
        <w:rPr>
          <w:rFonts w:eastAsiaTheme="minorEastAsia"/>
        </w:rPr>
        <w:t>w</w:t>
      </w:r>
      <w:r w:rsidR="004F6C38">
        <w:rPr>
          <w:rFonts w:eastAsiaTheme="minorEastAsia"/>
        </w:rPr>
        <w:t xml:space="preserve">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004F6C38">
        <w:rPr>
          <w:rFonts w:eastAsiaTheme="minorEastAsia"/>
        </w:rPr>
        <w:t xml:space="preserve"> represents the previous year’s recruitment deviation, </w:t>
      </w:r>
      <m:oMath>
        <m:r>
          <w:rPr>
            <w:rFonts w:ascii="Cambria Math" w:hAnsi="Cambria Math"/>
          </w:rPr>
          <m:t>τ</m:t>
        </m:r>
      </m:oMath>
      <w:r w:rsidR="004F6C38">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004F6C38">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sidR="004F6C38">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5803224D" w:rsidR="00D20FCD" w:rsidRDefault="0051250B" w:rsidP="002800A9">
      <w:pPr>
        <w:ind w:firstLine="720"/>
        <w:rPr>
          <w:rFonts w:eastAsiaTheme="minorEastAsia"/>
        </w:rPr>
      </w:pPr>
      <w:r>
        <w:t xml:space="preserve">We also incorporated a </w:t>
      </w:r>
      <w:del w:id="7" w:author="DFO-MPO" w:date="2018-09-11T09:14:00Z">
        <w:r w:rsidDel="00D51A72">
          <w:delText xml:space="preserve">second </w:delText>
        </w:r>
      </w:del>
      <w:r>
        <w:t>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94700F">
        <w:rPr>
          <w:rFonts w:eastAsiaTheme="minorEastAsia"/>
        </w:rPr>
        <w:t>(e.g. Dorner et al. 2009</w:t>
      </w:r>
      <w:r w:rsidR="00EA7F86">
        <w:rPr>
          <w:rFonts w:eastAsiaTheme="minorEastAsia"/>
        </w:rPr>
        <w:t>, Holt &amp; Folkes 2015</w:t>
      </w:r>
      <w:r w:rsidR="00EA7F86">
        <w:rPr>
          <w:rFonts w:eastAsiaTheme="minorEastAsia"/>
        </w:rPr>
        <w:fldChar w:fldCharType="begin"/>
      </w:r>
      <w:r w:rsidR="00EA7F86">
        <w:rPr>
          <w:rFonts w:eastAsiaTheme="minorEastAsia"/>
        </w:rPr>
        <w:instrText xml:space="preserve"> ADDIN EN.CITE &lt;EndNote&gt;&lt;Cite Hidden="1"&gt;&lt;Author&gt;Holt&lt;/Author&gt;&lt;Year&gt;2015&lt;/Year&gt;&lt;RecNum&gt;2034&lt;/RecNum&gt;&lt;record&gt;&lt;rec-number&gt;2034&lt;/rec-number&gt;&lt;foreign-keys&gt;&lt;key app="EN" db-id="eez0aevwa0afpdexr0lvefp6z0xpepv5rfx5" timestamp="1501281994"&gt;2034&lt;/key&gt;&lt;key app="ENWeb" db-id=""&gt;0&lt;/key&gt;&lt;/foreign-keys&gt;&lt;ref-type name="Journal Article"&gt;17&lt;/ref-type&gt;&lt;contributors&gt;&lt;authors&gt;&lt;author&gt;Holt, Carrie A.&lt;/author&gt;&lt;author&gt;Folkes, Michael J. P.&lt;/author&gt;&lt;/authors&gt;&lt;/contributors&gt;&lt;titles&gt;&lt;title&gt;Cautions on using percentile-based benchmarks of status for data-limited populations of Pacific salmon under persistent trends in productivity and uncertain outcomes from harvest management&lt;/title&gt;&lt;secondary-title&gt;Fisheries Research&lt;/secondary-title&gt;&lt;/titles&gt;&lt;periodical&gt;&lt;full-title&gt;Fisheries Research&lt;/full-title&gt;&lt;abbr-1&gt;Fish. Res.&lt;/abbr-1&gt;&lt;abbr-2&gt;Fish Res&lt;/abbr-2&gt;&lt;/periodical&gt;&lt;pages&gt;188-200&lt;/pages&gt;&lt;volume&gt;171&lt;/volume&gt;&lt;dates&gt;&lt;year&gt;2015&lt;/year&gt;&lt;/dates&gt;&lt;isbn&gt;01657836&lt;/isbn&gt;&lt;urls&gt;&lt;/urls&gt;&lt;electronic-resource-num&gt;10.1016/j.fishres.2015.01.002&lt;/electronic-resource-num&gt;&lt;/record&gt;&lt;/Cite&gt;&lt;/EndNote&gt;</w:instrText>
      </w:r>
      <w:r w:rsidR="00EA7F86">
        <w:rPr>
          <w:rFonts w:eastAsiaTheme="minorEastAsia"/>
        </w:rPr>
        <w:fldChar w:fldCharType="end"/>
      </w:r>
      <w:r w:rsidR="0094700F">
        <w:rPr>
          <w:rFonts w:eastAsiaTheme="minorEastAsia"/>
        </w:rPr>
        <w:t>)</w:t>
      </w:r>
      <w:r w:rsidR="0094700F">
        <w:rPr>
          <w:rFonts w:eastAsiaTheme="minorEastAsia"/>
        </w:rPr>
        <w:fldChar w:fldCharType="begin"/>
      </w:r>
      <w:r w:rsidR="0094700F">
        <w:rPr>
          <w:rFonts w:eastAsiaTheme="minorEastAsia"/>
        </w:rPr>
        <w:instrText xml:space="preserve"> ADDIN EN.CITE &lt;EndNote&gt;&lt;Cite Hidden="1"&gt;&lt;Author&gt;Dorner&lt;/Author&gt;&lt;Year&gt;2009&lt;/Year&gt;&lt;RecNum&gt;2036&lt;/RecNum&gt;&lt;record&gt;&lt;rec-number&gt;2036&lt;/rec-number&gt;&lt;foreign-keys&gt;&lt;key app="EN" db-id="eez0aevwa0afpdexr0lvefp6z0xpepv5rfx5" timestamp="1501456094"&gt;2036&lt;/key&gt;&lt;key app="ENWeb" db-id=""&gt;0&lt;/key&gt;&lt;/foreign-keys&gt;&lt;ref-type name="Journal Article"&gt;17&lt;/ref-type&gt;&lt;contributors&gt;&lt;authors&gt;&lt;author&gt;Dorner, Brigitte&lt;/author&gt;&lt;author&gt;Peterman, Randall M.&lt;/author&gt;&lt;author&gt;Su, Zhenming&lt;/author&gt;&lt;/authors&gt;&lt;/contributors&gt;&lt;titles&gt;&lt;title&gt;&lt;style face="normal" font="default" size="100%"&gt;Evaluation of performance of alternative management models of Pacific salmon (&lt;/style&gt;&lt;style face="italic" font="default" size="100%"&gt;Oncorhynchus&lt;/style&gt;&lt;style face="normal" font="default" size="100%"&gt; spp.) in the presence of climatic change and outcome uncertainty using Monte Carlo simulations&lt;/style&gt;&lt;/title&gt;&lt;secondary-title&gt;Canadian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2199-2221&lt;/pages&gt;&lt;volume&gt;66&lt;/volume&gt;&lt;number&gt;12&lt;/number&gt;&lt;dates&gt;&lt;year&gt;2009&lt;/year&gt;&lt;/dates&gt;&lt;isbn&gt;0706-652X&amp;#xD;1205-7533&lt;/isbn&gt;&lt;urls&gt;&lt;/urls&gt;&lt;electronic-resource-num&gt;10.1139/f09-144&lt;/electronic-resource-num&gt;&lt;/record&gt;&lt;/Cite&gt;&lt;/EndNote&gt;</w:instrText>
      </w:r>
      <w:r w:rsidR="0094700F">
        <w:rPr>
          <w:rFonts w:eastAsiaTheme="minorEastAsia"/>
        </w:rPr>
        <w:fldChar w:fldCharType="end"/>
      </w:r>
      <w:r w:rsidR="0094700F">
        <w:rPr>
          <w:rFonts w:eastAsiaTheme="minorEastAsia"/>
        </w:rPr>
        <w:t xml:space="preserve">, representing </w:t>
      </w:r>
      <w:r w:rsidR="00C030C1">
        <w:rPr>
          <w:rFonts w:eastAsiaTheme="minorEastAsia"/>
        </w:rPr>
        <w:t>a change</w:t>
      </w:r>
      <w:r w:rsidR="0094700F">
        <w:rPr>
          <w:rFonts w:eastAsiaTheme="minorEastAsia"/>
        </w:rPr>
        <w:t xml:space="preserve"> to </w:t>
      </w:r>
      <w:r w:rsidR="00C030C1">
        <w:rPr>
          <w:rFonts w:eastAsiaTheme="minorEastAsia"/>
        </w:rPr>
        <w:t xml:space="preserve">a </w:t>
      </w:r>
      <w:r w:rsidR="0094700F">
        <w:rPr>
          <w:rFonts w:eastAsiaTheme="minorEastAsia"/>
        </w:rPr>
        <w:t xml:space="preserve">less favourable </w:t>
      </w:r>
      <w:r w:rsidR="00C030C1">
        <w:rPr>
          <w:rFonts w:eastAsiaTheme="minorEastAsia"/>
        </w:rPr>
        <w:t>productivity regime</w:t>
      </w:r>
      <w:r w:rsidR="0094700F">
        <w:rPr>
          <w:rFonts w:eastAsiaTheme="minorEastAsia"/>
        </w:rPr>
        <w:t>.</w:t>
      </w:r>
      <w:r w:rsidR="00D20FCD">
        <w:rPr>
          <w:rFonts w:eastAsiaTheme="minorEastAsia"/>
        </w:rPr>
        <w:t xml:space="preserve"> </w:t>
      </w:r>
      <w:r w:rsidR="0094700F">
        <w:rPr>
          <w:rFonts w:eastAsiaTheme="minorEastAsia"/>
        </w:rPr>
        <w:t>R</w:t>
      </w:r>
      <w:r>
        <w:t xml:space="preserve">ather than manipulate per capita productivity </w:t>
      </w:r>
      <w:r w:rsidR="0094700F">
        <w:t xml:space="preserve">in this way, we chose to create a scenario where mean productivity remained the same, but the frequency of recruitment failures increased. These could represent, for example, intermittent periods of </w:t>
      </w:r>
      <w:r w:rsidR="00EA7F86">
        <w:t xml:space="preserve">poor marine survival that are thought to regularly result in synchronous, poor returns of Pacific salmon </w:t>
      </w:r>
      <w:r w:rsidR="00EA7F86">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 </w:instrText>
      </w:r>
      <w:r w:rsidR="00DC6BB2" w:rsidRPr="00D51A72">
        <w:rPr>
          <w:rPrChange w:id="8" w:author="DFO-MPO" w:date="2018-09-11T09:14:00Z">
            <w:rPr/>
          </w:rPrChange>
        </w:rP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EN.CITE.DATA </w:instrText>
      </w:r>
      <w:r w:rsidR="00DC6BB2" w:rsidRPr="00D51A72">
        <w:rPr>
          <w:rPrChange w:id="9" w:author="DFO-MPO" w:date="2018-09-11T09:14:00Z">
            <w:rPr/>
          </w:rPrChange>
        </w:rPr>
      </w:r>
      <w:r w:rsidR="00DC6BB2" w:rsidRPr="00D51A72">
        <w:rPr>
          <w:rPrChange w:id="10" w:author="DFO-MPO" w:date="2018-09-11T09:14:00Z">
            <w:rPr/>
          </w:rPrChange>
        </w:rPr>
        <w:fldChar w:fldCharType="end"/>
      </w:r>
      <w:r w:rsidR="00EA7F86">
        <w:fldChar w:fldCharType="separate"/>
      </w:r>
      <w:r w:rsidR="00DC6BB2">
        <w:rPr>
          <w:noProof/>
        </w:rPr>
        <w:t>(Mueter, Pyper &amp; Peterman 2005; Peterman &amp; Dorner 2012)</w:t>
      </w:r>
      <w:r w:rsidR="00EA7F86">
        <w:fldChar w:fldCharType="end"/>
      </w:r>
      <w:r w:rsidR="00DC6BB2">
        <w:t>.</w:t>
      </w:r>
      <w:r w:rsidR="00EA7F86">
        <w:t xml:space="preserve"> To simulate this process</w:t>
      </w:r>
      <w:r>
        <w:t xml:space="preserve"> we sampled recruitment deviations</w:t>
      </w:r>
      <w:r w:rsidR="00D20FCD">
        <w:t xml:space="preserve"> </w:t>
      </w:r>
      <w:r>
        <w:lastRenderedPageBreak/>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y-tailed) in a subset of years</w:t>
      </w:r>
      <w:r w:rsidR="00EA7F86">
        <w:t xml:space="preserve">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D20FCD">
        <w:t xml:space="preserve">. </w:t>
      </w:r>
      <w:r w:rsidR="00C030C1">
        <w:t>D</w:t>
      </w:r>
      <w:r w:rsidR="00D20FCD">
        <w:t xml:space="preserve">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51497876" w:rsidR="00063326" w:rsidRDefault="00E27EF5" w:rsidP="00A409A9">
      <w:pPr>
        <w:rPr>
          <w:rFonts w:eastAsiaTheme="minorEastAsia"/>
        </w:rPr>
      </w:pPr>
      <w:r>
        <w:t>w</w:t>
      </w:r>
      <w:r w:rsidR="00D20FCD">
        <w:t xml:space="preserve">here </w:t>
      </w:r>
      <w:r w:rsidR="007014D4">
        <w:rPr>
          <w:b/>
        </w:rPr>
        <w:t>V</w:t>
      </w:r>
      <w:r w:rsidR="008518AD">
        <w:t xml:space="preserve"> is defined as </w:t>
      </w:r>
      <w:r w:rsidR="00C030C1">
        <w:t>in Equation 5</w:t>
      </w:r>
      <w:r w:rsidR="008518AD">
        <w:t xml:space="preser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r w:rsidR="007014D4">
        <w:t>ower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w:t>
      </w:r>
      <w:r w:rsidR="00EA7F86">
        <w:t xml:space="preserve">oaches the normal distribution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7014D4">
        <w:t xml:space="preserve">.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11"/>
      <w:r w:rsidR="008518AD">
        <w:t xml:space="preserve">We assigned relatively moderate values to both parameters </w:t>
      </w:r>
      <m:oMath>
        <m:r>
          <w:rPr>
            <w:rFonts w:ascii="Cambria Math" w:hAnsi="Cambria Math"/>
          </w:rPr>
          <m:t>(v=7;γ=-1.5)</m:t>
        </m:r>
      </m:oMath>
      <w:r>
        <w:rPr>
          <w:rFonts w:eastAsiaTheme="minorEastAsia"/>
        </w:rPr>
        <w:t xml:space="preserve"> that are consistent with </w:t>
      </w:r>
      <w:r w:rsidR="00C030C1">
        <w:rPr>
          <w:rFonts w:eastAsiaTheme="minorEastAsia"/>
        </w:rPr>
        <w:t xml:space="preserve">relatively </w:t>
      </w:r>
      <w:r>
        <w:rPr>
          <w:rFonts w:eastAsiaTheme="minorEastAsia"/>
        </w:rPr>
        <w:t xml:space="preserve">weak evidence of heavy tails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EA7F86">
        <w:t xml:space="preserve"> </w:t>
      </w:r>
      <w:r>
        <w:rPr>
          <w:rFonts w:eastAsiaTheme="minorEastAsia"/>
        </w:rPr>
        <w:t xml:space="preserve">and </w:t>
      </w:r>
      <w:r w:rsidR="00C030C1">
        <w:rPr>
          <w:rFonts w:eastAsiaTheme="minorEastAsia"/>
        </w:rPr>
        <w:t>a</w:t>
      </w:r>
      <w:r>
        <w:rPr>
          <w:rFonts w:eastAsiaTheme="minorEastAsia"/>
        </w:rPr>
        <w:t xml:space="preserve"> mean estimate</w:t>
      </w:r>
      <w:r w:rsidR="003B3742">
        <w:rPr>
          <w:rFonts w:eastAsiaTheme="minorEastAsia"/>
        </w:rPr>
        <w:t xml:space="preserve"> of skewness</w:t>
      </w:r>
      <w:r>
        <w:rPr>
          <w:rFonts w:eastAsiaTheme="minorEastAsia"/>
        </w:rPr>
        <w:t xml:space="preserve"> from models fit to CU-specif</w:t>
      </w:r>
      <w:r w:rsidR="00EA7F86">
        <w:rPr>
          <w:rFonts w:eastAsiaTheme="minorEastAsia"/>
        </w:rPr>
        <w:t>ic stock-recruitment residuals</w:t>
      </w:r>
      <w:r>
        <w:rPr>
          <w:rFonts w:eastAsiaTheme="minorEastAsia"/>
        </w:rPr>
        <w:t xml:space="preserve">. </w:t>
      </w:r>
      <w:commentRangeEnd w:id="11"/>
      <w:r>
        <w:rPr>
          <w:rStyle w:val="CommentReference"/>
        </w:rPr>
        <w:commentReference w:id="11"/>
      </w:r>
      <w:r w:rsidR="008518AD">
        <w:rPr>
          <w:rFonts w:eastAsiaTheme="minorEastAsia"/>
        </w:rPr>
        <w:t xml:space="preserve">In the </w:t>
      </w:r>
      <w:r w:rsidR="00EA7F86">
        <w:rPr>
          <w:rFonts w:eastAsiaTheme="minorEastAsia"/>
        </w:rPr>
        <w:t>skewed</w:t>
      </w:r>
      <w:r w:rsidR="008518AD">
        <w:rPr>
          <w:rFonts w:eastAsiaTheme="minorEastAsia"/>
        </w:rPr>
        <w:t xml:space="preserve"> productivity scenario we sampled from the Student </w:t>
      </w:r>
      <w:r w:rsidR="008518AD">
        <w:rPr>
          <w:rFonts w:eastAsiaTheme="minorEastAsia"/>
          <w:i/>
        </w:rPr>
        <w:t>t</w:t>
      </w:r>
      <w:r w:rsidR="008518AD">
        <w:rPr>
          <w:rFonts w:eastAsiaTheme="minorEastAsia"/>
        </w:rPr>
        <w:t xml:space="preserve"> distribution with a mean frequency of 0.3</w:t>
      </w:r>
      <w:r w:rsidR="005B527F">
        <w:rPr>
          <w:rFonts w:eastAsiaTheme="minorEastAsia"/>
        </w:rPr>
        <w:t xml:space="preserve"> 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 xml:space="preserve">the simulation </w:t>
      </w:r>
      <w:commentRangeStart w:id="12"/>
      <w:r w:rsidR="005B527F">
        <w:rPr>
          <w:rFonts w:eastAsiaTheme="minorEastAsia"/>
        </w:rPr>
        <w:t>period</w:t>
      </w:r>
      <w:commentRangeEnd w:id="12"/>
      <w:r w:rsidR="00353067">
        <w:rPr>
          <w:rStyle w:val="CommentReference"/>
        </w:rPr>
        <w:commentReference w:id="12"/>
      </w:r>
      <w:r w:rsidR="008518AD">
        <w:rPr>
          <w:rFonts w:eastAsiaTheme="minorEastAsia"/>
        </w:rPr>
        <w:t>.</w:t>
      </w:r>
      <w:r w:rsidR="00A409A9">
        <w:rPr>
          <w:rFonts w:eastAsiaTheme="minorEastAsia"/>
        </w:rPr>
        <w:t xml:space="preserve"> </w:t>
      </w:r>
    </w:p>
    <w:p w14:paraId="558FAB95" w14:textId="2E2297CD" w:rsidR="0051250B" w:rsidRDefault="00EA7F86" w:rsidP="00063326">
      <w:pPr>
        <w:ind w:firstLine="720"/>
        <w:rPr>
          <w:rFonts w:eastAsiaTheme="minorEastAsia"/>
        </w:rPr>
      </w:pPr>
      <w:r>
        <w:rPr>
          <w:rFonts w:eastAsiaTheme="minorEastAsia"/>
        </w:rPr>
        <w:t>To compare the skewed productivity scenario to more commonly simulated low productivity regimes, w</w:t>
      </w:r>
      <w:r w:rsidR="00063326">
        <w:rPr>
          <w:rFonts w:eastAsiaTheme="minorEastAsia"/>
        </w:rPr>
        <w:t xml:space="preserve">e also </w:t>
      </w:r>
      <w:r w:rsidR="00283AFA">
        <w:rPr>
          <w:rFonts w:eastAsiaTheme="minorEastAsia"/>
        </w:rPr>
        <w:t>incorporated an operating model where</w:t>
      </w:r>
      <w:r w:rsidR="00A409A9">
        <w:rPr>
          <w:rFonts w:eastAsiaTheme="minorEastAsia"/>
        </w:rPr>
        <w:t xml:space="preserve"> average productivity is </w:t>
      </w:r>
      <w:r w:rsidR="00063326">
        <w:rPr>
          <w:rFonts w:eastAsiaTheme="minorEastAsia"/>
        </w:rPr>
        <w:t xml:space="preserve">directly </w:t>
      </w:r>
      <w:r w:rsidR="00A409A9">
        <w:rPr>
          <w:rFonts w:eastAsiaTheme="minorEastAsia"/>
        </w:rPr>
        <w:t xml:space="preserve">reduced </w:t>
      </w:r>
      <w:r w:rsidR="00C030C1">
        <w:rPr>
          <w:rFonts w:eastAsiaTheme="minorEastAsia"/>
        </w:rPr>
        <w:t>b</w:t>
      </w:r>
      <w:r w:rsidR="00A409A9">
        <w:rPr>
          <w:rFonts w:eastAsiaTheme="minorEastAsia"/>
        </w:rPr>
        <w:t xml:space="preserve">y using smaller values of </w:t>
      </w:r>
      <m:oMath>
        <m:r>
          <w:rPr>
            <w:rFonts w:ascii="Cambria Math" w:hAnsi="Cambria Math"/>
          </w:rPr>
          <m:t>α</m:t>
        </m:r>
      </m:oMath>
      <w:r w:rsidR="00A409A9">
        <w:rPr>
          <w:rFonts w:eastAsiaTheme="minorEastAsia"/>
        </w:rPr>
        <w:t>. Specifically we used estimates from the 10</w:t>
      </w:r>
      <w:r w:rsidR="00A409A9" w:rsidRPr="00A409A9">
        <w:rPr>
          <w:rFonts w:eastAsiaTheme="minorEastAsia"/>
          <w:vertAlign w:val="superscript"/>
        </w:rPr>
        <w:t>th</w:t>
      </w:r>
      <w:r w:rsidR="00A409A9">
        <w:rPr>
          <w:rFonts w:eastAsiaTheme="minorEastAsia"/>
        </w:rPr>
        <w:t xml:space="preserve"> percenti</w:t>
      </w:r>
      <w:r w:rsidR="00D31645">
        <w:rPr>
          <w:rFonts w:eastAsiaTheme="minorEastAsia"/>
        </w:rPr>
        <w:t xml:space="preserve">le of the posterior distribution of each CU’s </w:t>
      </w:r>
      <m:oMath>
        <m:r>
          <w:rPr>
            <w:rFonts w:ascii="Cambria Math" w:hAnsi="Cambria Math"/>
          </w:rPr>
          <m:t>α</m:t>
        </m:r>
      </m:oMath>
      <w:r w:rsidR="00D31645">
        <w:rPr>
          <w:rFonts w:eastAsiaTheme="minorEastAsia"/>
        </w:rPr>
        <w:t xml:space="preserve"> estimates</w:t>
      </w:r>
      <w:r w:rsidR="00A409A9">
        <w:rPr>
          <w:rFonts w:eastAsiaTheme="minorEastAsia"/>
        </w:rPr>
        <w:t>, rather than the median, to represent a</w:t>
      </w:r>
      <w:r w:rsidR="00D31645">
        <w:rPr>
          <w:rFonts w:eastAsiaTheme="minorEastAsia"/>
        </w:rPr>
        <w:t xml:space="preserve"> transition to a</w:t>
      </w:r>
      <w:r w:rsidR="00A409A9">
        <w:rPr>
          <w:rFonts w:eastAsiaTheme="minorEastAsia"/>
        </w:rPr>
        <w:t xml:space="preserve"> persistently low productivity regime.</w:t>
      </w:r>
      <w:r w:rsidR="00063326">
        <w:rPr>
          <w:rFonts w:eastAsiaTheme="minorEastAsia"/>
        </w:rPr>
        <w:t xml:space="preserve"> This model </w:t>
      </w:r>
      <w:r w:rsidR="00C030C1">
        <w:rPr>
          <w:rFonts w:eastAsiaTheme="minorEastAsia"/>
        </w:rPr>
        <w:t xml:space="preserve">generally </w:t>
      </w:r>
      <w:r w:rsidR="00063326">
        <w:rPr>
          <w:rFonts w:eastAsiaTheme="minorEastAsia"/>
        </w:rPr>
        <w:t xml:space="preserve">produced declines in performance metrics that were more severe, relative to the reference productivity scenario, than the skewed scenario described above (results presented in </w:t>
      </w:r>
      <w:commentRangeStart w:id="13"/>
      <w:r w:rsidR="00063326">
        <w:rPr>
          <w:rFonts w:eastAsiaTheme="minorEastAsia"/>
        </w:rPr>
        <w:t>Appendix</w:t>
      </w:r>
      <w:commentRangeEnd w:id="13"/>
      <w:r w:rsidR="00D31645">
        <w:rPr>
          <w:rStyle w:val="CommentReference"/>
        </w:rPr>
        <w:commentReference w:id="13"/>
      </w:r>
      <w:r w:rsidR="00063326">
        <w:rPr>
          <w:rFonts w:eastAsiaTheme="minorEastAsia"/>
        </w:rPr>
        <w:t xml:space="preserve">). </w:t>
      </w:r>
    </w:p>
    <w:p w14:paraId="0C542728" w14:textId="6C0F6ED1" w:rsidR="007B4FA6"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w:t>
      </w:r>
      <w:r w:rsidR="00C030C1">
        <w:t>approximates</w:t>
      </w:r>
      <w:r w:rsidR="007B4FA6">
        <w:t xml:space="preserve"> the Total Allowable Mortality framework currently </w:t>
      </w:r>
      <w:r w:rsidR="00C030C1">
        <w:t xml:space="preserve">used to manage the Fraser River sockeye salmon fishery </w:t>
      </w:r>
      <w:r w:rsidR="00EA7F86">
        <w:fldChar w:fldCharType="begin"/>
      </w:r>
      <w:r w:rsidR="00EA7F86">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EA7F86">
        <w:fldChar w:fldCharType="separate"/>
      </w:r>
      <w:r w:rsidR="00EA7F86">
        <w:rPr>
          <w:noProof/>
        </w:rPr>
        <w:t>(Pestal, Huang &amp; Cass 2011)</w:t>
      </w:r>
      <w:r w:rsidR="00EA7F86">
        <w:fldChar w:fldCharType="end"/>
      </w:r>
      <w:r w:rsidR="007B4FA6">
        <w:t xml:space="preserve">. Broadly speaking, this HCR uses in-season estimates of recruitment derived from test fisheries to adjust </w:t>
      </w:r>
      <w:r w:rsidR="00C030C1">
        <w:t>TACs</w:t>
      </w:r>
      <w:r w:rsidR="007B4FA6">
        <w:t xml:space="preserve">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w:t>
      </w:r>
      <w:r w:rsidR="00BB46A3">
        <w:t>upwards (i.e. TACs reduced)</w:t>
      </w:r>
      <w:r w:rsidR="007B4FA6">
        <w:t xml:space="preserve"> to account for mortality during upstream migration</w:t>
      </w:r>
      <w:r w:rsidR="00BB46A3">
        <w:t xml:space="preserve"> and spatial overlap between abundant and depleted MUs</w:t>
      </w:r>
      <w:r w:rsidR="007B4FA6">
        <w:t>.</w:t>
      </w:r>
      <w:r w:rsidR="00CE0781">
        <w:t xml:space="preserve"> The second simulated source of mortality represented en route mortality that occurs after fish enter freshwater</w:t>
      </w:r>
      <w:r w:rsidR="00CE0781" w:rsidRPr="00CE0781">
        <w:t xml:space="preserve"> due to a combination of natural mortality (thermal stress, pathogen infection, pre</w:t>
      </w:r>
      <w:r w:rsidR="00463966">
        <w:t xml:space="preserve">dation) and unreported harvest </w:t>
      </w:r>
      <w:r w:rsidR="00463966">
        <w:fldChar w:fldCharType="begin"/>
      </w:r>
      <w:r w:rsidR="0046396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463966">
        <w:fldChar w:fldCharType="separate"/>
      </w:r>
      <w:r w:rsidR="00463966">
        <w:rPr>
          <w:noProof/>
        </w:rPr>
        <w:t>(Grant</w:t>
      </w:r>
      <w:r w:rsidR="00463966" w:rsidRPr="00463966">
        <w:rPr>
          <w:i/>
          <w:noProof/>
        </w:rPr>
        <w:t xml:space="preserve"> et al.</w:t>
      </w:r>
      <w:r w:rsidR="00463966">
        <w:rPr>
          <w:noProof/>
        </w:rPr>
        <w:t xml:space="preserve"> 2011)</w:t>
      </w:r>
      <w:r w:rsidR="00463966">
        <w:fldChar w:fldCharType="end"/>
      </w:r>
      <w:r w:rsidR="00CE0781" w:rsidRPr="00CE0781">
        <w:t xml:space="preserve">. </w:t>
      </w:r>
      <w:r w:rsidR="00CE0781">
        <w:t xml:space="preserve">We </w:t>
      </w:r>
      <w:r w:rsidR="00BB46A3">
        <w:t xml:space="preserve">modeled en-route mortality as a stochastic, CU-specific process </w:t>
      </w:r>
      <w:r w:rsidR="00CE0781">
        <w:t>because it</w:t>
      </w:r>
      <w:r w:rsidR="00CE0781" w:rsidRPr="00CE0781">
        <w:t xml:space="preserve"> appears to be cor</w:t>
      </w:r>
      <w:r w:rsidR="00463966">
        <w:t>related with migration phenology</w:t>
      </w:r>
      <w:r w:rsidR="00CE0781" w:rsidRPr="00CE0781">
        <w:t>, in-river temperatu</w:t>
      </w:r>
      <w:r w:rsidR="00463966">
        <w:t xml:space="preserve">res, and freshwater flow </w: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 </w:instrTex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EN.CITE.DATA </w:instrText>
      </w:r>
      <w:r w:rsidR="00463966">
        <w:fldChar w:fldCharType="end"/>
      </w:r>
      <w:r w:rsidR="00463966">
        <w:fldChar w:fldCharType="separate"/>
      </w:r>
      <w:r w:rsidR="00463966">
        <w:rPr>
          <w:noProof/>
        </w:rPr>
        <w:t>(Macdonald 2000; Cooke</w:t>
      </w:r>
      <w:r w:rsidR="00463966" w:rsidRPr="00463966">
        <w:rPr>
          <w:i/>
          <w:noProof/>
        </w:rPr>
        <w:t xml:space="preserve"> et al.</w:t>
      </w:r>
      <w:r w:rsidR="00463966">
        <w:rPr>
          <w:noProof/>
        </w:rPr>
        <w:t xml:space="preserve"> 2004; Crossin</w:t>
      </w:r>
      <w:r w:rsidR="00463966" w:rsidRPr="00463966">
        <w:rPr>
          <w:i/>
          <w:noProof/>
        </w:rPr>
        <w:t xml:space="preserve"> et al.</w:t>
      </w:r>
      <w:r w:rsidR="00463966">
        <w:rPr>
          <w:noProof/>
        </w:rPr>
        <w:t xml:space="preserve"> 2008)</w:t>
      </w:r>
      <w:r w:rsidR="00463966">
        <w:fldChar w:fldCharType="end"/>
      </w:r>
      <w:r w:rsidR="00CE0781" w:rsidRPr="00CE0781">
        <w:t>.</w:t>
      </w:r>
      <w:r w:rsidR="007B4FA6">
        <w:t xml:space="preserve"> </w:t>
      </w:r>
      <w:commentRangeStart w:id="14"/>
      <w:r w:rsidR="007B4FA6">
        <w:t>Details of the harvest control rule, mortality calculations, and parameter specificati</w:t>
      </w:r>
      <w:r w:rsidR="002E71CA">
        <w:t>ons are described in the Appendix</w:t>
      </w:r>
      <w:r w:rsidR="007B4FA6">
        <w:t>.</w:t>
      </w:r>
      <w:commentRangeEnd w:id="14"/>
      <w:r w:rsidR="007B4FA6">
        <w:rPr>
          <w:rStyle w:val="CommentReference"/>
        </w:rPr>
        <w:commentReference w:id="14"/>
      </w:r>
    </w:p>
    <w:p w14:paraId="0E3057C3" w14:textId="1F46C876" w:rsidR="00353067" w:rsidRDefault="00B5638E" w:rsidP="00B5638E">
      <w:pPr>
        <w:ind w:firstLine="720"/>
        <w:rPr>
          <w:ins w:id="15" w:author="DFO-MPO" w:date="2018-09-11T10:53:00Z"/>
        </w:rPr>
      </w:pPr>
      <w:r>
        <w:t>We introduced additional stochasticity into the model via interannual variation in age at maturity, in-season abundance estimates error, en route mortality, and deviations between target and realized exploitation rates (implementation uncertainty)</w:t>
      </w:r>
      <w:r w:rsidR="00FB7B8B">
        <w:t xml:space="preserve">. </w:t>
      </w:r>
      <w:r>
        <w:t xml:space="preserve">The results we present in the main text are </w:t>
      </w:r>
      <w:r>
        <w:lastRenderedPageBreak/>
        <w:t xml:space="preserve">based on simulations with the reference value for each parameter only; however, we tested the effect of alternative values in a series of sensitivity analyses to ensure that our results were robust to this assumption. </w:t>
      </w:r>
      <w:moveToRangeStart w:id="16" w:author="DFO-MPO" w:date="2018-09-11T10:54:00Z" w:name="move524426592"/>
      <w:moveTo w:id="17" w:author="DFO-MPO" w:date="2018-09-11T10:54:00Z">
        <w:r w:rsidR="00353067">
          <w:t>Details of how each process was parameterized are described in the Appendix and results of sensitivity analyses are provided in an online supplement.</w:t>
        </w:r>
      </w:moveTo>
      <w:moveToRangeEnd w:id="16"/>
    </w:p>
    <w:p w14:paraId="3CAB5E2F" w14:textId="637875A9" w:rsidR="00B5638E" w:rsidRDefault="00353067" w:rsidP="00B5638E">
      <w:pPr>
        <w:ind w:firstLine="720"/>
      </w:pPr>
      <w:ins w:id="18" w:author="DFO-MPO" w:date="2018-09-11T10:54:00Z">
        <w:r>
          <w:rPr>
            <w:rFonts w:ascii="Calibri" w:hAnsi="Calibri"/>
          </w:rPr>
          <w:t>We used recent CU-specific time series of recruit and spawner abundance to initiate the simulation model (i.e. the same data that were used in the retrospective analysis). The length of the simulation period was set at 40 years (approximately 10 sockeye salmon generations) and each OM was simulated 1000 times (the number required to stabilize results). To evaluate differences in performance between OMs, we present median outputs among simulations, as well as 10</w:t>
        </w:r>
        <w:r w:rsidRPr="00207CE4">
          <w:rPr>
            <w:rFonts w:ascii="Calibri" w:hAnsi="Calibri"/>
            <w:vertAlign w:val="superscript"/>
          </w:rPr>
          <w:t>th</w:t>
        </w:r>
        <w:r>
          <w:rPr>
            <w:rFonts w:ascii="Calibri" w:hAnsi="Calibri"/>
          </w:rPr>
          <w:t xml:space="preserve"> and 90</w:t>
        </w:r>
        <w:r w:rsidRPr="00207CE4">
          <w:rPr>
            <w:rFonts w:ascii="Calibri" w:hAnsi="Calibri"/>
            <w:vertAlign w:val="superscript"/>
          </w:rPr>
          <w:t>th</w:t>
        </w:r>
        <w:r>
          <w:rPr>
            <w:rFonts w:ascii="Calibri" w:hAnsi="Calibri"/>
          </w:rPr>
          <w:t xml:space="preserve"> percentiles. Our goal was to demonstrate relative differences in projected performance associated with differences in component variability and synchrony, and not accurately forecast the dynamics of Fraser River CUs. </w:t>
        </w:r>
      </w:ins>
      <w:del w:id="19" w:author="DFO-MPO" w:date="2018-09-11T10:54:00Z">
        <w:r w:rsidDel="00353067">
          <w:rPr>
            <w:rFonts w:ascii="Calibri" w:hAnsi="Calibri"/>
          </w:rPr>
          <w:delText>Instead of priming the simulation with initial abundances sampled from random distributions, we used CU-specific time series of recruit and spawner abundance (i.e. the same data that were used in the retrospective analysis). We used these time series to ensure that each CU’s abundance reflected the best estimate of its current status and to seed cyclic CUs (i.e. those simulated with a Larkin model) with representative levels of variation among cycle lines. The length of the simulation period was set at 40 years (approximately 10 sockeye salmon generations) and each OM was simulated 1000 times (a supplementary analysis indicated variation in output metrics stabilized after 500-700 simulation runs). To evaluate differences in performance between OMs, we present median outputs among simulations, as well as 10</w:delText>
        </w:r>
        <w:r w:rsidRPr="00207CE4" w:rsidDel="00353067">
          <w:rPr>
            <w:rFonts w:ascii="Calibri" w:hAnsi="Calibri"/>
            <w:vertAlign w:val="superscript"/>
          </w:rPr>
          <w:delText>th</w:delText>
        </w:r>
        <w:r w:rsidDel="00353067">
          <w:rPr>
            <w:rFonts w:ascii="Calibri" w:hAnsi="Calibri"/>
          </w:rPr>
          <w:delText xml:space="preserve"> and 90</w:delText>
        </w:r>
        <w:r w:rsidRPr="00207CE4" w:rsidDel="00353067">
          <w:rPr>
            <w:rFonts w:ascii="Calibri" w:hAnsi="Calibri"/>
            <w:vertAlign w:val="superscript"/>
          </w:rPr>
          <w:delText>th</w:delText>
        </w:r>
        <w:r w:rsidDel="00353067">
          <w:rPr>
            <w:rFonts w:ascii="Calibri" w:hAnsi="Calibri"/>
          </w:rPr>
          <w:delText xml:space="preserve"> percentiles. </w:delText>
        </w:r>
      </w:del>
      <w:moveFromRangeStart w:id="20" w:author="DFO-MPO" w:date="2018-09-11T10:54:00Z" w:name="move524426592"/>
      <w:moveFrom w:id="21" w:author="DFO-MPO" w:date="2018-09-11T10:54:00Z">
        <w:r w:rsidR="00B5638E" w:rsidDel="00353067">
          <w:t>Details of how each process was parameterized are described in the Appendix and results of sensitivity analyses are provided in an online supplement.</w:t>
        </w:r>
      </w:moveFrom>
      <w:moveFromRangeEnd w:id="20"/>
    </w:p>
    <w:p w14:paraId="7B92B67A" w14:textId="77777777" w:rsidR="00B5638E" w:rsidRPr="00BF0BBF" w:rsidRDefault="00B5638E" w:rsidP="007B4FA6">
      <w:pPr>
        <w:ind w:firstLine="720"/>
      </w:pPr>
    </w:p>
    <w:p w14:paraId="713E5E3C" w14:textId="3A9B0BFB" w:rsidR="00422BF4" w:rsidRPr="00422BF4" w:rsidRDefault="00DA242F" w:rsidP="00D40465">
      <w:pPr>
        <w:rPr>
          <w:i/>
        </w:rPr>
      </w:pPr>
      <w:r>
        <w:rPr>
          <w:i/>
        </w:rPr>
        <w:t>Component variability and synchrony “treatments”</w:t>
      </w:r>
    </w:p>
    <w:p w14:paraId="0A3D9A81" w14:textId="4AF95422"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w:t>
      </w:r>
      <w:r w:rsidR="009F5D9C">
        <w:rPr>
          <w:rFonts w:eastAsiaTheme="minorEastAsia"/>
        </w:rPr>
        <w:t>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F07325">
        <w:rPr>
          <w:rFonts w:eastAsiaTheme="minorEastAsia"/>
        </w:rPr>
        <w:t>.</w:t>
      </w:r>
      <w:ins w:id="22" w:author="DFO-MPO" w:date="2018-09-11T10:49:00Z">
        <w:r w:rsidR="00353067">
          <w:rPr>
            <w:rFonts w:eastAsiaTheme="minorEastAsia"/>
          </w:rPr>
          <w:t xml:space="preserve"> </w:t>
        </w:r>
        <w:r w:rsidR="00353067">
          <w:rPr>
            <w:rFonts w:eastAsiaTheme="minorEastAsia"/>
            <w:b/>
          </w:rPr>
          <w:t>INSERT JUSTIFICATION BASED ON METANALYSIS</w:t>
        </w:r>
      </w:ins>
      <w:r w:rsidR="00CE0781">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treatments 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from </w:t>
      </w:r>
      <w:r w:rsidR="00DA242F">
        <w:t xml:space="preserve">historical observations, current observations, or values </w:t>
      </w:r>
      <w:r w:rsidR="00BB46A3">
        <w:t>moderately higher than present.</w:t>
      </w:r>
    </w:p>
    <w:p w14:paraId="74D8620B" w14:textId="77777777" w:rsidR="00B5638E" w:rsidRDefault="00B5638E" w:rsidP="00B5638E">
      <w:r>
        <w:t>Table 2. Parameterization of component variability and synchrony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B5638E" w14:paraId="752C9D2C" w14:textId="77777777" w:rsidTr="00D31645">
        <w:trPr>
          <w:jc w:val="center"/>
        </w:trPr>
        <w:tc>
          <w:tcPr>
            <w:tcW w:w="0" w:type="auto"/>
          </w:tcPr>
          <w:p w14:paraId="2C3648D1" w14:textId="77777777" w:rsidR="00B5638E" w:rsidRDefault="00B5638E" w:rsidP="00D31645"/>
        </w:tc>
        <w:tc>
          <w:tcPr>
            <w:tcW w:w="0" w:type="auto"/>
          </w:tcPr>
          <w:p w14:paraId="3994477A" w14:textId="77777777" w:rsidR="00B5638E" w:rsidRPr="0093048D" w:rsidRDefault="00B5638E" w:rsidP="00D31645">
            <w:pPr>
              <w:rPr>
                <w:vertAlign w:val="subscript"/>
              </w:rPr>
            </w:pPr>
            <w:r>
              <w:t>Low CV</w:t>
            </w:r>
            <w:r>
              <w:rPr>
                <w:vertAlign w:val="subscript"/>
              </w:rPr>
              <w:t>C</w:t>
            </w:r>
          </w:p>
        </w:tc>
        <w:tc>
          <w:tcPr>
            <w:tcW w:w="0" w:type="auto"/>
          </w:tcPr>
          <w:p w14:paraId="0886ED17" w14:textId="77777777" w:rsidR="00B5638E" w:rsidRPr="0093048D" w:rsidRDefault="00B5638E" w:rsidP="00D31645">
            <w:pPr>
              <w:rPr>
                <w:vertAlign w:val="subscript"/>
              </w:rPr>
            </w:pPr>
            <w:r>
              <w:t>Moderate CV</w:t>
            </w:r>
            <w:r>
              <w:rPr>
                <w:vertAlign w:val="subscript"/>
              </w:rPr>
              <w:t>C</w:t>
            </w:r>
          </w:p>
        </w:tc>
        <w:tc>
          <w:tcPr>
            <w:tcW w:w="0" w:type="auto"/>
          </w:tcPr>
          <w:p w14:paraId="3B422FB2" w14:textId="77777777" w:rsidR="00B5638E" w:rsidRPr="0093048D" w:rsidRDefault="00B5638E" w:rsidP="00D31645">
            <w:pPr>
              <w:rPr>
                <w:vertAlign w:val="subscript"/>
              </w:rPr>
            </w:pPr>
            <w:r>
              <w:t>High CV</w:t>
            </w:r>
            <w:r>
              <w:rPr>
                <w:vertAlign w:val="subscript"/>
              </w:rPr>
              <w:t>C</w:t>
            </w:r>
          </w:p>
        </w:tc>
      </w:tr>
      <w:tr w:rsidR="00B5638E" w14:paraId="0DF3ABCB" w14:textId="77777777" w:rsidTr="00D31645">
        <w:trPr>
          <w:jc w:val="center"/>
        </w:trPr>
        <w:tc>
          <w:tcPr>
            <w:tcW w:w="0" w:type="auto"/>
          </w:tcPr>
          <w:p w14:paraId="4B969533" w14:textId="77777777" w:rsidR="00B5638E" w:rsidRDefault="00B5638E" w:rsidP="00D31645">
            <w:r>
              <w:t xml:space="preserve">Low </w:t>
            </w:r>
            <m:oMath>
              <m:r>
                <w:rPr>
                  <w:rFonts w:ascii="Cambria Math" w:hAnsi="Cambria Math"/>
                </w:rPr>
                <m:t>φ</m:t>
              </m:r>
            </m:oMath>
          </w:p>
        </w:tc>
        <w:tc>
          <w:tcPr>
            <w:tcW w:w="0" w:type="auto"/>
          </w:tcPr>
          <w:p w14:paraId="6AE694E0" w14:textId="77777777" w:rsidR="00B5638E" w:rsidRDefault="00B5638E" w:rsidP="00D31645">
            <m:oMathPara>
              <m:oMath>
                <m:r>
                  <w:rPr>
                    <w:rFonts w:ascii="Cambria Math" w:hAnsi="Cambria Math"/>
                  </w:rPr>
                  <m:t>0.75σ; ρ=0.05</m:t>
                </m:r>
              </m:oMath>
            </m:oMathPara>
          </w:p>
        </w:tc>
        <w:tc>
          <w:tcPr>
            <w:tcW w:w="0" w:type="auto"/>
          </w:tcPr>
          <w:p w14:paraId="2AEA3CED" w14:textId="77777777" w:rsidR="00B5638E" w:rsidRDefault="00B5638E" w:rsidP="00D31645">
            <m:oMathPara>
              <m:oMath>
                <m:r>
                  <w:rPr>
                    <w:rFonts w:ascii="Cambria Math" w:hAnsi="Cambria Math"/>
                  </w:rPr>
                  <m:t>σ; ρ=0.05</m:t>
                </m:r>
              </m:oMath>
            </m:oMathPara>
          </w:p>
        </w:tc>
        <w:tc>
          <w:tcPr>
            <w:tcW w:w="0" w:type="auto"/>
          </w:tcPr>
          <w:p w14:paraId="77302B22" w14:textId="77777777" w:rsidR="00B5638E" w:rsidRDefault="00B5638E" w:rsidP="00D31645">
            <m:oMathPara>
              <m:oMath>
                <m:r>
                  <w:rPr>
                    <w:rFonts w:ascii="Cambria Math" w:hAnsi="Cambria Math"/>
                  </w:rPr>
                  <m:t>1.25σ; ρ=0.05</m:t>
                </m:r>
              </m:oMath>
            </m:oMathPara>
          </w:p>
        </w:tc>
      </w:tr>
      <w:tr w:rsidR="00B5638E" w14:paraId="39D7D1E5" w14:textId="77777777" w:rsidTr="00D31645">
        <w:trPr>
          <w:jc w:val="center"/>
        </w:trPr>
        <w:tc>
          <w:tcPr>
            <w:tcW w:w="0" w:type="auto"/>
          </w:tcPr>
          <w:p w14:paraId="581248B6" w14:textId="77777777" w:rsidR="00B5638E" w:rsidRDefault="00B5638E" w:rsidP="00D31645">
            <w:r>
              <w:t xml:space="preserve">Moderate </w:t>
            </w:r>
            <m:oMath>
              <m:r>
                <w:rPr>
                  <w:rFonts w:ascii="Cambria Math" w:hAnsi="Cambria Math"/>
                </w:rPr>
                <m:t>φ</m:t>
              </m:r>
            </m:oMath>
          </w:p>
        </w:tc>
        <w:tc>
          <w:tcPr>
            <w:tcW w:w="0" w:type="auto"/>
          </w:tcPr>
          <w:p w14:paraId="507C5046" w14:textId="77777777" w:rsidR="00B5638E" w:rsidRDefault="00B5638E" w:rsidP="00D31645">
            <m:oMathPara>
              <m:oMath>
                <m:r>
                  <w:rPr>
                    <w:rFonts w:ascii="Cambria Math" w:hAnsi="Cambria Math"/>
                  </w:rPr>
                  <m:t>0.75σ; ρ=0.5</m:t>
                </m:r>
              </m:oMath>
            </m:oMathPara>
          </w:p>
        </w:tc>
        <w:tc>
          <w:tcPr>
            <w:tcW w:w="0" w:type="auto"/>
          </w:tcPr>
          <w:p w14:paraId="4C206552" w14:textId="77777777" w:rsidR="00B5638E" w:rsidRDefault="00B5638E" w:rsidP="00D31645">
            <m:oMathPara>
              <m:oMath>
                <m:r>
                  <w:rPr>
                    <w:rFonts w:ascii="Cambria Math" w:hAnsi="Cambria Math"/>
                  </w:rPr>
                  <m:t>σ; ρ=0.5</m:t>
                </m:r>
              </m:oMath>
            </m:oMathPara>
          </w:p>
        </w:tc>
        <w:tc>
          <w:tcPr>
            <w:tcW w:w="0" w:type="auto"/>
          </w:tcPr>
          <w:p w14:paraId="11DBD71B" w14:textId="77777777" w:rsidR="00B5638E" w:rsidRDefault="00B5638E" w:rsidP="00D31645">
            <m:oMathPara>
              <m:oMath>
                <m:r>
                  <w:rPr>
                    <w:rFonts w:ascii="Cambria Math" w:hAnsi="Cambria Math"/>
                  </w:rPr>
                  <m:t>1.5σ; ρ=0.5</m:t>
                </m:r>
              </m:oMath>
            </m:oMathPara>
          </w:p>
        </w:tc>
      </w:tr>
      <w:tr w:rsidR="00B5638E" w14:paraId="285F6124" w14:textId="77777777" w:rsidTr="00D31645">
        <w:trPr>
          <w:jc w:val="center"/>
        </w:trPr>
        <w:tc>
          <w:tcPr>
            <w:tcW w:w="0" w:type="auto"/>
          </w:tcPr>
          <w:p w14:paraId="279C02AD" w14:textId="77777777" w:rsidR="00B5638E" w:rsidRDefault="00B5638E" w:rsidP="00D31645">
            <w:r>
              <w:t xml:space="preserve">High </w:t>
            </w:r>
            <m:oMath>
              <m:r>
                <w:rPr>
                  <w:rFonts w:ascii="Cambria Math" w:hAnsi="Cambria Math"/>
                </w:rPr>
                <m:t>φ</m:t>
              </m:r>
            </m:oMath>
          </w:p>
        </w:tc>
        <w:tc>
          <w:tcPr>
            <w:tcW w:w="0" w:type="auto"/>
          </w:tcPr>
          <w:p w14:paraId="271F8170" w14:textId="77777777" w:rsidR="00B5638E" w:rsidRDefault="00B5638E" w:rsidP="00D31645">
            <m:oMathPara>
              <m:oMath>
                <m:r>
                  <w:rPr>
                    <w:rFonts w:ascii="Cambria Math" w:hAnsi="Cambria Math"/>
                  </w:rPr>
                  <m:t>0.75σ; ρ=0.75</m:t>
                </m:r>
              </m:oMath>
            </m:oMathPara>
          </w:p>
        </w:tc>
        <w:tc>
          <w:tcPr>
            <w:tcW w:w="0" w:type="auto"/>
          </w:tcPr>
          <w:p w14:paraId="7EB57050" w14:textId="77777777" w:rsidR="00B5638E" w:rsidRDefault="00B5638E" w:rsidP="00D31645">
            <m:oMathPara>
              <m:oMath>
                <m:r>
                  <w:rPr>
                    <w:rFonts w:ascii="Cambria Math" w:hAnsi="Cambria Math"/>
                  </w:rPr>
                  <m:t>σ; ρ=0.75</m:t>
                </m:r>
              </m:oMath>
            </m:oMathPara>
          </w:p>
        </w:tc>
        <w:tc>
          <w:tcPr>
            <w:tcW w:w="0" w:type="auto"/>
          </w:tcPr>
          <w:p w14:paraId="11A2A9F9" w14:textId="77777777" w:rsidR="00B5638E" w:rsidRDefault="00B5638E" w:rsidP="00D31645">
            <m:oMathPara>
              <m:oMath>
                <m:r>
                  <w:rPr>
                    <w:rFonts w:ascii="Cambria Math" w:hAnsi="Cambria Math"/>
                  </w:rPr>
                  <m:t>1.5σ; ρ=0.75</m:t>
                </m:r>
              </m:oMath>
            </m:oMathPara>
          </w:p>
        </w:tc>
      </w:tr>
    </w:tbl>
    <w:p w14:paraId="4EA6ECD4" w14:textId="77777777" w:rsidR="00B5638E" w:rsidRDefault="00B5638E" w:rsidP="00D40465"/>
    <w:p w14:paraId="116A11A9" w14:textId="77777777" w:rsidR="0093048D" w:rsidRDefault="0093048D" w:rsidP="002E71CA"/>
    <w:p w14:paraId="10B8BFCB" w14:textId="1AA29256" w:rsidR="00422BF4" w:rsidRDefault="00422BF4" w:rsidP="00D40465">
      <w:pPr>
        <w:rPr>
          <w:i/>
        </w:rPr>
      </w:pPr>
      <w:commentRangeStart w:id="23"/>
      <w:r>
        <w:rPr>
          <w:i/>
        </w:rPr>
        <w:t>Evaluating model performance</w:t>
      </w:r>
      <w:commentRangeEnd w:id="23"/>
      <w:r w:rsidR="003113FB">
        <w:rPr>
          <w:rStyle w:val="CommentReference"/>
        </w:rPr>
        <w:commentReference w:id="23"/>
      </w:r>
    </w:p>
    <w:p w14:paraId="0891A476" w14:textId="686049EB" w:rsidR="002800A9" w:rsidRDefault="00422BF4" w:rsidP="000C51BA">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r w:rsidR="00525C83">
        <w:t>and</w:t>
      </w:r>
      <w:r>
        <w:rPr>
          <w:vertAlign w:val="subscript"/>
        </w:rPr>
        <w:t xml:space="preserve"> </w:t>
      </w:r>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C51BA">
        <w:rPr>
          <w:rFonts w:ascii="Calibri" w:hAnsi="Calibri"/>
        </w:rPr>
        <w:t>. The first conservation-</w:t>
      </w:r>
      <w:r w:rsidR="000C51BA">
        <w:rPr>
          <w:rFonts w:ascii="Calibri" w:hAnsi="Calibri"/>
        </w:rPr>
        <w:lastRenderedPageBreak/>
        <w:t xml:space="preserve">based PM </w:t>
      </w:r>
      <w:r w:rsidR="00EE0DC4">
        <w:rPr>
          <w:rFonts w:ascii="Calibri" w:hAnsi="Calibri"/>
        </w:rPr>
        <w:t xml:space="preserve">we generated </w:t>
      </w:r>
      <w:r w:rsidR="000C51BA">
        <w:rPr>
          <w:rFonts w:ascii="Calibri" w:hAnsi="Calibri"/>
        </w:rPr>
        <w:t xml:space="preserve">was </w:t>
      </w:r>
      <w:r w:rsidR="00525C83">
        <w:rPr>
          <w:rFonts w:ascii="Calibri" w:hAnsi="Calibri"/>
        </w:rPr>
        <w:t>recruit</w:t>
      </w:r>
      <w:r w:rsidR="00F07D48">
        <w:rPr>
          <w:rFonts w:ascii="Calibri" w:hAnsi="Calibri"/>
        </w:rPr>
        <w:t xml:space="preserve"> abundance</w:t>
      </w:r>
      <w:r w:rsidR="000C51BA">
        <w:rPr>
          <w:rFonts w:ascii="Calibri" w:hAnsi="Calibri"/>
        </w:rPr>
        <w:t>,</w:t>
      </w:r>
      <w:r w:rsidR="00F07D48">
        <w:rPr>
          <w:rFonts w:ascii="Calibri" w:hAnsi="Calibri"/>
        </w:rPr>
        <w:t xml:space="preserve"> </w:t>
      </w:r>
      <w:r w:rsidR="00211AC2">
        <w:rPr>
          <w:rFonts w:ascii="Calibri" w:hAnsi="Calibri"/>
        </w:rPr>
        <w:t>calculated as the</w:t>
      </w:r>
      <w:r w:rsidR="00162C8A">
        <w:rPr>
          <w:rFonts w:ascii="Calibri" w:hAnsi="Calibri"/>
        </w:rPr>
        <w:t xml:space="preserve"> temporal </w:t>
      </w:r>
      <w:r w:rsidR="00211AC2">
        <w:rPr>
          <w:rFonts w:ascii="Calibri" w:hAnsi="Calibri"/>
        </w:rPr>
        <w:t>median</w:t>
      </w:r>
      <w:r w:rsidR="00162C8A">
        <w:rPr>
          <w:rFonts w:ascii="Calibri" w:hAnsi="Calibri"/>
        </w:rPr>
        <w:t xml:space="preserve"> </w:t>
      </w:r>
      <w:r w:rsidR="00F07D48">
        <w:rPr>
          <w:rFonts w:ascii="Calibri" w:hAnsi="Calibri"/>
        </w:rPr>
        <w:t>number of individuals (at the aggregate level, i.e. summed across CUs) that</w:t>
      </w:r>
      <w:r w:rsidR="00525C83">
        <w:rPr>
          <w:rFonts w:ascii="Calibri" w:hAnsi="Calibri"/>
        </w:rPr>
        <w:t xml:space="preserve"> were available to be harvested or to</w:t>
      </w:r>
      <w:r w:rsidR="00F07D48">
        <w:rPr>
          <w:rFonts w:ascii="Calibri" w:hAnsi="Calibri"/>
        </w:rPr>
        <w:t xml:space="preserve"> escape to</w:t>
      </w:r>
      <w:r w:rsidR="00525C83">
        <w:rPr>
          <w:rFonts w:ascii="Calibri" w:hAnsi="Calibri"/>
        </w:rPr>
        <w:t xml:space="preserve"> their</w:t>
      </w:r>
      <w:r w:rsidR="00F07D48">
        <w:rPr>
          <w:rFonts w:ascii="Calibri" w:hAnsi="Calibri"/>
        </w:rPr>
        <w:t xml:space="preserve"> spawning grounds each year. </w:t>
      </w:r>
      <w:r w:rsidR="000C51BA">
        <w:rPr>
          <w:rFonts w:ascii="Calibri" w:hAnsi="Calibri"/>
        </w:rPr>
        <w:t xml:space="preserve">The second and third </w:t>
      </w:r>
      <w:r w:rsidR="00F07325">
        <w:rPr>
          <w:rFonts w:ascii="Calibri" w:hAnsi="Calibri"/>
        </w:rPr>
        <w:t xml:space="preserve">conservation-based </w:t>
      </w:r>
      <w:r w:rsidR="000C51BA">
        <w:rPr>
          <w:rFonts w:ascii="Calibri" w:hAnsi="Calibri"/>
        </w:rPr>
        <w:t xml:space="preserve">PMs incorporate biological benchmarks based </w:t>
      </w:r>
      <w:r w:rsidR="001D4E33">
        <w:rPr>
          <w:rFonts w:ascii="Calibri" w:hAnsi="Calibri"/>
        </w:rPr>
        <w:t>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w:t>
      </w:r>
      <w:r w:rsidR="000C51BA">
        <w:rPr>
          <w:rFonts w:ascii="Calibri" w:hAnsi="Calibri"/>
        </w:rPr>
        <w:t>T</w:t>
      </w:r>
      <w:r w:rsidR="00AF0717">
        <w:rPr>
          <w:rFonts w:ascii="Calibri" w:hAnsi="Calibri"/>
        </w:rPr>
        <w:t>he</w:t>
      </w:r>
      <w:r w:rsidR="000C51BA">
        <w:rPr>
          <w:rFonts w:ascii="Calibri" w:hAnsi="Calibri"/>
        </w:rPr>
        <w:t>se were calculated as the mean</w:t>
      </w:r>
      <w:r w:rsidR="009E2CC0">
        <w:rPr>
          <w:rFonts w:ascii="Calibri" w:hAnsi="Calibri"/>
        </w:rPr>
        <w:t xml:space="preserve"> proportion of </w:t>
      </w:r>
      <w:r w:rsidR="00AF0717">
        <w:rPr>
          <w:rFonts w:ascii="Calibri" w:hAnsi="Calibri"/>
        </w:rPr>
        <w:t xml:space="preserve">CUs within the aggregate that were above their individual </w:t>
      </w:r>
      <w:r w:rsidR="000C51BA">
        <w:t>upper</w:t>
      </w:r>
      <w:r w:rsidR="000F2E0D">
        <w:t xml:space="preserve"> </w:t>
      </w:r>
      <w:r w:rsidR="000C51BA">
        <w:t>(</w:t>
      </w:r>
      <w:r w:rsidR="000C51BA">
        <w:rPr>
          <w:i/>
        </w:rPr>
        <w:t>S</w:t>
      </w:r>
      <w:r w:rsidR="000C51BA">
        <w:rPr>
          <w:vertAlign w:val="subscript"/>
        </w:rPr>
        <w:t>MSY</w:t>
      </w:r>
      <w:r w:rsidR="000C51BA">
        <w:t>)</w:t>
      </w:r>
      <w:r w:rsidR="000F2E0D">
        <w:t xml:space="preserve"> and lower </w:t>
      </w:r>
      <w:r w:rsidR="000F2E0D">
        <w:rPr>
          <w:rFonts w:ascii="Calibri" w:hAnsi="Calibri"/>
        </w:rPr>
        <w:t>(</w:t>
      </w:r>
      <w:r w:rsidR="000F2E0D">
        <w:rPr>
          <w:i/>
        </w:rPr>
        <w:t>S</w:t>
      </w:r>
      <w:r w:rsidR="000F2E0D">
        <w:rPr>
          <w:vertAlign w:val="subscript"/>
        </w:rPr>
        <w:t>Gen</w:t>
      </w:r>
      <w:r w:rsidR="000F2E0D">
        <w:t>) biological benchmarks</w:t>
      </w:r>
      <w:r w:rsidR="00F07325">
        <w:t xml:space="preserve"> during the simulation period</w:t>
      </w:r>
      <w:r w:rsidR="00AF0717">
        <w:rPr>
          <w:rFonts w:ascii="Calibri" w:hAnsi="Calibri"/>
        </w:rPr>
        <w:t>.</w:t>
      </w:r>
      <w:r w:rsidR="00162C8A">
        <w:rPr>
          <w:rFonts w:ascii="Calibri" w:hAnsi="Calibri"/>
        </w:rPr>
        <w:t xml:space="preserve"> </w:t>
      </w:r>
      <w:r w:rsidR="000F2E0D">
        <w:rPr>
          <w:rFonts w:ascii="Calibri" w:hAnsi="Calibri"/>
        </w:rPr>
        <w:t>S</w:t>
      </w:r>
      <w:r w:rsidR="000F2E0D">
        <w:rPr>
          <w:rFonts w:ascii="Calibri" w:hAnsi="Calibri"/>
          <w:vertAlign w:val="subscript"/>
        </w:rPr>
        <w:t>MSY</w:t>
      </w:r>
      <w:r w:rsidR="000F2E0D">
        <w:rPr>
          <w:rFonts w:ascii="Calibri" w:hAnsi="Calibri"/>
        </w:rPr>
        <w:t xml:space="preserve"> is defined as the estimated spawner abundance necessary to achieve maximum sustainable yield, while S</w:t>
      </w:r>
      <w:r w:rsidR="000F2E0D">
        <w:rPr>
          <w:rFonts w:ascii="Calibri" w:hAnsi="Calibri"/>
          <w:vertAlign w:val="subscript"/>
        </w:rPr>
        <w:t>Gen</w:t>
      </w:r>
      <w:r w:rsidR="000F2E0D">
        <w:rPr>
          <w:rFonts w:ascii="Calibri" w:hAnsi="Calibri"/>
        </w:rPr>
        <w:t xml:space="preserve"> is </w:t>
      </w:r>
      <w:r w:rsidR="000F2E0D">
        <w:t xml:space="preserve">the estimated spawner abundance necessary to recover to </w:t>
      </w:r>
      <w:r w:rsidR="000F2E0D">
        <w:rPr>
          <w:i/>
        </w:rPr>
        <w:t>S</w:t>
      </w:r>
      <w:r w:rsidR="000F2E0D">
        <w:rPr>
          <w:vertAlign w:val="subscript"/>
        </w:rPr>
        <w:t xml:space="preserve">MSY </w:t>
      </w:r>
      <w:r w:rsidR="000F2E0D">
        <w:t>in one generation in th</w:t>
      </w:r>
      <w:r w:rsidR="00463966">
        <w:t xml:space="preserve">e absence of fishing mortality </w:t>
      </w:r>
      <w:r w:rsidR="00463966">
        <w:fldChar w:fldCharType="begin"/>
      </w:r>
      <w:r w:rsidR="00463966">
        <w:instrText xml:space="preserve"> ADDIN EN.CITE &lt;EndNote&gt;&lt;Cite&gt;&lt;Author&gt;Holt&lt;/Author&gt;&lt;Year&gt;2009&lt;/Year&gt;&lt;RecNum&gt;1971&lt;/RecNum&gt;&lt;DisplayText&gt;(Holt 2009)&lt;/DisplayText&gt;&lt;record&gt;&lt;rec-number&gt;1971&lt;/rec-number&gt;&lt;foreign-keys&gt;&lt;key app="EN" db-id="eez0aevwa0afpdexr0lvefp6z0xpepv5rfx5" timestamp="1496940439"&gt;1971&lt;/key&gt;&lt;key app="ENWeb" db-id=""&gt;0&lt;/key&gt;&lt;/foreign-keys&gt;&lt;ref-type name="Journal Article"&gt;17&lt;/ref-type&gt;&lt;contributors&gt;&lt;authors&gt;&lt;author&gt;Holt, Carrie A.&lt;/author&gt;&lt;/authors&gt;&lt;/contributors&gt;&lt;titles&gt;&lt;title&gt;Evaluation of benchmarks for conservation units in Canada&amp;apos;s Wild Salmon Policy: Technical Documentation&lt;/title&gt;&lt;secondary-title&gt;Canadian Science Advisory Secretariat Research Document 2009/059&lt;/secondary-title&gt;&lt;/titles&gt;&lt;periodical&gt;&lt;full-title&gt;Canadian Science Advisory Secretariat Research Document 2009/059&lt;/full-title&gt;&lt;/periodical&gt;&lt;pages&gt;50 p&lt;/pages&gt;&lt;dates&gt;&lt;year&gt;2009&lt;/year&gt;&lt;/dates&gt;&lt;urls&gt;&lt;/urls&gt;&lt;/record&gt;&lt;/Cite&gt;&lt;/EndNote&gt;</w:instrText>
      </w:r>
      <w:r w:rsidR="00463966">
        <w:fldChar w:fldCharType="separate"/>
      </w:r>
      <w:r w:rsidR="00463966">
        <w:rPr>
          <w:noProof/>
        </w:rPr>
        <w:t>(Holt 2009)</w:t>
      </w:r>
      <w:r w:rsidR="00463966">
        <w:fldChar w:fldCharType="end"/>
      </w:r>
      <w:r w:rsidR="000F2E0D">
        <w:t xml:space="preserve">. The equations used to estimate these metrics are presented in the </w:t>
      </w:r>
      <w:r w:rsidR="00F07325">
        <w:t>A</w:t>
      </w:r>
      <w:r w:rsidR="000F2E0D">
        <w:t xml:space="preserve">ppendix. </w:t>
      </w:r>
      <w:commentRangeStart w:id="24"/>
      <w:r w:rsidR="000F2E0D">
        <w:t>Finally, we calculated the proportion of CUs extirpated at the end of the simulation period</w:t>
      </w:r>
      <w:r w:rsidR="009D3206">
        <w:t xml:space="preserve"> based on a quasi-extinction threshold of 100 individuals</w:t>
      </w:r>
      <w:r w:rsidR="000F2E0D">
        <w:t>.</w:t>
      </w:r>
      <w:commentRangeEnd w:id="24"/>
      <w:r w:rsidR="00F07325">
        <w:rPr>
          <w:rStyle w:val="CommentReference"/>
        </w:rPr>
        <w:commentReference w:id="24"/>
      </w:r>
    </w:p>
    <w:p w14:paraId="35CBF739" w14:textId="2BC000C6" w:rsidR="002E71CA" w:rsidRDefault="00EE0DC4" w:rsidP="00D40465">
      <w:pPr>
        <w:rPr>
          <w:rFonts w:ascii="Calibri" w:hAnsi="Calibri"/>
        </w:rPr>
      </w:pPr>
      <w:r>
        <w:rPr>
          <w:rFonts w:ascii="Calibri" w:hAnsi="Calibri"/>
        </w:rPr>
        <w:tab/>
        <w:t>C</w:t>
      </w:r>
      <w:r w:rsidR="002E71CA">
        <w:rPr>
          <w:rFonts w:ascii="Calibri" w:hAnsi="Calibri"/>
        </w:rPr>
        <w:t>atch-based PMs included median catch</w:t>
      </w:r>
      <w:r w:rsidR="00166B5A">
        <w:rPr>
          <w:rFonts w:ascii="Calibri" w:hAnsi="Calibri"/>
        </w:rPr>
        <w:t>,</w:t>
      </w:r>
      <w:r w:rsidR="002E71CA">
        <w:rPr>
          <w:rFonts w:ascii="Calibri" w:hAnsi="Calibri"/>
        </w:rPr>
        <w:t xml:space="preserve"> a measure of interannual catch stability, and</w:t>
      </w:r>
      <w:r w:rsidR="00166B5A">
        <w:rPr>
          <w:rFonts w:ascii="Calibri" w:hAnsi="Calibri"/>
        </w:rPr>
        <w:t xml:space="preserve"> </w:t>
      </w:r>
      <w:r w:rsidR="001B700F">
        <w:rPr>
          <w:rFonts w:ascii="Calibri" w:hAnsi="Calibri"/>
        </w:rPr>
        <w:t>three</w:t>
      </w:r>
      <w:r w:rsidR="00166B5A">
        <w:rPr>
          <w:rFonts w:ascii="Calibri" w:hAnsi="Calibri"/>
        </w:rPr>
        <w:t xml:space="preserve"> PMs associated with fishery benchmarks. </w:t>
      </w:r>
      <w:r w:rsidR="002E71CA">
        <w:rPr>
          <w:rFonts w:ascii="Calibri" w:hAnsi="Calibri"/>
        </w:rPr>
        <w:t xml:space="preserve">We quantified interannual catch stability </w:t>
      </w:r>
      <m:oMath>
        <m:r>
          <w:rPr>
            <w:rFonts w:ascii="Cambria Math" w:hAnsi="Cambria Math"/>
          </w:rPr>
          <m:t>∆C</m:t>
        </m:r>
      </m:oMath>
      <w:r w:rsidR="003614CC">
        <w:rPr>
          <w:rFonts w:ascii="Calibri" w:hAnsi="Calibri"/>
        </w:rPr>
        <w:t xml:space="preserve"> </w:t>
      </w:r>
      <w:r w:rsidR="002E71CA">
        <w:rPr>
          <w:rFonts w:ascii="Calibri" w:hAnsi="Calibri"/>
        </w:rPr>
        <w:t>as</w:t>
      </w:r>
    </w:p>
    <w:p w14:paraId="36B59845" w14:textId="7FCCEAA8" w:rsidR="002E71CA" w:rsidRDefault="002E71CA" w:rsidP="00D40465">
      <w:pPr>
        <w:rPr>
          <w:rFonts w:ascii="Calibri" w:hAnsi="Calibri"/>
        </w:rPr>
      </w:pPr>
      <w:r>
        <w:rPr>
          <w:rFonts w:ascii="Calibri" w:hAnsi="Calibri"/>
        </w:rPr>
        <w:t>Equation 7</w:t>
      </w:r>
      <w:r>
        <w:rPr>
          <w:rFonts w:ascii="Calibri" w:hAnsi="Calibri"/>
        </w:rPr>
        <w:tab/>
      </w:r>
      <w:r>
        <w:rPr>
          <w:rFonts w:ascii="Calibri" w:eastAsiaTheme="minorEastAsia" w:hAnsi="Calibri"/>
        </w:rPr>
        <w:tab/>
      </w:r>
      <w:r>
        <w:rPr>
          <w:rFonts w:ascii="Calibri" w:eastAsiaTheme="minorEastAsia" w:hAnsi="Calibri"/>
        </w:rPr>
        <w:tab/>
      </w:r>
      <w:r>
        <w:rPr>
          <w:rFonts w:ascii="Calibri" w:eastAsiaTheme="minorEastAsia" w:hAnsi="Calibri"/>
        </w:rPr>
        <w:tab/>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m:rPr>
                    <m:sty m:val="p"/>
                  </m:rPr>
                  <w:rPr>
                    <w:rFonts w:ascii="Cambria Math" w:hAnsi="Cambria Math"/>
                  </w:rPr>
                  <m:t>abs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t-1</m:t>
                        </m:r>
                      </m:sub>
                    </m:sSub>
                    <m:ctrlPr>
                      <w:rPr>
                        <w:rFonts w:ascii="Cambria Math" w:hAnsi="Cambria Math"/>
                        <w:i/>
                      </w:rPr>
                    </m:ctrlPr>
                  </m:e>
                </m:d>
              </m:num>
              <m:den>
                <m:sSub>
                  <m:sSubPr>
                    <m:ctrlPr>
                      <w:rPr>
                        <w:rFonts w:ascii="Cambria Math" w:hAnsi="Cambria Math"/>
                      </w:rPr>
                    </m:ctrlPr>
                  </m:sSubPr>
                  <m:e>
                    <m:r>
                      <w:rPr>
                        <w:rFonts w:ascii="Cambria Math" w:hAnsi="Cambria Math"/>
                      </w:rPr>
                      <m:t>C</m:t>
                    </m:r>
                  </m:e>
                  <m:sub>
                    <m:r>
                      <w:rPr>
                        <w:rFonts w:ascii="Cambria Math" w:hAnsi="Cambria Math"/>
                      </w:rPr>
                      <m:t>t</m:t>
                    </m:r>
                  </m:sub>
                </m:sSub>
              </m:den>
            </m:f>
            <m:r>
              <w:rPr>
                <w:rFonts w:ascii="Cambria Math" w:hAnsi="Cambria Math"/>
              </w:rPr>
              <m:t>)</m:t>
            </m:r>
          </m:e>
          <m:sup>
            <m:r>
              <w:rPr>
                <w:rFonts w:ascii="Cambria Math" w:hAnsi="Cambria Math"/>
              </w:rPr>
              <m:t>-1</m:t>
            </m:r>
          </m:sup>
        </m:sSup>
      </m:oMath>
    </w:p>
    <w:p w14:paraId="565EF24C" w14:textId="23BDE90F" w:rsidR="002800A9" w:rsidRDefault="002E71CA" w:rsidP="00D40465">
      <w:pPr>
        <w:rPr>
          <w:rFonts w:ascii="Calibri" w:hAnsi="Calibri"/>
        </w:rPr>
      </w:pPr>
      <w:r>
        <w:rPr>
          <w:rFonts w:ascii="Calibri" w:hAnsi="Calibri"/>
        </w:rPr>
        <w:t xml:space="preserve">where </w:t>
      </w:r>
      <w:r w:rsidRPr="002E71CA">
        <w:rPr>
          <w:rFonts w:ascii="Calibri" w:hAnsi="Calibri"/>
          <w:i/>
        </w:rPr>
        <w:t>C</w:t>
      </w:r>
      <w:r>
        <w:rPr>
          <w:rFonts w:ascii="Calibri" w:hAnsi="Calibri"/>
          <w:i/>
        </w:rPr>
        <w:t xml:space="preserve"> </w:t>
      </w:r>
      <w:r>
        <w:rPr>
          <w:rFonts w:ascii="Calibri" w:hAnsi="Calibri"/>
        </w:rPr>
        <w:t xml:space="preserve">is aggregate catch in year </w:t>
      </w:r>
      <w:r w:rsidRPr="002E71CA">
        <w:rPr>
          <w:rFonts w:ascii="Calibri" w:hAnsi="Calibri"/>
          <w:i/>
        </w:rPr>
        <w:t>t</w:t>
      </w:r>
      <w:r>
        <w:rPr>
          <w:rFonts w:ascii="Calibri" w:hAnsi="Calibri"/>
        </w:rPr>
        <w:t xml:space="preserve">. </w:t>
      </w:r>
      <w:r w:rsidR="00EE0DC4" w:rsidRPr="002E71CA">
        <w:rPr>
          <w:rFonts w:ascii="Calibri" w:hAnsi="Calibri"/>
        </w:rPr>
        <w:t>We</w:t>
      </w:r>
      <w:r w:rsidR="00EE0DC4">
        <w:rPr>
          <w:rFonts w:ascii="Calibri" w:hAnsi="Calibri"/>
        </w:rPr>
        <w:t xml:space="preserve"> defined the first </w:t>
      </w:r>
      <w:r w:rsidR="001B700F">
        <w:rPr>
          <w:rFonts w:ascii="Calibri" w:hAnsi="Calibri"/>
        </w:rPr>
        <w:t>of the benchmark PMs</w:t>
      </w:r>
      <w:r w:rsidR="00166B5A">
        <w:rPr>
          <w:rFonts w:ascii="Calibri" w:hAnsi="Calibri"/>
        </w:rPr>
        <w:t xml:space="preserve"> as the</w:t>
      </w:r>
      <w:r w:rsidR="001B700F">
        <w:rPr>
          <w:rFonts w:ascii="Calibri" w:hAnsi="Calibri"/>
        </w:rPr>
        <w:t xml:space="preserve"> mean</w:t>
      </w:r>
      <w:r w:rsidR="00166B5A">
        <w:rPr>
          <w:rFonts w:ascii="Calibri" w:hAnsi="Calibri"/>
        </w:rPr>
        <w:t xml:space="preserve"> proportion </w:t>
      </w:r>
      <w:r w:rsidR="00FB63BF">
        <w:rPr>
          <w:rFonts w:ascii="Calibri" w:hAnsi="Calibri"/>
        </w:rPr>
        <w:t xml:space="preserve">of </w:t>
      </w:r>
      <w:r w:rsidR="00166B5A">
        <w:rPr>
          <w:rFonts w:ascii="Calibri" w:hAnsi="Calibri"/>
        </w:rPr>
        <w:t xml:space="preserve">MUs with </w:t>
      </w:r>
      <w:r w:rsidR="00EE0DC4">
        <w:rPr>
          <w:rFonts w:ascii="Calibri" w:hAnsi="Calibri"/>
        </w:rPr>
        <w:t>recruit abundance</w:t>
      </w:r>
      <w:r w:rsidR="00166B5A">
        <w:rPr>
          <w:rFonts w:ascii="Calibri" w:hAnsi="Calibri"/>
        </w:rPr>
        <w:t xml:space="preserve"> greater than the minimum escapement target (</w:t>
      </w:r>
      <w:r w:rsidR="00EE0DC4">
        <w:rPr>
          <w:rFonts w:ascii="Calibri" w:hAnsi="Calibri"/>
        </w:rPr>
        <w:t>i.e. the lower fishery reference point specif</w:t>
      </w:r>
      <w:r w:rsidR="006C2754">
        <w:rPr>
          <w:rFonts w:ascii="Calibri" w:hAnsi="Calibri"/>
        </w:rPr>
        <w:t>i</w:t>
      </w:r>
      <w:r w:rsidR="00EE0DC4">
        <w:rPr>
          <w:rFonts w:ascii="Calibri" w:hAnsi="Calibri"/>
        </w:rPr>
        <w:t>ed</w:t>
      </w:r>
      <w:r w:rsidR="00166B5A">
        <w:rPr>
          <w:rFonts w:ascii="Calibri" w:hAnsi="Calibri"/>
        </w:rPr>
        <w:t xml:space="preserve"> by the harvest control rule). </w:t>
      </w:r>
      <w:commentRangeStart w:id="25"/>
      <w:r w:rsidR="00166B5A">
        <w:rPr>
          <w:rFonts w:ascii="Calibri" w:hAnsi="Calibri"/>
        </w:rPr>
        <w:t xml:space="preserve">The </w:t>
      </w:r>
      <w:r w:rsidR="00FB63BF">
        <w:rPr>
          <w:rFonts w:ascii="Calibri" w:hAnsi="Calibri"/>
        </w:rPr>
        <w:t>other</w:t>
      </w:r>
      <w:r w:rsidR="00166B5A">
        <w:rPr>
          <w:rFonts w:ascii="Calibri" w:hAnsi="Calibri"/>
        </w:rPr>
        <w:t xml:space="preserve"> two catch-based PMs are calculated as the proportion of years during the simulation period where total allowable catch</w:t>
      </w:r>
      <w:r w:rsidR="00D16817">
        <w:rPr>
          <w:rFonts w:ascii="Calibri" w:hAnsi="Calibri"/>
        </w:rPr>
        <w:t xml:space="preserve"> (TAC) across all MUs was greater than 500,000 and 1,000,000 fish. When </w:t>
      </w:r>
      <w:r w:rsidR="001B700F">
        <w:rPr>
          <w:rFonts w:ascii="Calibri" w:hAnsi="Calibri"/>
        </w:rPr>
        <w:t xml:space="preserve">aggregate </w:t>
      </w:r>
      <w:r w:rsidR="00D16817">
        <w:rPr>
          <w:rFonts w:ascii="Calibri" w:hAnsi="Calibri"/>
        </w:rPr>
        <w:t>TAC is below the smaller value, managers struggle to allocate sufficient quota to priority stakeholders (i.e. food, social, and ceremonial harv</w:t>
      </w:r>
      <w:r w:rsidR="001B700F">
        <w:rPr>
          <w:rFonts w:ascii="Calibri" w:hAnsi="Calibri"/>
        </w:rPr>
        <w:t>est for various First Nations) and when it i</w:t>
      </w:r>
      <w:r w:rsidR="00D16817">
        <w:rPr>
          <w:rFonts w:ascii="Calibri" w:hAnsi="Calibri"/>
        </w:rPr>
        <w:t>s above the larger value managers are able to allocate some degree of catch to the commercial sector.</w:t>
      </w:r>
      <w:r w:rsidR="00166B5A">
        <w:rPr>
          <w:rFonts w:ascii="Calibri" w:hAnsi="Calibri"/>
        </w:rPr>
        <w:t xml:space="preserve"> </w:t>
      </w:r>
      <w:commentRangeEnd w:id="25"/>
      <w:r>
        <w:rPr>
          <w:rStyle w:val="CommentReference"/>
        </w:rPr>
        <w:commentReference w:id="25"/>
      </w:r>
      <w:r w:rsidR="006C2754">
        <w:rPr>
          <w:rFonts w:ascii="Calibri" w:hAnsi="Calibri"/>
        </w:rPr>
        <w:t>Note that while</w:t>
      </w:r>
      <w:r w:rsidR="00FB63BF">
        <w:rPr>
          <w:rFonts w:ascii="Calibri" w:hAnsi="Calibri"/>
        </w:rPr>
        <w:t xml:space="preserve"> the proportion of fisheries open is ba</w:t>
      </w:r>
      <w:r w:rsidR="006C2754">
        <w:rPr>
          <w:rFonts w:ascii="Calibri" w:hAnsi="Calibri"/>
        </w:rPr>
        <w:t>sed on “true” recruit abundance, representing</w:t>
      </w:r>
      <w:r w:rsidR="00FB63BF">
        <w:rPr>
          <w:rFonts w:ascii="Calibri" w:hAnsi="Calibri"/>
        </w:rPr>
        <w:t xml:space="preserve"> a hypothetical omniscient manager,</w:t>
      </w:r>
      <w:commentRangeStart w:id="26"/>
      <w:r w:rsidR="00FB63BF">
        <w:rPr>
          <w:rFonts w:ascii="Calibri" w:hAnsi="Calibri"/>
        </w:rPr>
        <w:t xml:space="preserve"> the PMs based on TAC </w:t>
      </w:r>
      <w:r w:rsidR="009F5D9C">
        <w:rPr>
          <w:rFonts w:ascii="Calibri" w:hAnsi="Calibri"/>
        </w:rPr>
        <w:t>thresholds</w:t>
      </w:r>
      <w:r w:rsidR="00FB63BF">
        <w:rPr>
          <w:rFonts w:ascii="Calibri" w:hAnsi="Calibri"/>
        </w:rPr>
        <w:t xml:space="preserve"> incorporate uncertainty associated with the </w:t>
      </w:r>
      <w:r w:rsidR="006C2754">
        <w:rPr>
          <w:rFonts w:ascii="Calibri" w:hAnsi="Calibri"/>
        </w:rPr>
        <w:t>in-season forecast</w:t>
      </w:r>
      <w:r w:rsidR="00FB63BF">
        <w:rPr>
          <w:rFonts w:ascii="Calibri" w:hAnsi="Calibri"/>
        </w:rPr>
        <w:t xml:space="preserve"> process.</w:t>
      </w:r>
      <w:commentRangeEnd w:id="26"/>
      <w:r w:rsidR="00283AFA">
        <w:rPr>
          <w:rStyle w:val="CommentReference"/>
        </w:rPr>
        <w:commentReference w:id="26"/>
      </w:r>
    </w:p>
    <w:p w14:paraId="0079852B" w14:textId="6D9DAC48" w:rsidR="004709A6" w:rsidRDefault="00CF41DF" w:rsidP="007D5362">
      <w:pPr>
        <w:ind w:firstLine="720"/>
        <w:rPr>
          <w:rFonts w:ascii="Calibri" w:hAnsi="Calibri"/>
        </w:rPr>
      </w:pPr>
      <w:r>
        <w:rPr>
          <w:rFonts w:eastAsiaTheme="minorEastAsia"/>
        </w:rPr>
        <w:t>Although w</w:t>
      </w:r>
      <w:r w:rsidR="004709A6">
        <w:rPr>
          <w:rFonts w:eastAsiaTheme="minorEastAsia"/>
        </w:rPr>
        <w:t>e focused our analyses on aggregate performance metrics because CV</w:t>
      </w:r>
      <w:r w:rsidR="004709A6">
        <w:rPr>
          <w:rFonts w:eastAsiaTheme="minorEastAsia"/>
          <w:vertAlign w:val="subscript"/>
        </w:rPr>
        <w:t>C</w:t>
      </w:r>
      <w:r w:rsidR="004709A6">
        <w:rPr>
          <w:rFonts w:eastAsiaTheme="minorEastAsia"/>
        </w:rPr>
        <w:t xml:space="preserve"> and synchrony are calculated across groups of populations or species, it is likely that the consequences of increased aggregate variability will vary among </w:t>
      </w:r>
      <w:r>
        <w:rPr>
          <w:rFonts w:eastAsiaTheme="minorEastAsia"/>
        </w:rPr>
        <w:t>components due to differences in productivity or abundance</w:t>
      </w:r>
      <w:r w:rsidR="004709A6">
        <w:rPr>
          <w:rFonts w:eastAsiaTheme="minorEastAsia"/>
        </w:rPr>
        <w:t xml:space="preserve">. An exhaustive analysis of </w:t>
      </w:r>
      <w:r w:rsidR="00F8390D">
        <w:rPr>
          <w:rFonts w:eastAsiaTheme="minorEastAsia"/>
        </w:rPr>
        <w:t>CU</w:t>
      </w:r>
      <w:r>
        <w:rPr>
          <w:rFonts w:eastAsiaTheme="minorEastAsia"/>
        </w:rPr>
        <w:t>-specific</w:t>
      </w:r>
      <w:r w:rsidR="004709A6">
        <w:rPr>
          <w:rFonts w:eastAsiaTheme="minorEastAsia"/>
        </w:rPr>
        <w:t xml:space="preserve"> differences was beyond the scope of this paper</w:t>
      </w:r>
      <w:r w:rsidR="00194792">
        <w:rPr>
          <w:rFonts w:eastAsiaTheme="minorEastAsia"/>
        </w:rPr>
        <w:t xml:space="preserve">, however to illustrate potential differences we present </w:t>
      </w:r>
      <w:r w:rsidR="009F5D9C">
        <w:rPr>
          <w:rFonts w:eastAsiaTheme="minorEastAsia"/>
        </w:rPr>
        <w:t>simulated</w:t>
      </w:r>
      <w:r w:rsidR="00194792">
        <w:rPr>
          <w:rFonts w:eastAsiaTheme="minorEastAsia"/>
        </w:rPr>
        <w:t xml:space="preserve"> changes in median spawner abunda</w:t>
      </w:r>
      <w:r>
        <w:rPr>
          <w:rFonts w:eastAsiaTheme="minorEastAsia"/>
        </w:rPr>
        <w:t>nce</w:t>
      </w:r>
      <w:r w:rsidR="009F5D9C">
        <w:rPr>
          <w:rFonts w:eastAsiaTheme="minorEastAsia"/>
        </w:rPr>
        <w:t xml:space="preserve"> across CV</w:t>
      </w:r>
      <w:r w:rsidR="009F5D9C">
        <w:rPr>
          <w:rFonts w:eastAsiaTheme="minorEastAsia"/>
          <w:vertAlign w:val="subscript"/>
        </w:rPr>
        <w:t xml:space="preserve">C </w:t>
      </w:r>
      <w:r w:rsidR="009F5D9C">
        <w:rPr>
          <w:rFonts w:eastAsiaTheme="minorEastAsia"/>
        </w:rPr>
        <w:t>and synchrony treatments</w:t>
      </w:r>
      <w:r>
        <w:rPr>
          <w:rFonts w:eastAsiaTheme="minorEastAsia"/>
        </w:rPr>
        <w:t xml:space="preserve"> for two CUs: Cultus (a low abundance </w:t>
      </w:r>
      <w:r w:rsidR="00194792">
        <w:rPr>
          <w:rFonts w:eastAsiaTheme="minorEastAsia"/>
        </w:rPr>
        <w:t>CU</w:t>
      </w:r>
      <w:r>
        <w:rPr>
          <w:rFonts w:eastAsiaTheme="minorEastAsia"/>
        </w:rPr>
        <w:t xml:space="preserve"> that is considered at risk</w:t>
      </w:r>
      <w:r w:rsidR="00194792">
        <w:rPr>
          <w:rFonts w:eastAsiaTheme="minorEastAsia"/>
        </w:rPr>
        <w:t>) and</w:t>
      </w:r>
      <w:r>
        <w:rPr>
          <w:rFonts w:eastAsiaTheme="minorEastAsia"/>
        </w:rPr>
        <w:t xml:space="preserve"> Chilko (an abundant CU that regularly makes up a considerable portion</w:t>
      </w:r>
      <w:r w:rsidR="00194792">
        <w:rPr>
          <w:rFonts w:eastAsiaTheme="minorEastAsia"/>
        </w:rPr>
        <w:t xml:space="preserve"> </w:t>
      </w:r>
      <w:r>
        <w:rPr>
          <w:rFonts w:eastAsiaTheme="minorEastAsia"/>
        </w:rPr>
        <w:t xml:space="preserve">of commercial catch). </w:t>
      </w:r>
    </w:p>
    <w:p w14:paraId="6129938E" w14:textId="781B52EB" w:rsidR="00162C8A" w:rsidRPr="00162C8A" w:rsidRDefault="00FB63BF" w:rsidP="007D5362">
      <w:pPr>
        <w:ind w:firstLine="720"/>
        <w:rPr>
          <w:rFonts w:ascii="Calibri" w:hAnsi="Calibri"/>
        </w:rPr>
      </w:pPr>
      <w:commentRangeStart w:id="27"/>
      <w:r>
        <w:rPr>
          <w:rFonts w:ascii="Calibri" w:hAnsi="Calibri"/>
        </w:rPr>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27"/>
      <w:r>
        <w:rPr>
          <w:rStyle w:val="CommentReference"/>
        </w:rPr>
        <w:commentReference w:id="27"/>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lastRenderedPageBreak/>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(log(recruits/spawner))</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as recently declined again</w:t>
      </w:r>
      <w:r w:rsidR="00D663FC">
        <w:t xml:space="preserve"> and remains variable</w:t>
      </w:r>
      <w:r w:rsidR="00A43A81">
        <w:t xml:space="preserve"> (Figure</w:t>
      </w:r>
      <w:r w:rsidR="00D663FC">
        <w:t xml:space="preserve"> 1</w:t>
      </w:r>
      <w:r>
        <w:t xml:space="preserve">a). </w:t>
      </w:r>
      <w:r w:rsidR="00D663FC">
        <w:t>A</w:t>
      </w:r>
      <w:r w:rsidR="005C2371">
        <w:t>ggregate spawner abundance and aggregate catch increased until the ea</w:t>
      </w:r>
      <w:r w:rsidR="00D663FC">
        <w:t>rly 1990s before declining (Figure 1</w:t>
      </w:r>
      <w:r w:rsidR="00A43A81">
        <w:t>b,</w:t>
      </w:r>
      <w:r w:rsidR="005C2371">
        <w:t>c)</w:t>
      </w:r>
      <w:r w:rsidR="00D663FC">
        <w:t>, coincident with declines in productivity and exploitation rate</w:t>
      </w:r>
      <w:r w:rsidR="005C2371">
        <w:t xml:space="preserve">. However, there is substantial interannual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spawner abundance, catch, and variability metrics were robust to time series length and the number of CUs incorporated.</w:t>
      </w:r>
    </w:p>
    <w:p w14:paraId="60769AE2" w14:textId="0E113DC9" w:rsidR="00525C83" w:rsidRDefault="00C84D7E" w:rsidP="00A91A4F">
      <w:r>
        <w:rPr>
          <w:noProof/>
          <w:lang w:eastAsia="en-CA"/>
        </w:rPr>
        <w:drawing>
          <wp:inline distT="0" distB="0" distL="0" distR="0" wp14:anchorId="28B374A9" wp14:editId="2F9B8002">
            <wp:extent cx="5943600" cy="3966210"/>
            <wp:effectExtent l="0" t="0" r="0" b="0"/>
            <wp:docPr id="2" name="Picture 2" descr="Macintosh HD:Users:cam:github:synchSalmon:figs:Fig1_RetroTren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github:synchSalmon:figs:Fig1_RetroTrend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4120C511" w14:textId="120F81F6" w:rsidR="00525C83" w:rsidRPr="00525C83" w:rsidRDefault="00525C83" w:rsidP="00A91A4F">
      <w:commentRangeStart w:id="28"/>
      <w:r>
        <w:lastRenderedPageBreak/>
        <w:t xml:space="preserve">Figure </w:t>
      </w:r>
      <w:commentRangeEnd w:id="28"/>
      <w:r>
        <w:rPr>
          <w:rStyle w:val="CommentReference"/>
        </w:rPr>
        <w:commentReference w:id="28"/>
      </w:r>
      <w:r>
        <w:t>1. Observed trends in Fraser River sockeye salmon productivity (log (recruits per spawner)), aggregate spawner abundance, and aggregate catch (</w:t>
      </w:r>
      <w:r w:rsidR="00D663FC">
        <w:t>a-c</w:t>
      </w:r>
      <w:r>
        <w:t>). 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20519113" w14:textId="77777777" w:rsidR="00353067" w:rsidRDefault="005B527F" w:rsidP="00353067">
      <w:pPr>
        <w:rPr>
          <w:ins w:id="29" w:author="DFO-MPO" w:date="2018-09-11T10:57:00Z"/>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w:t>
      </w:r>
      <w:ins w:id="30" w:author="DFO-MPO" w:date="2018-09-11T10:56:00Z">
        <w:r w:rsidR="00353067">
          <w:rPr>
            <w:rFonts w:eastAsiaTheme="minorEastAsia"/>
          </w:rPr>
          <w:t>ly low</w:t>
        </w:r>
      </w:ins>
      <w:r w:rsidR="00063326">
        <w:rPr>
          <w:rFonts w:eastAsiaTheme="minorEastAsia"/>
        </w:rPr>
        <w:t>,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w:t>
      </w:r>
      <w:ins w:id="31" w:author="DFO-MPO" w:date="2018-09-11T10:57:00Z">
        <w:r w:rsidR="00353067">
          <w:rPr>
            <w:rFonts w:eastAsiaTheme="minorEastAsia"/>
          </w:rPr>
          <w:t xml:space="preserve">As expected, increasing </w:t>
        </w:r>
        <m:oMath>
          <m:r>
            <w:rPr>
              <w:rFonts w:ascii="Cambria Math" w:hAnsi="Cambria Math"/>
            </w:rPr>
            <m:t>σ</m:t>
          </m:r>
        </m:oMath>
        <w:r w:rsidR="00353067">
          <w:rPr>
            <w:rFonts w:eastAsiaTheme="minorEastAsia"/>
          </w:rPr>
          <w:t xml:space="preserve"> and </w:t>
        </w:r>
        <m:oMath>
          <m:r>
            <w:rPr>
              <w:rFonts w:ascii="Cambria Math" w:hAnsi="Cambria Math"/>
            </w:rPr>
            <m:t>ρ</m:t>
          </m:r>
        </m:oMath>
        <w:r w:rsidR="00353067">
          <w:rPr>
            <w:rFonts w:eastAsiaTheme="minorEastAsia"/>
          </w:rPr>
          <w:t xml:space="preserve"> resulted in increases in CV</w:t>
        </w:r>
        <w:r w:rsidR="00353067" w:rsidRPr="006444C1">
          <w:rPr>
            <w:rFonts w:eastAsiaTheme="minorEastAsia"/>
            <w:vertAlign w:val="subscript"/>
          </w:rPr>
          <w:t>C</w:t>
        </w:r>
        <w:r w:rsidR="00353067">
          <w:rPr>
            <w:rFonts w:eastAsiaTheme="minorEastAsia"/>
          </w:rPr>
          <w:t xml:space="preserve"> and synchrony. These patterns were not strongly influenced by the productivity regime in the model (Figure 2). </w:t>
        </w:r>
        <w:commentRangeStart w:id="32"/>
        <w:r w:rsidR="00353067">
          <w:rPr>
            <w:rFonts w:eastAsiaTheme="minorEastAsia"/>
          </w:rPr>
          <w:t xml:space="preserve">We use </w:t>
        </w:r>
        <m:oMath>
          <m:r>
            <w:rPr>
              <w:rFonts w:ascii="Cambria Math" w:hAnsi="Cambria Math"/>
            </w:rPr>
            <m:t>σ</m:t>
          </m:r>
        </m:oMath>
        <w:r w:rsidR="00353067">
          <w:rPr>
            <w:rFonts w:eastAsiaTheme="minorEastAsia"/>
          </w:rPr>
          <w:t>as a measure of CV</w:t>
        </w:r>
        <w:r w:rsidR="00353067" w:rsidRPr="006444C1">
          <w:rPr>
            <w:rFonts w:eastAsiaTheme="minorEastAsia"/>
            <w:vertAlign w:val="subscript"/>
          </w:rPr>
          <w:t>C</w:t>
        </w:r>
        <w:r w:rsidR="00353067">
          <w:rPr>
            <w:rFonts w:eastAsiaTheme="minorEastAsia"/>
          </w:rPr>
          <w:t xml:space="preserve"> and </w:t>
        </w:r>
        <m:oMath>
          <m:r>
            <w:rPr>
              <w:rFonts w:ascii="Cambria Math" w:hAnsi="Cambria Math"/>
            </w:rPr>
            <m:t xml:space="preserve">ρ </m:t>
          </m:r>
        </m:oMath>
        <w:r w:rsidR="00353067">
          <w:rPr>
            <w:rFonts w:eastAsiaTheme="minorEastAsia"/>
          </w:rPr>
          <w:t>as a measure of synchrony in subsequent results.</w:t>
        </w:r>
        <w:commentRangeEnd w:id="32"/>
      </w:ins>
    </w:p>
    <w:p w14:paraId="655310C4" w14:textId="743742D1" w:rsidR="0093252F" w:rsidDel="00353067" w:rsidRDefault="00353067" w:rsidP="00A91A4F">
      <w:pPr>
        <w:rPr>
          <w:del w:id="33" w:author="DFO-MPO" w:date="2018-09-11T10:57:00Z"/>
          <w:rFonts w:eastAsiaTheme="minorEastAsia"/>
        </w:rPr>
      </w:pPr>
      <w:ins w:id="34" w:author="DFO-MPO" w:date="2018-09-11T10:57:00Z">
        <w:r>
          <w:rPr>
            <w:rStyle w:val="CommentReference"/>
          </w:rPr>
          <w:commentReference w:id="32"/>
        </w:r>
      </w:ins>
      <w:del w:id="35" w:author="DFO-MPO" w:date="2018-09-11T10:57:00Z">
        <w:r w:rsidR="00A43A81" w:rsidDel="00353067">
          <w:rPr>
            <w:rFonts w:eastAsiaTheme="minorEastAsia"/>
          </w:rPr>
          <w:delText>These patterns were not strongly influenced by the productivity regime in the model (Figure 2)</w:delText>
        </w:r>
        <w:r w:rsidR="0093252F" w:rsidDel="00353067">
          <w:rPr>
            <w:rFonts w:eastAsiaTheme="minorEastAsia"/>
          </w:rPr>
          <w:delText>.</w:delText>
        </w:r>
      </w:del>
    </w:p>
    <w:p w14:paraId="245C62D7" w14:textId="5F04B15B" w:rsidR="005B527F" w:rsidRDefault="00511A34">
      <w:pPr>
        <w:jc w:val="center"/>
        <w:rPr>
          <w:rFonts w:eastAsiaTheme="minorEastAsia"/>
        </w:rPr>
        <w:pPrChange w:id="36" w:author="DFO-MPO" w:date="2018-09-11T10:57:00Z">
          <w:pPr/>
        </w:pPrChange>
      </w:pPr>
      <w:r>
        <w:rPr>
          <w:rFonts w:eastAsiaTheme="minorEastAsia"/>
          <w:noProof/>
          <w:lang w:eastAsia="en-CA"/>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Default="0093252F" w:rsidP="00A91A4F">
      <w:pPr>
        <w:rPr>
          <w:rFonts w:eastAsiaTheme="minorEastAsia"/>
        </w:rPr>
      </w:pPr>
      <w:r>
        <w:rPr>
          <w:rFonts w:eastAsiaTheme="minorEastAsia"/>
        </w:rPr>
        <w:t xml:space="preserve">Figure 2.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and </w:t>
      </w:r>
      <m:oMath>
        <m:r>
          <w:rPr>
            <w:rFonts w:ascii="Cambria Math" w:hAnsi="Cambria Math"/>
          </w:rPr>
          <m:t>ρ</m:t>
        </m:r>
      </m:oMath>
      <w:r w:rsidR="00511A34">
        <w:rPr>
          <w:rFonts w:eastAsiaTheme="minorEastAsia"/>
        </w:rPr>
        <w:t>, respectively. Trends in the observed stock-recruitment dataset are shown in black, the dashed line represents the beginning of the simulation period, and colored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2A21569A" w:rsidR="00063326" w:rsidRDefault="00063326" w:rsidP="00A91A4F">
      <w:pPr>
        <w:rPr>
          <w:rFonts w:eastAsiaTheme="minorEastAsia"/>
        </w:rPr>
      </w:pPr>
      <w:r>
        <w:rPr>
          <w:rFonts w:eastAsiaTheme="minorEastAsia"/>
        </w:rPr>
        <w:tab/>
        <w:t>Changes in CV</w:t>
      </w:r>
      <w:r>
        <w:rPr>
          <w:rFonts w:eastAsiaTheme="minorEastAsia"/>
          <w:vertAlign w:val="subscript"/>
        </w:rPr>
        <w:t>C</w:t>
      </w:r>
      <w:r>
        <w:rPr>
          <w:rFonts w:eastAsiaTheme="minorEastAsia"/>
        </w:rPr>
        <w:t xml:space="preserve"> and </w:t>
      </w:r>
      <w:r w:rsidR="00774187">
        <w:rPr>
          <w:rFonts w:eastAsiaTheme="minorEastAsia"/>
        </w:rPr>
        <w:t xml:space="preserve">synchrony interacted to produce relatively strong impacts on certain </w:t>
      </w:r>
      <w:r w:rsidR="00712E03">
        <w:rPr>
          <w:rFonts w:eastAsiaTheme="minorEastAsia"/>
        </w:rPr>
        <w:t xml:space="preserve">conservation-based </w:t>
      </w:r>
      <w:r w:rsidR="00774187">
        <w:rPr>
          <w:rFonts w:eastAsiaTheme="minorEastAsia"/>
        </w:rPr>
        <w:t>performance metrics, but had negligible</w:t>
      </w:r>
      <w:r w:rsidR="003B24CC">
        <w:rPr>
          <w:rFonts w:eastAsiaTheme="minorEastAsia"/>
        </w:rPr>
        <w:t xml:space="preserve"> or contrasting</w:t>
      </w:r>
      <w:r w:rsidR="00774187">
        <w:rPr>
          <w:rFonts w:eastAsiaTheme="minorEastAsia"/>
        </w:rPr>
        <w:t xml:space="preserve"> effects on others. </w:t>
      </w:r>
      <w:commentRangeStart w:id="37"/>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37"/>
      <w:r w:rsidR="002A7AB5">
        <w:rPr>
          <w:rStyle w:val="CommentReference"/>
        </w:rPr>
        <w:commentReference w:id="37"/>
      </w:r>
      <w:r w:rsidR="00774187">
        <w:rPr>
          <w:rFonts w:eastAsiaTheme="minorEastAsia"/>
        </w:rPr>
        <w:t>Conversely, higher levels of CV</w:t>
      </w:r>
      <w:r w:rsidR="00774187">
        <w:rPr>
          <w:rFonts w:eastAsiaTheme="minorEastAsia"/>
          <w:vertAlign w:val="subscript"/>
        </w:rPr>
        <w:t xml:space="preserve">C </w:t>
      </w:r>
      <w:r w:rsidR="00774187">
        <w:rPr>
          <w:rFonts w:eastAsiaTheme="minorEastAsia"/>
        </w:rPr>
        <w:t>were associated with a smaller proportion of CUs being above their lower biological benchmark (S</w:t>
      </w:r>
      <w:r w:rsidR="00774187">
        <w:rPr>
          <w:rFonts w:eastAsiaTheme="minorEastAsia"/>
          <w:vertAlign w:val="subscript"/>
        </w:rPr>
        <w:t>gen</w:t>
      </w:r>
      <w:r w:rsidR="00F8390D">
        <w:rPr>
          <w:rFonts w:eastAsiaTheme="minorEastAsia"/>
        </w:rPr>
        <w:t xml:space="preserve">) and </w:t>
      </w:r>
      <w:r w:rsidR="00774187">
        <w:rPr>
          <w:rFonts w:eastAsiaTheme="minorEastAsia"/>
        </w:rPr>
        <w:t>increasing synchrony only increased variability among trials</w:t>
      </w:r>
      <w:r w:rsidR="00871917">
        <w:rPr>
          <w:rFonts w:eastAsiaTheme="minorEastAsia"/>
        </w:rPr>
        <w:t xml:space="preserve"> (Figure 3b). A similar, albeit weaker, relationship occurred in the proportion of CUs above their upper </w:t>
      </w:r>
      <w:r w:rsidR="00871917">
        <w:rPr>
          <w:rFonts w:eastAsiaTheme="minorEastAsia"/>
        </w:rPr>
        <w:lastRenderedPageBreak/>
        <w:t xml:space="preserve">biological </w:t>
      </w:r>
      <w:r w:rsidR="00774187">
        <w:rPr>
          <w:rFonts w:eastAsiaTheme="minorEastAsia"/>
        </w:rPr>
        <w:t>benchmark (S</w:t>
      </w:r>
      <w:r w:rsidR="00774187">
        <w:rPr>
          <w:rFonts w:eastAsiaTheme="minorEastAsia"/>
          <w:vertAlign w:val="subscript"/>
        </w:rPr>
        <w:t>MSY</w:t>
      </w:r>
      <w:r w:rsidR="00871917">
        <w:rPr>
          <w:rFonts w:eastAsiaTheme="minorEastAsia"/>
        </w:rPr>
        <w:t>; Figure 3c</w:t>
      </w:r>
      <w:r w:rsidR="00774187">
        <w:rPr>
          <w:rFonts w:eastAsiaTheme="minorEastAsia"/>
        </w:rPr>
        <w:t>)</w:t>
      </w:r>
      <w:r w:rsidR="00871917">
        <w:rPr>
          <w:rFonts w:eastAsiaTheme="minorEastAsia"/>
        </w:rPr>
        <w:t>,</w:t>
      </w:r>
      <w:r w:rsidR="00F8390D">
        <w:rPr>
          <w:rFonts w:eastAsiaTheme="minorEastAsia"/>
        </w:rPr>
        <w:t xml:space="preserve"> </w:t>
      </w:r>
      <w:commentRangeStart w:id="38"/>
      <w:r w:rsidR="00F8390D">
        <w:rPr>
          <w:rFonts w:eastAsiaTheme="minorEastAsia"/>
        </w:rPr>
        <w:t>while</w:t>
      </w:r>
      <w:r w:rsidR="00871917">
        <w:rPr>
          <w:rFonts w:eastAsiaTheme="minorEastAsia"/>
        </w:rPr>
        <w:t xml:space="preserve"> the </w:t>
      </w:r>
      <w:r w:rsidR="00774187">
        <w:rPr>
          <w:rFonts w:eastAsiaTheme="minorEastAsia"/>
        </w:rPr>
        <w:t>proportion of CUs that were ext</w:t>
      </w:r>
      <w:r w:rsidR="00712E03">
        <w:rPr>
          <w:rFonts w:eastAsiaTheme="minorEastAsia"/>
        </w:rPr>
        <w:t xml:space="preserve">ant </w:t>
      </w:r>
      <w:r w:rsidR="00871917">
        <w:rPr>
          <w:rFonts w:eastAsiaTheme="minorEastAsia"/>
        </w:rPr>
        <w:t>at the end of the simulation was</w:t>
      </w:r>
      <w:r w:rsidR="00F8390D">
        <w:rPr>
          <w:rFonts w:eastAsiaTheme="minorEastAsia"/>
        </w:rPr>
        <w:t xml:space="preserve"> largely</w:t>
      </w:r>
      <w:r w:rsidR="00871917">
        <w:rPr>
          <w:rFonts w:eastAsiaTheme="minorEastAsia"/>
        </w:rPr>
        <w:t xml:space="preserve"> independent of</w:t>
      </w:r>
      <w:r w:rsidR="00F8390D">
        <w:rPr>
          <w:rFonts w:eastAsiaTheme="minorEastAsia"/>
        </w:rPr>
        <w:t xml:space="preserve"> component</w:t>
      </w:r>
      <w:r w:rsidR="00871917">
        <w:rPr>
          <w:rFonts w:eastAsiaTheme="minorEastAsia"/>
        </w:rPr>
        <w:t xml:space="preserve"> variability and synchrony (Figure 3d)</w:t>
      </w:r>
      <w:r w:rsidR="00712E03">
        <w:rPr>
          <w:rFonts w:eastAsiaTheme="minorEastAsia"/>
        </w:rPr>
        <w:t>.</w:t>
      </w:r>
      <w:commentRangeEnd w:id="38"/>
      <w:r w:rsidR="00F8390D">
        <w:rPr>
          <w:rStyle w:val="CommentReference"/>
        </w:rPr>
        <w:commentReference w:id="38"/>
      </w:r>
    </w:p>
    <w:p w14:paraId="7C41AD17" w14:textId="0138EC65" w:rsidR="004709A6" w:rsidRPr="00F8390D" w:rsidRDefault="003B24CC" w:rsidP="004709A6">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3e,f,g).</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ed operating model</w:t>
      </w:r>
      <w:r>
        <w:rPr>
          <w:rFonts w:eastAsiaTheme="minorEastAsia"/>
        </w:rPr>
        <w:t xml:space="preserve"> relative to the </w:t>
      </w:r>
      <w:r w:rsidR="00F8390D">
        <w:rPr>
          <w:rFonts w:eastAsiaTheme="minorEastAsia"/>
        </w:rPr>
        <w:t>reference productivity scenario and led to fewer CUs being above their biological benchmarks even when CV</w:t>
      </w:r>
      <w:r w:rsidR="00F8390D">
        <w:rPr>
          <w:rFonts w:eastAsiaTheme="minorEastAsia"/>
          <w:vertAlign w:val="subscript"/>
        </w:rPr>
        <w:t>C</w:t>
      </w:r>
      <w:r w:rsidR="00F8390D">
        <w:rPr>
          <w:rFonts w:eastAsiaTheme="minorEastAsia"/>
        </w:rPr>
        <w:t xml:space="preserve"> was low (Figure 3f,g)</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39"/>
      <w:r>
        <w:rPr>
          <w:rFonts w:eastAsiaTheme="minorEastAsia"/>
          <w:noProof/>
          <w:lang w:eastAsia="en-CA"/>
        </w:rPr>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39"/>
      <w:r>
        <w:rPr>
          <w:rStyle w:val="CommentReference"/>
        </w:rPr>
        <w:commentReference w:id="39"/>
      </w:r>
    </w:p>
    <w:p w14:paraId="4E8B9CE3" w14:textId="6E262346" w:rsidR="00A43A81" w:rsidRDefault="00871917" w:rsidP="00A43A81">
      <w:pPr>
        <w:rPr>
          <w:rFonts w:eastAsiaTheme="minorEastAsia"/>
        </w:rPr>
      </w:pPr>
      <w:r>
        <w:rPr>
          <w:rFonts w:eastAsiaTheme="minorEastAsia"/>
        </w:rPr>
        <w:t>Figure 3</w:t>
      </w:r>
      <w:r w:rsidR="00A43A81">
        <w:rPr>
          <w:rFonts w:eastAsiaTheme="minorEastAsia"/>
        </w:rPr>
        <w:t>. Effects of component variability and synchrony on conservation-based per</w:t>
      </w:r>
      <w:r>
        <w:rPr>
          <w:rFonts w:eastAsiaTheme="minorEastAsia"/>
        </w:rPr>
        <w:t xml:space="preserve">formance measures. Points represent medians and whiskers 90% posterior interval among </w:t>
      </w:r>
      <w:commentRangeStart w:id="40"/>
      <w:r>
        <w:rPr>
          <w:rFonts w:eastAsiaTheme="minorEastAsia"/>
        </w:rPr>
        <w:t xml:space="preserve">250 </w:t>
      </w:r>
      <w:commentRangeEnd w:id="40"/>
      <w:r>
        <w:rPr>
          <w:rStyle w:val="CommentReference"/>
        </w:rPr>
        <w:commentReference w:id="40"/>
      </w:r>
      <w:r>
        <w:rPr>
          <w:rFonts w:eastAsiaTheme="minorEastAsia"/>
        </w:rPr>
        <w:t>simulation runs.</w:t>
      </w:r>
    </w:p>
    <w:p w14:paraId="7E015955" w14:textId="1E300DD1" w:rsidR="004709A6" w:rsidRPr="004709A6" w:rsidRDefault="004709A6" w:rsidP="00A43A81">
      <w:pPr>
        <w:rPr>
          <w:rFonts w:eastAsiaTheme="minorEastAsia"/>
        </w:rPr>
      </w:pPr>
    </w:p>
    <w:p w14:paraId="10001BF2" w14:textId="2474C9E4" w:rsidR="00F8390D" w:rsidRDefault="002A7AB5" w:rsidP="004709A6">
      <w:pPr>
        <w:ind w:firstLine="720"/>
        <w:rPr>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w:t>
      </w:r>
      <w:del w:id="41" w:author="DFO-MPO" w:date="2018-09-11T11:44:00Z">
        <w:r w:rsidDel="00EF79E0">
          <w:rPr>
            <w:rFonts w:eastAsiaTheme="minorEastAsia"/>
          </w:rPr>
          <w:delText xml:space="preserve">severe </w:delText>
        </w:r>
      </w:del>
      <w:ins w:id="42" w:author="DFO-MPO" w:date="2018-09-11T11:44:00Z">
        <w:r w:rsidR="00EF79E0">
          <w:rPr>
            <w:rFonts w:eastAsiaTheme="minorEastAsia"/>
          </w:rPr>
          <w:t xml:space="preserve">large </w:t>
        </w:r>
      </w:ins>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Similarly to recruit abundance, median catches were positively correlated with component variability as long as synchrony remained low</w:t>
      </w:r>
      <w:r w:rsidR="003B24CC">
        <w:rPr>
          <w:rFonts w:eastAsiaTheme="minorEastAsia"/>
        </w:rPr>
        <w:t xml:space="preserve">, but this relationship weakened or reversed as </w:t>
      </w:r>
      <w:r w:rsidR="003B24CC">
        <w:rPr>
          <w:rFonts w:eastAsiaTheme="minorEastAsia"/>
        </w:rPr>
        <w:lastRenderedPageBreak/>
        <w:t>synchrony increased</w:t>
      </w:r>
      <w:r>
        <w:rPr>
          <w:rFonts w:eastAsiaTheme="minorEastAsia"/>
        </w:rPr>
        <w:t xml:space="preserve"> (Figure 4a)</w:t>
      </w:r>
      <w:r w:rsidR="003B24CC">
        <w:rPr>
          <w:rFonts w:eastAsiaTheme="minorEastAsia"/>
        </w:rPr>
        <w:t>.</w:t>
      </w:r>
      <w:r>
        <w:rPr>
          <w:rFonts w:eastAsiaTheme="minorEastAsia"/>
        </w:rPr>
        <w:t xml:space="preserve"> </w:t>
      </w:r>
      <w:r w:rsidR="003B24CC">
        <w:rPr>
          <w:rFonts w:eastAsiaTheme="minorEastAsia"/>
        </w:rPr>
        <w:t>I</w:t>
      </w:r>
      <w:r>
        <w:rPr>
          <w:rFonts w:eastAsiaTheme="minorEastAsia"/>
        </w:rPr>
        <w:t>nterannual catch stability</w:t>
      </w:r>
      <w:r w:rsidR="003B24CC">
        <w:rPr>
          <w:rFonts w:eastAsiaTheme="minorEastAsia"/>
        </w:rPr>
        <w:t xml:space="preserve"> (i.e. the inverse of median interannual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For example, median interannual fluctuations in aggregate c</w:t>
      </w:r>
      <w:r w:rsidR="003B24CC">
        <w:rPr>
          <w:rFonts w:eastAsiaTheme="minorEastAsia"/>
        </w:rPr>
        <w:t>atch</w:t>
      </w:r>
      <w:r w:rsidR="00A2678F">
        <w:rPr>
          <w:rFonts w:eastAsiaTheme="minorEastAsia"/>
        </w:rPr>
        <w:t>es increased from 45% (37-56% 90% PI) to 73% (59-83% 90% PI) when CV</w:t>
      </w:r>
      <w:r w:rsidR="00A2678F">
        <w:rPr>
          <w:rFonts w:eastAsiaTheme="minorEastAsia"/>
          <w:vertAlign w:val="subscript"/>
        </w:rPr>
        <w:t xml:space="preserve">c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 xml:space="preserve">he proportion of years where aggregate TAC was </w:t>
      </w:r>
      <w:del w:id="43" w:author="DFO-MPO" w:date="2018-09-11T11:44:00Z">
        <w:r w:rsidR="00B01A4C" w:rsidDel="00EF79E0">
          <w:rPr>
            <w:rFonts w:eastAsiaTheme="minorEastAsia"/>
          </w:rPr>
          <w:delText xml:space="preserve">below </w:delText>
        </w:r>
      </w:del>
      <w:ins w:id="44" w:author="DFO-MPO" w:date="2018-09-11T11:44:00Z">
        <w:r w:rsidR="00EF79E0">
          <w:rPr>
            <w:rFonts w:eastAsiaTheme="minorEastAsia"/>
          </w:rPr>
          <w:t xml:space="preserve">above </w:t>
        </w:r>
      </w:ins>
      <w:r w:rsidR="00B01A4C">
        <w:rPr>
          <w:rFonts w:eastAsiaTheme="minorEastAsia"/>
        </w:rPr>
        <w:t>a critical threshold (</w:t>
      </w:r>
      <w:r w:rsidR="009F7091">
        <w:rPr>
          <w:rFonts w:eastAsiaTheme="minorEastAsia"/>
        </w:rPr>
        <w:t>1,0</w:t>
      </w:r>
      <w:r w:rsidR="00B01A4C">
        <w:rPr>
          <w:rFonts w:eastAsiaTheme="minorEastAsia"/>
        </w:rPr>
        <w:t xml:space="preserve">00,000) </w:t>
      </w:r>
      <w:del w:id="45" w:author="DFO-MPO" w:date="2018-09-11T11:44:00Z">
        <w:r w:rsidR="00B01A4C" w:rsidDel="00EF79E0">
          <w:rPr>
            <w:rFonts w:eastAsiaTheme="minorEastAsia"/>
          </w:rPr>
          <w:delText xml:space="preserve">increased </w:delText>
        </w:r>
      </w:del>
      <w:ins w:id="46" w:author="DFO-MPO" w:date="2018-09-11T11:44:00Z">
        <w:r w:rsidR="00EF79E0">
          <w:rPr>
            <w:rFonts w:eastAsiaTheme="minorEastAsia"/>
          </w:rPr>
          <w:t xml:space="preserve">decreased </w:t>
        </w:r>
      </w:ins>
      <w:r w:rsidR="00B01A4C">
        <w:rPr>
          <w:rFonts w:eastAsiaTheme="minorEastAsia"/>
        </w:rPr>
        <w:t xml:space="preserve">by approximately </w:t>
      </w:r>
      <w:r w:rsidR="009F7091">
        <w:rPr>
          <w:rFonts w:eastAsiaTheme="minorEastAsia"/>
        </w:rPr>
        <w:t>15</w:t>
      </w:r>
      <w:r w:rsidR="00B01A4C">
        <w:rPr>
          <w:rFonts w:eastAsiaTheme="minorEastAsia"/>
        </w:rPr>
        <w:t xml:space="preserve">% when component CV and 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Interestingly the effects of switching from reference to skewed productivity deviations had weaker effects on catch PMs than conservation PMs. While median catches decreased considerably (Fig. 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47"/>
      <w:r w:rsidR="00B32293">
        <w:rPr>
          <w:rFonts w:eastAsiaTheme="minorEastAsia"/>
          <w:noProof/>
          <w:lang w:eastAsia="en-CA"/>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47"/>
      <w:r w:rsidR="00B32293">
        <w:rPr>
          <w:rStyle w:val="CommentReference"/>
        </w:rPr>
        <w:commentReference w:id="47"/>
      </w:r>
    </w:p>
    <w:p w14:paraId="569677C0" w14:textId="3522ABEA" w:rsidR="004709A6" w:rsidRDefault="004709A6" w:rsidP="004709A6">
      <w:pPr>
        <w:rPr>
          <w:rFonts w:eastAsiaTheme="minorEastAsia"/>
        </w:rPr>
      </w:pPr>
      <w:r>
        <w:rPr>
          <w:rFonts w:eastAsiaTheme="minorEastAsia"/>
        </w:rPr>
        <w:t xml:space="preserve">Figure 4. Effects of component variability and synchrony on catch-based performance measures. Points represent medians and whiskers 90% posterior interval among </w:t>
      </w:r>
      <w:commentRangeStart w:id="48"/>
      <w:r>
        <w:rPr>
          <w:rFonts w:eastAsiaTheme="minorEastAsia"/>
        </w:rPr>
        <w:t xml:space="preserve">250 </w:t>
      </w:r>
      <w:commentRangeEnd w:id="48"/>
      <w:r>
        <w:rPr>
          <w:rStyle w:val="CommentReference"/>
        </w:rPr>
        <w:commentReference w:id="48"/>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lastRenderedPageBreak/>
        <w:tab/>
        <w:t xml:space="preserve">CU-specific median spawner abundances </w:t>
      </w:r>
      <w:r w:rsidR="00956286">
        <w:rPr>
          <w:rFonts w:eastAsiaTheme="minorEastAsia"/>
        </w:rPr>
        <w:t xml:space="preserve">declined with greater component variability and when recruitment deviations were sampled from a skewed distribution. Shifts in median abundance relative to biological benchmarks were actually more severe in a relatively healthy CU (Chilko) because the depleted CU (Cultus) did not exhibit a high likelihood of recovery even when component variability was low and intermitted recruitment failures were not incorporated (Figure 5). </w:t>
      </w:r>
      <w:r w:rsidR="00F8390D">
        <w:rPr>
          <w:rFonts w:eastAsiaTheme="minorEastAsia"/>
        </w:rPr>
        <w:t xml:space="preserve">Median spawner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4C69D7">
      <w:pPr>
        <w:spacing w:line="240" w:lineRule="auto"/>
        <w:jc w:val="center"/>
      </w:pPr>
      <w:r>
        <w:rPr>
          <w:rStyle w:val="CommentReference"/>
        </w:rPr>
        <w:commentReference w:id="49"/>
      </w:r>
      <w:r>
        <w:rPr>
          <w:noProof/>
          <w:lang w:eastAsia="en-CA"/>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r>
        <w:t>Figure 5. Distributions of CU-specific median spawner abundance (among 250 trials) across different levels of component variability (shading) and two productivity regimes for Chilko (top) and Cultus (bottom) CUs. The vertical dashed line represents each CU’s upper biological benchmark (S</w:t>
      </w:r>
      <w:r>
        <w:rPr>
          <w:vertAlign w:val="subscript"/>
        </w:rPr>
        <w:t>msy</w:t>
      </w:r>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2D6BA6">
      <w:pPr>
        <w:jc w:val="center"/>
      </w:pPr>
      <w:commentRangeStart w:id="50"/>
      <w:r>
        <w:rPr>
          <w:noProof/>
          <w:lang w:eastAsia="en-CA"/>
        </w:rPr>
        <w:lastRenderedPageBreak/>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50"/>
      <w:r>
        <w:rPr>
          <w:rStyle w:val="CommentReference"/>
        </w:rPr>
        <w:commentReference w:id="50"/>
      </w:r>
    </w:p>
    <w:p w14:paraId="670FE2F0" w14:textId="167BFA5C" w:rsidR="00F8390D" w:rsidRDefault="00F8390D" w:rsidP="00F8390D">
      <w:r>
        <w:t>Figure S1. Distributions of CU-specific median spawner abundance (among 250 trials) across different levels of synchrony (shading) and two productivity regimes for Chilko (top) and Cultus (bottom) CUs. The vertical dashed line represents each CU’s upper biological benchmark (S</w:t>
      </w:r>
      <w:r>
        <w:rPr>
          <w:vertAlign w:val="subscript"/>
        </w:rPr>
        <w:t>msy</w:t>
      </w:r>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51"/>
      <w:r>
        <w:t xml:space="preserve">A range </w:t>
      </w:r>
      <w:commentRangeEnd w:id="51"/>
      <w:r>
        <w:rPr>
          <w:rStyle w:val="CommentReference"/>
        </w:rPr>
        <w:commentReference w:id="51"/>
      </w:r>
      <w:r>
        <w:t>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metapopulations is often associated with connectivity (i.e. dispersal). Although Fraser River sockeye salmon likely function as a metapopulation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lastRenderedPageBreak/>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29AAC4CC"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9-01T13:06:00Z" w:initials="D">
    <w:p w14:paraId="57C706DD" w14:textId="2B5943BC" w:rsidR="0001087A" w:rsidRDefault="0001087A">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2" w:author="DFO-MPO" w:date="2018-09-01T10:24:00Z" w:initials="D">
    <w:p w14:paraId="23355285" w14:textId="4E3743EE" w:rsidR="0001087A" w:rsidRDefault="0001087A">
      <w:pPr>
        <w:pStyle w:val="CommentText"/>
      </w:pPr>
      <w:r>
        <w:rPr>
          <w:rStyle w:val="CommentReference"/>
        </w:rPr>
        <w:annotationRef/>
      </w:r>
      <w:r>
        <w:t>I know the subscripts used to describe components throughout the ms should be consistent, but I’m not sure what to use. Population is likely the most intuitive; however for our example CU is obviously more accurate. Perhaps component, even though its vague, should be used in the subscripts?</w:t>
      </w:r>
    </w:p>
  </w:comment>
  <w:comment w:id="5" w:author="Cameron Freshwater" w:date="2018-09-02T20:32:00Z" w:initials="CF">
    <w:p w14:paraId="5C7FB770" w14:textId="0CBEC2C0" w:rsidR="0001087A" w:rsidRDefault="0001087A">
      <w:pPr>
        <w:pStyle w:val="CommentText"/>
      </w:pPr>
      <w:r>
        <w:rPr>
          <w:rStyle w:val="CommentReference"/>
        </w:rPr>
        <w:annotationRef/>
      </w:r>
      <w:r>
        <w:t>Ok to cite the WSP status draft?</w:t>
      </w:r>
    </w:p>
  </w:comment>
  <w:comment w:id="6" w:author="Cameron Freshwater" w:date="2018-09-02T13:54:00Z" w:initials="CF">
    <w:p w14:paraId="1F411D00" w14:textId="77777777" w:rsidR="0001087A" w:rsidRDefault="0001087A">
      <w:pPr>
        <w:pStyle w:val="CommentText"/>
      </w:pPr>
      <w:r>
        <w:rPr>
          <w:rStyle w:val="CommentReference"/>
        </w:rPr>
        <w:annotationRef/>
      </w:r>
      <w:r>
        <w:t xml:space="preserve">Necessary to list these somewhere? </w:t>
      </w:r>
    </w:p>
    <w:p w14:paraId="1301AD09" w14:textId="77777777" w:rsidR="0001087A" w:rsidRDefault="0001087A">
      <w:pPr>
        <w:pStyle w:val="CommentText"/>
      </w:pPr>
    </w:p>
    <w:p w14:paraId="30EA0962" w14:textId="3E7D05C8" w:rsidR="0001087A" w:rsidRPr="00D31645" w:rsidRDefault="0001087A">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11" w:author="DFO-MPO" w:date="2018-09-03T09:49:00Z" w:initials="D">
    <w:p w14:paraId="02FE2BBA" w14:textId="58720E24" w:rsidR="0001087A" w:rsidRDefault="0001087A">
      <w:pPr>
        <w:pStyle w:val="CommentText"/>
      </w:pPr>
      <w:r>
        <w:rPr>
          <w:rStyle w:val="CommentReference"/>
        </w:rPr>
        <w:annotationRef/>
      </w:r>
      <w:r>
        <w:t>Basically I used suggested values from Sean’s papers as a starting off point. I then fit univariate skewed student-t distributions to the residuals of each CU’s SR relationship using a maximum likelihood package (selm). Nearly all CUs had evidence of negative skewness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p w14:paraId="4F7F9EB3" w14:textId="77777777" w:rsidR="0001087A" w:rsidRDefault="0001087A">
      <w:pPr>
        <w:pStyle w:val="CommentText"/>
      </w:pPr>
    </w:p>
    <w:p w14:paraId="6DF82093" w14:textId="5ABCDB31" w:rsidR="0001087A" w:rsidRDefault="0001087A">
      <w:pPr>
        <w:pStyle w:val="CommentText"/>
      </w:pPr>
      <w:r>
        <w:t>Assuming everyone agrees this is sufficiently robust, should this analysis be included as a supplement?</w:t>
      </w:r>
    </w:p>
  </w:comment>
  <w:comment w:id="12" w:author="DFO-MPO" w:date="2018-09-11T10:47:00Z" w:initials="D">
    <w:p w14:paraId="04DD9ED2" w14:textId="36A2C2CD" w:rsidR="0001087A" w:rsidRDefault="0001087A">
      <w:pPr>
        <w:pStyle w:val="CommentText"/>
      </w:pPr>
      <w:r>
        <w:rPr>
          <w:rStyle w:val="CommentReference"/>
        </w:rPr>
        <w:annotationRef/>
      </w:r>
      <w:r>
        <w:t xml:space="preserve">CH: </w:t>
      </w:r>
      <w:r>
        <w:rPr>
          <w:rStyle w:val="CommentReference"/>
        </w:rPr>
        <w:annotationRef/>
      </w:r>
      <w:r>
        <w:t>If his approach is used as the base case, I think a sentence describing how resulting in R/S compared to a scenario where productivity declined would be helpful here. (to help justify)</w:t>
      </w:r>
    </w:p>
  </w:comment>
  <w:comment w:id="13" w:author="Cameron Freshwater" w:date="2018-09-02T13:56:00Z" w:initials="CF">
    <w:p w14:paraId="66BE47B8" w14:textId="1C8BAE40" w:rsidR="0001087A" w:rsidRDefault="0001087A">
      <w:pPr>
        <w:pStyle w:val="CommentText"/>
      </w:pPr>
      <w:r>
        <w:rPr>
          <w:rStyle w:val="CommentReference"/>
        </w:rPr>
        <w:annotationRef/>
      </w:r>
      <w:r>
        <w:t>Presented in main text here.</w:t>
      </w:r>
    </w:p>
  </w:comment>
  <w:comment w:id="14" w:author="DFO-MPO" w:date="2018-09-01T12:05:00Z" w:initials="D">
    <w:p w14:paraId="136EE22E" w14:textId="66EDF9D1" w:rsidR="0001087A" w:rsidRDefault="0001087A" w:rsidP="007B4FA6">
      <w:pPr>
        <w:pStyle w:val="CommentText"/>
      </w:pPr>
      <w:r>
        <w:rPr>
          <w:rStyle w:val="CommentReference"/>
        </w:rPr>
        <w:annotationRef/>
      </w:r>
      <w:r>
        <w:t>Really trying to keep the model details in the main text to a minimum but I’m not sure if this is a sufficient amount of detail.</w:t>
      </w:r>
    </w:p>
  </w:comment>
  <w:comment w:id="23" w:author="DFO-MPO" w:date="2018-09-01T13:20:00Z" w:initials="D">
    <w:p w14:paraId="7FEA7EDF" w14:textId="5C35EDCB" w:rsidR="0001087A" w:rsidRDefault="0001087A">
      <w:pPr>
        <w:pStyle w:val="CommentText"/>
      </w:pPr>
      <w:r>
        <w:rPr>
          <w:rStyle w:val="CommentReference"/>
        </w:rPr>
        <w:annotationRef/>
      </w:r>
      <w:r>
        <w:t>Would a table summarizing the PMs be justified?</w:t>
      </w:r>
    </w:p>
  </w:comment>
  <w:comment w:id="24" w:author="DFO-MPO" w:date="2018-08-29T09:09:00Z" w:initials="D">
    <w:p w14:paraId="5B548536" w14:textId="7E67029D" w:rsidR="0001087A" w:rsidRDefault="0001087A">
      <w:pPr>
        <w:pStyle w:val="CommentText"/>
      </w:pPr>
      <w:r>
        <w:rPr>
          <w:rStyle w:val="CommentReference"/>
        </w:rPr>
        <w:annotationRef/>
      </w:r>
      <w:r>
        <w:t>This metric is relatively insensitive because it is rare for any CUs to go extinct – should it still be included?</w:t>
      </w:r>
    </w:p>
  </w:comment>
  <w:comment w:id="25" w:author="DFO-MPO" w:date="2018-09-03T09:55:00Z" w:initials="D">
    <w:p w14:paraId="41F1AE32" w14:textId="050EA645" w:rsidR="0001087A" w:rsidRDefault="0001087A">
      <w:pPr>
        <w:pStyle w:val="CommentText"/>
      </w:pPr>
      <w:r>
        <w:rPr>
          <w:rStyle w:val="CommentReference"/>
        </w:rPr>
        <w:annotationRef/>
      </w:r>
      <w:r>
        <w:t>These two values track each other quite strongly. To balance the catch/cons PMs I’m only currently showing results for the larger value.</w:t>
      </w:r>
    </w:p>
  </w:comment>
  <w:comment w:id="26" w:author="Cameron Freshwater" w:date="2018-09-03T09:57:00Z" w:initials="CF">
    <w:p w14:paraId="1E0D4F54" w14:textId="10A1D887" w:rsidR="0001087A" w:rsidRDefault="0001087A">
      <w:pPr>
        <w:pStyle w:val="CommentText"/>
      </w:pPr>
      <w:r>
        <w:rPr>
          <w:rStyle w:val="CommentReference"/>
        </w:rPr>
        <w:annotationRef/>
      </w:r>
      <w:r>
        <w:t>I feel like this may be confusing to many readers. Should I make them both a function of forecasted abundance (opposite isn’t really tractable based on how TACs are generated)</w:t>
      </w:r>
    </w:p>
  </w:comment>
  <w:comment w:id="27" w:author="DFO-MPO" w:date="2018-08-29T09:18:00Z" w:initials="D">
    <w:p w14:paraId="6442FC48" w14:textId="19E4A93D" w:rsidR="0001087A" w:rsidRDefault="0001087A">
      <w:pPr>
        <w:pStyle w:val="CommentText"/>
      </w:pPr>
      <w:r>
        <w:rPr>
          <w:rStyle w:val="CommentReference"/>
        </w:rPr>
        <w:annotationRef/>
      </w:r>
      <w:r>
        <w:t>Statement explicitly clarifying that this is not a forecasting exercise</w:t>
      </w:r>
    </w:p>
  </w:comment>
  <w:comment w:id="28" w:author="DFO-MPO" w:date="2018-09-02T14:01:00Z" w:initials="D">
    <w:p w14:paraId="5DB9EAE2" w14:textId="580FC405" w:rsidR="0001087A" w:rsidRDefault="0001087A">
      <w:pPr>
        <w:pStyle w:val="CommentText"/>
      </w:pPr>
      <w:r>
        <w:rPr>
          <w:rStyle w:val="CommentReference"/>
        </w:rPr>
        <w:annotationRef/>
      </w:r>
      <w:r>
        <w:t>Although the structure (i.e. 6 panels) will remain the same, I’m planning to redo this currently cumbersome figure to make it more similar to the others in the analysis.</w:t>
      </w:r>
    </w:p>
  </w:comment>
  <w:comment w:id="32" w:author="Holt" w:date="2018-09-11T10:57:00Z" w:initials="CH">
    <w:p w14:paraId="4F93F042" w14:textId="77777777" w:rsidR="0001087A" w:rsidRDefault="0001087A" w:rsidP="00353067">
      <w:pPr>
        <w:pStyle w:val="CommentText"/>
      </w:pPr>
      <w:r>
        <w:rPr>
          <w:rStyle w:val="CommentReference"/>
        </w:rPr>
        <w:annotationRef/>
      </w:r>
      <w:r>
        <w:t>Is this fair to say? If not, suggest rewording the next results (Fig 3-4)</w:t>
      </w:r>
    </w:p>
  </w:comment>
  <w:comment w:id="37" w:author="Cameron Freshwater" w:date="2018-09-02T14:44:00Z" w:initials="CF">
    <w:p w14:paraId="14060C45" w14:textId="0249EC27" w:rsidR="0001087A" w:rsidRDefault="0001087A">
      <w:pPr>
        <w:pStyle w:val="CommentText"/>
      </w:pPr>
      <w:r>
        <w:rPr>
          <w:rStyle w:val="CommentReference"/>
        </w:rPr>
        <w:annotationRef/>
      </w:r>
      <w:r>
        <w:t>Thought about explaining this initially counterintuitive pattern here, but I feel as though its better suited to the discussion</w:t>
      </w:r>
    </w:p>
  </w:comment>
  <w:comment w:id="38" w:author="Cameron Freshwater" w:date="2018-09-03T19:23:00Z" w:initials="CF">
    <w:p w14:paraId="5C0429C3" w14:textId="00D27E99" w:rsidR="0001087A" w:rsidRDefault="0001087A">
      <w:pPr>
        <w:pStyle w:val="CommentText"/>
      </w:pPr>
      <w:r>
        <w:rPr>
          <w:rStyle w:val="CommentReference"/>
        </w:rPr>
        <w:annotationRef/>
      </w:r>
      <w:r>
        <w:t>Note that the quasi-extinction threshold is 100. Increasing it moderately will obviously lead to higher extirpation rates, but I’m not sure what is reasonable considering Cultus has been sustained at equivalent levels (albeit with considerable interventions)</w:t>
      </w:r>
    </w:p>
  </w:comment>
  <w:comment w:id="39" w:author="Cameron Freshwater" w:date="2018-09-03T09:54:00Z" w:initials="CF">
    <w:p w14:paraId="5D4E8DB3" w14:textId="77777777" w:rsidR="0001087A" w:rsidRDefault="0001087A">
      <w:pPr>
        <w:pStyle w:val="CommentText"/>
      </w:pPr>
      <w:r>
        <w:rPr>
          <w:rStyle w:val="CommentReference"/>
        </w:rPr>
        <w:annotationRef/>
      </w:r>
      <w:r>
        <w:t>Right most column (or center) will be dropped in main text; however I still feel presenting this many PMs is too unwieldy and would like to drop the total number to 6 or 4 (i.e. 3 or 2 each of catch/conservation). Given the similarity between Sgen and Smsy I think we can get away with only presenting one and the lack of trends in extirpation suggests that it could be dropped.</w:t>
      </w:r>
    </w:p>
    <w:p w14:paraId="4FEB0710" w14:textId="77777777" w:rsidR="0001087A" w:rsidRDefault="0001087A">
      <w:pPr>
        <w:pStyle w:val="CommentText"/>
      </w:pPr>
    </w:p>
    <w:p w14:paraId="0A021354" w14:textId="012A6A46" w:rsidR="0001087A" w:rsidRDefault="0001087A">
      <w:pPr>
        <w:pStyle w:val="CommentText"/>
      </w:pPr>
      <w:r>
        <w:t xml:space="preserve">For catch PMs I think we should keep median catch and some metric of variability (either stability or CV), as well as one other metric, but I’m unsure which is most relevant. </w:t>
      </w:r>
    </w:p>
  </w:comment>
  <w:comment w:id="40" w:author="Cameron Freshwater" w:date="2018-09-02T14:33:00Z" w:initials="CF">
    <w:p w14:paraId="2D38F0B1" w14:textId="77777777" w:rsidR="0001087A" w:rsidRDefault="0001087A" w:rsidP="00871917">
      <w:pPr>
        <w:pStyle w:val="CommentText"/>
      </w:pPr>
      <w:r>
        <w:rPr>
          <w:rStyle w:val="CommentReference"/>
        </w:rPr>
        <w:annotationRef/>
      </w:r>
      <w:r>
        <w:t>This will be bumped up for final run.</w:t>
      </w:r>
    </w:p>
  </w:comment>
  <w:comment w:id="47" w:author="Cameron Freshwater" w:date="2018-09-02T20:21:00Z" w:initials="CF">
    <w:p w14:paraId="3982B96C" w14:textId="15341598" w:rsidR="0001087A" w:rsidRDefault="0001087A">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01087A" w:rsidRDefault="0001087A">
      <w:pPr>
        <w:pStyle w:val="CommentText"/>
      </w:pPr>
    </w:p>
    <w:p w14:paraId="78A8266D" w14:textId="27E42DD2" w:rsidR="0001087A" w:rsidRDefault="0001087A">
      <w:pPr>
        <w:pStyle w:val="CommentText"/>
      </w:pPr>
      <w:r>
        <w:t>I initially replaced catch variability (i.e. interannual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48" w:author="Cameron Freshwater" w:date="2018-09-03T10:32:00Z" w:initials="CF">
    <w:p w14:paraId="657CDEA2" w14:textId="77777777" w:rsidR="0001087A" w:rsidRDefault="0001087A" w:rsidP="004709A6">
      <w:pPr>
        <w:pStyle w:val="CommentText"/>
      </w:pPr>
      <w:r>
        <w:rPr>
          <w:rStyle w:val="CommentReference"/>
        </w:rPr>
        <w:annotationRef/>
      </w:r>
      <w:r>
        <w:t>This will be bumped up for final run.</w:t>
      </w:r>
    </w:p>
  </w:comment>
  <w:comment w:id="49" w:author="Cameron Freshwater" w:date="2018-09-03T19:11:00Z" w:initials="CF">
    <w:p w14:paraId="406B830F" w14:textId="1FCD59A0" w:rsidR="0001087A" w:rsidRDefault="0001087A">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01087A" w:rsidRDefault="0001087A">
      <w:pPr>
        <w:pStyle w:val="CommentText"/>
      </w:pPr>
    </w:p>
    <w:p w14:paraId="23F4047A" w14:textId="0C0451AD" w:rsidR="0001087A" w:rsidRDefault="0001087A">
      <w:pPr>
        <w:pStyle w:val="CommentText"/>
      </w:pPr>
      <w:r>
        <w:t xml:space="preserve">Carrie is this what you had in mind or did you instead want me to show increases in median </w:t>
      </w:r>
      <w:r w:rsidRPr="00451C26">
        <w:rPr>
          <w:b/>
        </w:rPr>
        <w:t>aggregate</w:t>
      </w:r>
      <w:r>
        <w:t xml:space="preserve"> spawner abundance when CVc is high and synchrony is low (i.e. the statistical artefact)?</w:t>
      </w:r>
    </w:p>
  </w:comment>
  <w:comment w:id="50" w:author="Cameron Freshwater" w:date="2018-09-03T19:31:00Z" w:initials="CF">
    <w:p w14:paraId="7EDC2E30" w14:textId="128F6C11" w:rsidR="0001087A" w:rsidRDefault="0001087A">
      <w:pPr>
        <w:pStyle w:val="CommentText"/>
      </w:pPr>
      <w:r>
        <w:rPr>
          <w:rStyle w:val="CommentReference"/>
        </w:rPr>
        <w:annotationRef/>
      </w:r>
      <w:r>
        <w:t>If retained this will go in a supplement</w:t>
      </w:r>
    </w:p>
  </w:comment>
  <w:comment w:id="51" w:author="DFO-MPO" w:date="2018-08-20T10:28:00Z" w:initials="D">
    <w:p w14:paraId="6569B4E5" w14:textId="77777777" w:rsidR="0001087A" w:rsidRDefault="0001087A"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417"/>
    <w:rsid w:val="0001087A"/>
    <w:rsid w:val="000130FD"/>
    <w:rsid w:val="00022839"/>
    <w:rsid w:val="00041C3D"/>
    <w:rsid w:val="00044112"/>
    <w:rsid w:val="00063194"/>
    <w:rsid w:val="00063326"/>
    <w:rsid w:val="00064853"/>
    <w:rsid w:val="000715F4"/>
    <w:rsid w:val="00076F0E"/>
    <w:rsid w:val="000835A0"/>
    <w:rsid w:val="000873ED"/>
    <w:rsid w:val="000C23EB"/>
    <w:rsid w:val="000C51BA"/>
    <w:rsid w:val="000E1287"/>
    <w:rsid w:val="000E43A3"/>
    <w:rsid w:val="000F2E0D"/>
    <w:rsid w:val="00105D86"/>
    <w:rsid w:val="00107E59"/>
    <w:rsid w:val="00114E9C"/>
    <w:rsid w:val="00125432"/>
    <w:rsid w:val="00142953"/>
    <w:rsid w:val="001463EA"/>
    <w:rsid w:val="00155B1C"/>
    <w:rsid w:val="00161092"/>
    <w:rsid w:val="00162C8A"/>
    <w:rsid w:val="00166B5A"/>
    <w:rsid w:val="00176F58"/>
    <w:rsid w:val="00177C7C"/>
    <w:rsid w:val="00182788"/>
    <w:rsid w:val="00182BF5"/>
    <w:rsid w:val="00192B01"/>
    <w:rsid w:val="00194792"/>
    <w:rsid w:val="00196031"/>
    <w:rsid w:val="001A61A9"/>
    <w:rsid w:val="001B700F"/>
    <w:rsid w:val="001D36DC"/>
    <w:rsid w:val="001D4E33"/>
    <w:rsid w:val="001E3FCB"/>
    <w:rsid w:val="001F4BE2"/>
    <w:rsid w:val="00207CE4"/>
    <w:rsid w:val="00211AC2"/>
    <w:rsid w:val="002317A6"/>
    <w:rsid w:val="002343E7"/>
    <w:rsid w:val="00240A6D"/>
    <w:rsid w:val="0025035C"/>
    <w:rsid w:val="002632D7"/>
    <w:rsid w:val="00273B50"/>
    <w:rsid w:val="00274866"/>
    <w:rsid w:val="002800A9"/>
    <w:rsid w:val="00283AFA"/>
    <w:rsid w:val="00294313"/>
    <w:rsid w:val="002A27DA"/>
    <w:rsid w:val="002A5B41"/>
    <w:rsid w:val="002A7562"/>
    <w:rsid w:val="002A7AB5"/>
    <w:rsid w:val="002B0FBF"/>
    <w:rsid w:val="002B2200"/>
    <w:rsid w:val="002B2D86"/>
    <w:rsid w:val="002B460B"/>
    <w:rsid w:val="002C62BE"/>
    <w:rsid w:val="002D6BA6"/>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53067"/>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E748B"/>
    <w:rsid w:val="003F5C0E"/>
    <w:rsid w:val="0041059E"/>
    <w:rsid w:val="00422BF4"/>
    <w:rsid w:val="00424B71"/>
    <w:rsid w:val="004270DD"/>
    <w:rsid w:val="0042726A"/>
    <w:rsid w:val="004272D3"/>
    <w:rsid w:val="0045142B"/>
    <w:rsid w:val="00451C26"/>
    <w:rsid w:val="004526B1"/>
    <w:rsid w:val="00463966"/>
    <w:rsid w:val="00463DBD"/>
    <w:rsid w:val="004709A6"/>
    <w:rsid w:val="0047719C"/>
    <w:rsid w:val="00484993"/>
    <w:rsid w:val="00485670"/>
    <w:rsid w:val="00485767"/>
    <w:rsid w:val="00486597"/>
    <w:rsid w:val="004A4853"/>
    <w:rsid w:val="004B605E"/>
    <w:rsid w:val="004C27BF"/>
    <w:rsid w:val="004C69D7"/>
    <w:rsid w:val="004D7BDE"/>
    <w:rsid w:val="004E0329"/>
    <w:rsid w:val="004E2096"/>
    <w:rsid w:val="004E2EDE"/>
    <w:rsid w:val="004F1724"/>
    <w:rsid w:val="004F6C38"/>
    <w:rsid w:val="00500504"/>
    <w:rsid w:val="005027FD"/>
    <w:rsid w:val="00505BE1"/>
    <w:rsid w:val="00507319"/>
    <w:rsid w:val="00511A34"/>
    <w:rsid w:val="0051250B"/>
    <w:rsid w:val="005162B8"/>
    <w:rsid w:val="00525C83"/>
    <w:rsid w:val="00531AE1"/>
    <w:rsid w:val="005326C5"/>
    <w:rsid w:val="0056120F"/>
    <w:rsid w:val="005641CB"/>
    <w:rsid w:val="00577639"/>
    <w:rsid w:val="00590F69"/>
    <w:rsid w:val="005A0A00"/>
    <w:rsid w:val="005A5085"/>
    <w:rsid w:val="005B527F"/>
    <w:rsid w:val="005C2371"/>
    <w:rsid w:val="005C7CAB"/>
    <w:rsid w:val="005D28A8"/>
    <w:rsid w:val="005D6C13"/>
    <w:rsid w:val="005D760D"/>
    <w:rsid w:val="005F3EF6"/>
    <w:rsid w:val="006068C0"/>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57"/>
    <w:rsid w:val="007D37A5"/>
    <w:rsid w:val="007D5362"/>
    <w:rsid w:val="008018CA"/>
    <w:rsid w:val="00813DCE"/>
    <w:rsid w:val="00815021"/>
    <w:rsid w:val="008164CD"/>
    <w:rsid w:val="008214FE"/>
    <w:rsid w:val="00837CE3"/>
    <w:rsid w:val="008518AD"/>
    <w:rsid w:val="00861496"/>
    <w:rsid w:val="00871917"/>
    <w:rsid w:val="00886C25"/>
    <w:rsid w:val="00896814"/>
    <w:rsid w:val="008A4835"/>
    <w:rsid w:val="008B18F2"/>
    <w:rsid w:val="008B4C24"/>
    <w:rsid w:val="008C1650"/>
    <w:rsid w:val="008C1951"/>
    <w:rsid w:val="008C5E1B"/>
    <w:rsid w:val="008E6657"/>
    <w:rsid w:val="00901BDD"/>
    <w:rsid w:val="009215C5"/>
    <w:rsid w:val="00922C82"/>
    <w:rsid w:val="00923937"/>
    <w:rsid w:val="0093048D"/>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F5D9C"/>
    <w:rsid w:val="009F7091"/>
    <w:rsid w:val="00A16FF3"/>
    <w:rsid w:val="00A2678F"/>
    <w:rsid w:val="00A409A9"/>
    <w:rsid w:val="00A43A81"/>
    <w:rsid w:val="00A44098"/>
    <w:rsid w:val="00A67078"/>
    <w:rsid w:val="00A74EC8"/>
    <w:rsid w:val="00A80702"/>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643B7"/>
    <w:rsid w:val="00B71AD9"/>
    <w:rsid w:val="00B96B00"/>
    <w:rsid w:val="00BB46A3"/>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72C7A"/>
    <w:rsid w:val="00C84D7E"/>
    <w:rsid w:val="00C93206"/>
    <w:rsid w:val="00C9793E"/>
    <w:rsid w:val="00CA54C9"/>
    <w:rsid w:val="00CB3AA4"/>
    <w:rsid w:val="00CC7F18"/>
    <w:rsid w:val="00CD0FAC"/>
    <w:rsid w:val="00CE0781"/>
    <w:rsid w:val="00CF1937"/>
    <w:rsid w:val="00CF41DF"/>
    <w:rsid w:val="00D01D2B"/>
    <w:rsid w:val="00D136FD"/>
    <w:rsid w:val="00D16817"/>
    <w:rsid w:val="00D20FCD"/>
    <w:rsid w:val="00D21D5F"/>
    <w:rsid w:val="00D2599C"/>
    <w:rsid w:val="00D31645"/>
    <w:rsid w:val="00D40465"/>
    <w:rsid w:val="00D413CD"/>
    <w:rsid w:val="00D51A72"/>
    <w:rsid w:val="00D53F99"/>
    <w:rsid w:val="00D63DB9"/>
    <w:rsid w:val="00D663FC"/>
    <w:rsid w:val="00D7777B"/>
    <w:rsid w:val="00D93675"/>
    <w:rsid w:val="00D95057"/>
    <w:rsid w:val="00D971BA"/>
    <w:rsid w:val="00DA242F"/>
    <w:rsid w:val="00DA470D"/>
    <w:rsid w:val="00DC48B1"/>
    <w:rsid w:val="00DC6BB2"/>
    <w:rsid w:val="00DD255E"/>
    <w:rsid w:val="00DD3FF2"/>
    <w:rsid w:val="00DE08F6"/>
    <w:rsid w:val="00DE0F7B"/>
    <w:rsid w:val="00DE21D8"/>
    <w:rsid w:val="00DE7503"/>
    <w:rsid w:val="00DF40E3"/>
    <w:rsid w:val="00E06BE2"/>
    <w:rsid w:val="00E22618"/>
    <w:rsid w:val="00E23EA2"/>
    <w:rsid w:val="00E27EF5"/>
    <w:rsid w:val="00E314B6"/>
    <w:rsid w:val="00E51CA9"/>
    <w:rsid w:val="00E531D5"/>
    <w:rsid w:val="00E53403"/>
    <w:rsid w:val="00E62993"/>
    <w:rsid w:val="00E63CBB"/>
    <w:rsid w:val="00EA0C93"/>
    <w:rsid w:val="00EA7F86"/>
    <w:rsid w:val="00EB655E"/>
    <w:rsid w:val="00EC016C"/>
    <w:rsid w:val="00ED0654"/>
    <w:rsid w:val="00ED23E7"/>
    <w:rsid w:val="00ED5A49"/>
    <w:rsid w:val="00ED7E4C"/>
    <w:rsid w:val="00EE0DC4"/>
    <w:rsid w:val="00EF79E0"/>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4D265-D33C-42D0-BA57-8C2A3E0DE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17</Pages>
  <Words>9970</Words>
  <Characters>56831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29</cp:revision>
  <cp:lastPrinted>2018-05-03T17:52:00Z</cp:lastPrinted>
  <dcterms:created xsi:type="dcterms:W3CDTF">2018-08-29T15:45:00Z</dcterms:created>
  <dcterms:modified xsi:type="dcterms:W3CDTF">2018-09-12T15:31:00Z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