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52228DDA"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w:t>
      </w:r>
      <w:r w:rsidR="0041059E">
        <w:t xml:space="preserve"> so called systems-based approaches (Link 2018),</w:t>
      </w:r>
      <w:r w:rsidR="005162B8">
        <w:t xml:space="preserve"> rather than component species or populations</w:t>
      </w:r>
      <w:r w:rsidR="00240A6D">
        <w:t xml:space="preserve">. </w:t>
      </w:r>
    </w:p>
    <w:p w14:paraId="362378CE" w14:textId="798944F5"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41059E">
        <w:t xml:space="preserve"> (Schindler et al. 2010)</w:t>
      </w:r>
      <w:r w:rsidR="00DD255E">
        <w:t xml:space="preserve">, there are </w:t>
      </w:r>
      <w:r w:rsidR="009B43D3">
        <w:t>both conservation and socio-economic</w:t>
      </w:r>
      <w:r w:rsidR="00DD255E">
        <w:t xml:space="preserve"> incentives to distribute fishing effort in such a way </w:t>
      </w:r>
      <w:r w:rsidR="009B43D3">
        <w:t>to ensure the</w:t>
      </w:r>
      <w:r w:rsidR="00DD255E">
        <w:t xml:space="preserve"> maximum number of </w:t>
      </w:r>
      <w:r w:rsidR="009B43D3">
        <w:t xml:space="preserve">viable </w:t>
      </w:r>
      <w:r w:rsidR="00DD255E">
        <w:t>populations is maintained</w:t>
      </w:r>
      <w:r w:rsidR="00105D86">
        <w:t xml:space="preserve">. </w:t>
      </w:r>
    </w:p>
    <w:p w14:paraId="0B93D00D" w14:textId="222764B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lastRenderedPageBreak/>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C8E0CDF" w:rsidR="00A6707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4B605E">
        <w:t xml:space="preserve"> may</w:t>
      </w:r>
      <w:r w:rsidR="008C1951">
        <w:t xml:space="preserve"> </w:t>
      </w:r>
      <w:r w:rsidR="0041059E">
        <w:t xml:space="preserve">also </w:t>
      </w:r>
      <w:r w:rsidR="008C1951">
        <w:t>result in</w:t>
      </w:r>
      <w:r w:rsidR="00E314B6">
        <w:t xml:space="preserve"> strong</w:t>
      </w:r>
      <w:r w:rsidR="008C1951">
        <w:t xml:space="preserve"> negative e</w:t>
      </w:r>
      <w:r w:rsidR="00302934">
        <w:t>ff</w:t>
      </w:r>
      <w:r w:rsidR="007579DE">
        <w:t>ects</w:t>
      </w:r>
      <w:r w:rsidR="0041059E">
        <w:t xml:space="preserve"> on dynamics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p>
    <w:p w14:paraId="3D305BCC" w14:textId="01E26E02"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likely decrease the ability of stock diversity to buffer the aggregate </w:t>
      </w:r>
      <w:r>
        <w:t>abundance from shifts in individual stocks, weakening its</w:t>
      </w:r>
      <w:r w:rsidR="002C62BE">
        <w:t xml:space="preserve"> portfolio</w:t>
      </w:r>
      <w:r w:rsidR="00A67078">
        <w:t xml:space="preserve"> </w:t>
      </w:r>
      <w:r w:rsidR="002C62BE">
        <w:t xml:space="preserve">effect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no longer be able to shift effort between stocks</w:t>
      </w:r>
      <w:r w:rsidR="003C77F8">
        <w:t>.</w:t>
      </w:r>
      <w:r w:rsidR="002C62BE">
        <w:t xml:space="preserve"> Second, declines in per capita productivity may reduce the biomass available during boom years and increa</w:t>
      </w:r>
      <w:r w:rsidR="007D3757">
        <w:t xml:space="preserve">se the frequency of bust years. In severe cases, greater variability could increase the likelihood of extirpation </w:t>
      </w:r>
      <w:r>
        <w:t>if stochastic events drive abundance to particularly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 </w:t>
      </w:r>
      <w:r>
        <w:t xml:space="preserve">and may increase due to persistent stressors such as climate change </w:t>
      </w:r>
      <w:r w:rsidR="00A67078">
        <w:t>(Peterman and Dorner 2012; Britten et al. 201</w:t>
      </w:r>
      <w:r>
        <w:t>6</w:t>
      </w:r>
      <w:r w:rsidR="00A67078">
        <w:t>)</w:t>
      </w:r>
      <w:r w:rsidR="007D3757">
        <w:t>.</w:t>
      </w:r>
    </w:p>
    <w:p w14:paraId="033E85F8" w14:textId="60D17012" w:rsidR="000835A0" w:rsidRPr="00E51CA9" w:rsidRDefault="00CF1937" w:rsidP="00DE08F6">
      <w:pPr>
        <w:ind w:firstLine="720"/>
        <w:rPr>
          <w:strike/>
        </w:rPr>
      </w:pPr>
      <w:r>
        <w:t xml:space="preserve">In this study, we explore how patterns of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t xml:space="preserve"> are largely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w:t>
      </w:r>
      <w:r w:rsidR="00CD0FAC">
        <w:lastRenderedPageBreak/>
        <w:t xml:space="preserve">may increase tension between these trade-offs </w:t>
      </w:r>
      <w:r w:rsidR="004D7BDE">
        <w:t>if</w:t>
      </w:r>
      <w:r w:rsidR="00CD0FAC">
        <w:t xml:space="preserve"> the fishery becomes increasingly concentrated on a smaller number of abundant years.</w:t>
      </w:r>
      <w:r w:rsidR="00505BE1">
        <w:t xml:space="preserve"> </w:t>
      </w:r>
      <w:r w:rsidR="004D7BDE">
        <w:t>W</w:t>
      </w:r>
      <w:r w:rsidR="002B460B">
        <w:t>e</w:t>
      </w:r>
      <w:r w:rsidR="00D01D2B">
        <w:t xml:space="preserve"> </w:t>
      </w:r>
      <w:r w:rsidR="004D7BDE">
        <w:t>f</w:t>
      </w:r>
      <w:r w:rsidR="00D01D2B">
        <w:t>irst</w:t>
      </w:r>
      <w:r w:rsidR="004D7BDE">
        <w:t xml:space="preserve"> </w:t>
      </w:r>
      <w:r w:rsidR="00D7777B">
        <w:t>conduct a retrospective analysis to demonstrate</w:t>
      </w:r>
      <w:r w:rsidR="004D7BDE">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505BE1">
        <w:t>explore how</w:t>
      </w:r>
      <w:r w:rsidR="00D7777B">
        <w:t xml:space="preserve"> </w:t>
      </w:r>
      <w:r w:rsidR="00505BE1">
        <w:t>patterns</w:t>
      </w:r>
      <w:r w:rsidR="006A4872">
        <w:t xml:space="preserve"> in </w:t>
      </w:r>
      <w:r w:rsidR="00E51CA9">
        <w:t>component</w:t>
      </w:r>
      <w:r w:rsidR="006A4872">
        <w:t xml:space="preserve"> variability</w:t>
      </w:r>
      <w:r w:rsidR="00E51CA9">
        <w:t xml:space="preserve"> and synchrony</w:t>
      </w:r>
      <w:r w:rsidR="00940776">
        <w:t xml:space="preserve"> </w:t>
      </w:r>
      <w:r w:rsidR="00505BE1">
        <w:t>influence a suite of conservation- and catch-based performance metrics</w:t>
      </w:r>
      <w:r w:rsidR="00E51CA9">
        <w:t xml:space="preserve">. </w:t>
      </w:r>
      <w:bookmarkStart w:id="0" w:name="_GoBack"/>
      <w:bookmarkEnd w:id="0"/>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r>
              <w:t>Shuswap-ES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r>
              <w:t>Quesnel</w:t>
            </w:r>
          </w:p>
        </w:tc>
        <w:tc>
          <w:tcPr>
            <w:tcW w:w="1707" w:type="dxa"/>
          </w:tcPr>
          <w:p w14:paraId="330CD1AC" w14:textId="1D868A12" w:rsidR="004526B1" w:rsidRDefault="004526B1" w:rsidP="001B700F">
            <w:r>
              <w:t>Quesnel</w:t>
            </w:r>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r>
              <w:t>Shuswap-L</w:t>
            </w:r>
          </w:p>
        </w:tc>
        <w:tc>
          <w:tcPr>
            <w:tcW w:w="1707" w:type="dxa"/>
          </w:tcPr>
          <w:p w14:paraId="263C3984" w14:textId="4250731D" w:rsidR="004526B1" w:rsidRDefault="004526B1" w:rsidP="001B700F">
            <w:r>
              <w:t>Late Shuswap</w:t>
            </w:r>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lastRenderedPageBreak/>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lastRenderedPageBreak/>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3"/>
      <w:r w:rsidR="0094700F">
        <w:t xml:space="preserve">DFO </w:t>
      </w:r>
      <w:r w:rsidR="0094700F">
        <w:rPr>
          <w:i/>
        </w:rPr>
        <w:t>in press</w:t>
      </w:r>
      <w:commentRangeEnd w:id="3"/>
      <w:r w:rsidR="0094700F">
        <w:rPr>
          <w:rStyle w:val="CommentReference"/>
        </w:rPr>
        <w:commentReference w:id="3"/>
      </w:r>
      <w:r w:rsidR="00320A6C">
        <w:t>; Table 1</w:t>
      </w:r>
      <w:r>
        <w:t>).</w:t>
      </w:r>
    </w:p>
    <w:p w14:paraId="6B170D9E" w14:textId="7E3F5B5F" w:rsidR="00CE0781" w:rsidRDefault="009D23BD" w:rsidP="005B527F">
      <w:pPr>
        <w:tabs>
          <w:tab w:val="left" w:pos="709"/>
        </w:tabs>
      </w:pPr>
      <w:r>
        <w:tab/>
      </w:r>
      <w:commentRangeStart w:id="4"/>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4"/>
      <w:r w:rsidR="00D31645">
        <w:rPr>
          <w:rStyle w:val="CommentReference"/>
        </w:rPr>
        <w:commentReference w:id="4"/>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9B43D3"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9B43D3"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075C007" w:rsidR="00D20FCD" w:rsidRDefault="0051250B" w:rsidP="002800A9">
      <w:pPr>
        <w:ind w:firstLine="720"/>
        <w:rPr>
          <w:rFonts w:eastAsiaTheme="minorEastAsia"/>
        </w:rPr>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w:t>
      </w:r>
      <w:r w:rsidR="007014D4">
        <w:lastRenderedPageBreak/>
        <w:t>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5"/>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5"/>
      <w:r>
        <w:rPr>
          <w:rStyle w:val="CommentReference"/>
        </w:rPr>
        <w:commentReference w:id="5"/>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6"/>
      <w:r w:rsidR="008518AD">
        <w:rPr>
          <w:rFonts w:eastAsiaTheme="minorEastAsia"/>
        </w:rPr>
        <w:t>mean frequency of 0.3</w:t>
      </w:r>
      <w:r w:rsidR="005B527F">
        <w:rPr>
          <w:rFonts w:eastAsiaTheme="minorEastAsia"/>
        </w:rPr>
        <w:t xml:space="preserve"> </w:t>
      </w:r>
      <w:commentRangeEnd w:id="6"/>
      <w:r w:rsidR="00896814">
        <w:rPr>
          <w:rStyle w:val="CommentReference"/>
        </w:rPr>
        <w:commentReference w:id="6"/>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7"/>
      <w:r w:rsidR="00063326">
        <w:rPr>
          <w:rFonts w:eastAsiaTheme="minorEastAsia"/>
        </w:rPr>
        <w:t>Appendix</w:t>
      </w:r>
      <w:commentRangeEnd w:id="7"/>
      <w:r w:rsidR="00D31645">
        <w:rPr>
          <w:rStyle w:val="CommentReference"/>
        </w:rPr>
        <w:commentReference w:id="7"/>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8"/>
      <w:r w:rsidR="007B4FA6">
        <w:t>Details of the harvest control rule, mortality calculations, and parameter specificati</w:t>
      </w:r>
      <w:r w:rsidR="002E71CA">
        <w:t>ons are described in the Appendix</w:t>
      </w:r>
      <w:r w:rsidR="007B4FA6">
        <w:t>.</w:t>
      </w:r>
      <w:commentRangeEnd w:id="8"/>
      <w:r w:rsidR="007B4FA6">
        <w:rPr>
          <w:rStyle w:val="CommentReference"/>
        </w:rPr>
        <w:commentReference w:id="8"/>
      </w:r>
    </w:p>
    <w:p w14:paraId="3CAB5E2F" w14:textId="3D8B4E65" w:rsidR="00B5638E" w:rsidRDefault="00B5638E" w:rsidP="00B5638E">
      <w:pPr>
        <w:ind w:firstLine="720"/>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lastRenderedPageBreak/>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9"/>
      <w:r>
        <w:rPr>
          <w:i/>
        </w:rPr>
        <w:t>Evaluating model performance</w:t>
      </w:r>
      <w:commentRangeEnd w:id="9"/>
      <w:r w:rsidR="003113FB">
        <w:rPr>
          <w:rStyle w:val="CommentReference"/>
        </w:rPr>
        <w:commentReference w:id="9"/>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10"/>
      <w:r w:rsidR="000F2E0D">
        <w:t>Finally, we calculated the proportion of CUs extirpated at the end of the simulation period</w:t>
      </w:r>
      <w:r w:rsidR="009D3206">
        <w:t xml:space="preserve"> based on a quasi-extinction threshold of 100 individuals</w:t>
      </w:r>
      <w:r w:rsidR="000F2E0D">
        <w:t>.</w:t>
      </w:r>
      <w:commentRangeEnd w:id="10"/>
      <w:r w:rsidR="00F07325">
        <w:rPr>
          <w:rStyle w:val="CommentReference"/>
        </w:rPr>
        <w:commentReference w:id="10"/>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lastRenderedPageBreak/>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1"/>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11"/>
      <w:r>
        <w:rPr>
          <w:rStyle w:val="CommentReference"/>
        </w:rPr>
        <w:commentReference w:id="11"/>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12"/>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2"/>
      <w:r w:rsidR="00283AFA">
        <w:rPr>
          <w:rStyle w:val="CommentReference"/>
        </w:rPr>
        <w:commentReference w:id="12"/>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Larkin model)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3"/>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3"/>
      <w:r w:rsidR="00FB63BF">
        <w:rPr>
          <w:rStyle w:val="CommentReference"/>
        </w:rPr>
        <w:commentReference w:id="13"/>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spawner abundance and aggregate catch </w:t>
      </w:r>
      <w:r w:rsidR="005C2371">
        <w:lastRenderedPageBreak/>
        <w:t>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0E113DC9" w:rsidR="00525C83" w:rsidRDefault="00C84D7E" w:rsidP="00A91A4F">
      <w:r>
        <w:rPr>
          <w:noProof/>
          <w:lang w:eastAsia="en-CA"/>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4"/>
      <w:r>
        <w:t xml:space="preserve">Figure </w:t>
      </w:r>
      <w:commentRangeEnd w:id="14"/>
      <w:r>
        <w:rPr>
          <w:rStyle w:val="CommentReference"/>
        </w:rPr>
        <w:commentReference w:id="14"/>
      </w:r>
      <w:r>
        <w:t>1.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lastRenderedPageBreak/>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5"/>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5"/>
      <w:r w:rsidR="002A7AB5">
        <w:rPr>
          <w:rStyle w:val="CommentReference"/>
        </w:rPr>
        <w:commentReference w:id="15"/>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6"/>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6"/>
      <w:r w:rsidR="00F8390D">
        <w:rPr>
          <w:rStyle w:val="CommentReference"/>
        </w:rPr>
        <w:commentReference w:id="16"/>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7"/>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7"/>
      <w:r>
        <w:rPr>
          <w:rStyle w:val="CommentReference"/>
        </w:rPr>
        <w:commentReference w:id="17"/>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8"/>
      <w:r>
        <w:rPr>
          <w:rFonts w:eastAsiaTheme="minorEastAsia"/>
        </w:rPr>
        <w:t xml:space="preserve">250 </w:t>
      </w:r>
      <w:commentRangeEnd w:id="18"/>
      <w:r>
        <w:rPr>
          <w:rStyle w:val="CommentReference"/>
        </w:rPr>
        <w:commentReference w:id="18"/>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 xml:space="preserve">Interestingly the effects of switching from reference to skewed productivity deviations had weaker effects on catch PMs than conservation PMs. While median catches decreased considerably (Fig. </w:t>
      </w:r>
      <w:r>
        <w:rPr>
          <w:rFonts w:eastAsiaTheme="minorEastAsia"/>
        </w:rPr>
        <w:lastRenderedPageBreak/>
        <w:t>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9"/>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9"/>
      <w:r w:rsidR="00B32293">
        <w:rPr>
          <w:rStyle w:val="CommentReference"/>
        </w:rPr>
        <w:commentReference w:id="19"/>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20"/>
      <w:r>
        <w:rPr>
          <w:rFonts w:eastAsiaTheme="minorEastAsia"/>
        </w:rPr>
        <w:t xml:space="preserve">250 </w:t>
      </w:r>
      <w:commentRangeEnd w:id="20"/>
      <w:r>
        <w:rPr>
          <w:rStyle w:val="CommentReference"/>
        </w:rPr>
        <w:commentReference w:id="2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8E6657">
      <w:pPr>
        <w:jc w:val="center"/>
      </w:pPr>
      <w:r>
        <w:rPr>
          <w:rStyle w:val="CommentReference"/>
        </w:rPr>
        <w:lastRenderedPageBreak/>
        <w:commentReference w:id="21"/>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22"/>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22"/>
      <w:r>
        <w:rPr>
          <w:rStyle w:val="CommentReference"/>
        </w:rPr>
        <w:commentReference w:id="22"/>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23"/>
      <w:r>
        <w:t xml:space="preserve">A range </w:t>
      </w:r>
      <w:commentRangeEnd w:id="23"/>
      <w:r>
        <w:rPr>
          <w:rStyle w:val="CommentReference"/>
        </w:rPr>
        <w:commentReference w:id="2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79DD2373"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9B43D3" w:rsidRDefault="009B43D3">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9B43D3" w:rsidRDefault="009B43D3">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3" w:author="Cameron Freshwater" w:date="2018-09-02T20:32:00Z" w:initials="CF">
    <w:p w14:paraId="5C7FB770" w14:textId="0CBEC2C0" w:rsidR="009B43D3" w:rsidRDefault="009B43D3">
      <w:pPr>
        <w:pStyle w:val="CommentText"/>
      </w:pPr>
      <w:r>
        <w:rPr>
          <w:rStyle w:val="CommentReference"/>
        </w:rPr>
        <w:annotationRef/>
      </w:r>
      <w:r>
        <w:t>Ok to cite the WSP status draft?</w:t>
      </w:r>
    </w:p>
  </w:comment>
  <w:comment w:id="4" w:author="Cameron Freshwater" w:date="2018-09-02T13:54:00Z" w:initials="CF">
    <w:p w14:paraId="1F411D00" w14:textId="77777777" w:rsidR="009B43D3" w:rsidRDefault="009B43D3">
      <w:pPr>
        <w:pStyle w:val="CommentText"/>
      </w:pPr>
      <w:r>
        <w:rPr>
          <w:rStyle w:val="CommentReference"/>
        </w:rPr>
        <w:annotationRef/>
      </w:r>
      <w:r>
        <w:t xml:space="preserve">Necessary to list these somewhere? </w:t>
      </w:r>
    </w:p>
    <w:p w14:paraId="1301AD09" w14:textId="77777777" w:rsidR="009B43D3" w:rsidRDefault="009B43D3">
      <w:pPr>
        <w:pStyle w:val="CommentText"/>
      </w:pPr>
    </w:p>
    <w:p w14:paraId="30EA0962" w14:textId="3E7D05C8" w:rsidR="009B43D3" w:rsidRPr="00D31645" w:rsidRDefault="009B43D3">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5" w:author="DFO-MPO" w:date="2018-09-03T09:49:00Z" w:initials="D">
    <w:p w14:paraId="02FE2BBA" w14:textId="58720E24" w:rsidR="009B43D3" w:rsidRDefault="009B43D3">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9B43D3" w:rsidRDefault="009B43D3">
      <w:pPr>
        <w:pStyle w:val="CommentText"/>
      </w:pPr>
    </w:p>
    <w:p w14:paraId="6DF82093" w14:textId="5ABCDB31" w:rsidR="009B43D3" w:rsidRDefault="009B43D3">
      <w:pPr>
        <w:pStyle w:val="CommentText"/>
      </w:pPr>
      <w:r>
        <w:t>Assuming everyone agrees this is sufficiently robust, should this analysis be included as a supplement?</w:t>
      </w:r>
    </w:p>
  </w:comment>
  <w:comment w:id="6" w:author="DFO-MPO" w:date="2018-09-01T12:02:00Z" w:initials="D">
    <w:p w14:paraId="0153B119" w14:textId="0215D392" w:rsidR="009B43D3" w:rsidRDefault="009B43D3">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7" w:author="Cameron Freshwater" w:date="2018-09-02T13:56:00Z" w:initials="CF">
    <w:p w14:paraId="66BE47B8" w14:textId="1C8BAE40" w:rsidR="009B43D3" w:rsidRDefault="009B43D3">
      <w:pPr>
        <w:pStyle w:val="CommentText"/>
      </w:pPr>
      <w:r>
        <w:rPr>
          <w:rStyle w:val="CommentReference"/>
        </w:rPr>
        <w:annotationRef/>
      </w:r>
      <w:r>
        <w:t>Presented in main text here.</w:t>
      </w:r>
    </w:p>
  </w:comment>
  <w:comment w:id="8" w:author="DFO-MPO" w:date="2018-09-01T12:05:00Z" w:initials="D">
    <w:p w14:paraId="136EE22E" w14:textId="66EDF9D1" w:rsidR="009B43D3" w:rsidRDefault="009B43D3" w:rsidP="007B4FA6">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09-01T13:20:00Z" w:initials="D">
    <w:p w14:paraId="7FEA7EDF" w14:textId="5C35EDCB" w:rsidR="009B43D3" w:rsidRDefault="009B43D3">
      <w:pPr>
        <w:pStyle w:val="CommentText"/>
      </w:pPr>
      <w:r>
        <w:rPr>
          <w:rStyle w:val="CommentReference"/>
        </w:rPr>
        <w:annotationRef/>
      </w:r>
      <w:r>
        <w:t>Would a table summarizing the PMs be justified?</w:t>
      </w:r>
    </w:p>
  </w:comment>
  <w:comment w:id="10" w:author="DFO-MPO" w:date="2018-08-29T09:09:00Z" w:initials="D">
    <w:p w14:paraId="5B548536" w14:textId="7E67029D" w:rsidR="009B43D3" w:rsidRDefault="009B43D3">
      <w:pPr>
        <w:pStyle w:val="CommentText"/>
      </w:pPr>
      <w:r>
        <w:rPr>
          <w:rStyle w:val="CommentReference"/>
        </w:rPr>
        <w:annotationRef/>
      </w:r>
      <w:r>
        <w:t>This metric is relatively insensitive because it is rare for any CUs to go extinct – should it still be included?</w:t>
      </w:r>
    </w:p>
  </w:comment>
  <w:comment w:id="11" w:author="DFO-MPO" w:date="2018-09-03T09:55:00Z" w:initials="D">
    <w:p w14:paraId="41F1AE32" w14:textId="050EA645" w:rsidR="009B43D3" w:rsidRDefault="009B43D3">
      <w:pPr>
        <w:pStyle w:val="CommentText"/>
      </w:pPr>
      <w:r>
        <w:rPr>
          <w:rStyle w:val="CommentReference"/>
        </w:rPr>
        <w:annotationRef/>
      </w:r>
      <w:r>
        <w:t>These two values track each other quite strongly. To balance the catch/cons PMs I’m only currently showing results for the larger value.</w:t>
      </w:r>
    </w:p>
  </w:comment>
  <w:comment w:id="12" w:author="Cameron Freshwater" w:date="2018-09-03T09:57:00Z" w:initials="CF">
    <w:p w14:paraId="1E0D4F54" w14:textId="10A1D887" w:rsidR="009B43D3" w:rsidRDefault="009B43D3">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3" w:author="DFO-MPO" w:date="2018-08-29T09:18:00Z" w:initials="D">
    <w:p w14:paraId="6442FC48" w14:textId="19E4A93D" w:rsidR="009B43D3" w:rsidRDefault="009B43D3">
      <w:pPr>
        <w:pStyle w:val="CommentText"/>
      </w:pPr>
      <w:r>
        <w:rPr>
          <w:rStyle w:val="CommentReference"/>
        </w:rPr>
        <w:annotationRef/>
      </w:r>
      <w:r>
        <w:t>Statement explicitly clarifying that this is not a forecasting exercise</w:t>
      </w:r>
    </w:p>
  </w:comment>
  <w:comment w:id="14" w:author="DFO-MPO" w:date="2018-09-02T14:01:00Z" w:initials="D">
    <w:p w14:paraId="5DB9EAE2" w14:textId="580FC405" w:rsidR="009B43D3" w:rsidRDefault="009B43D3">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5" w:author="Cameron Freshwater" w:date="2018-09-02T14:44:00Z" w:initials="CF">
    <w:p w14:paraId="14060C45" w14:textId="0249EC27" w:rsidR="009B43D3" w:rsidRDefault="009B43D3">
      <w:pPr>
        <w:pStyle w:val="CommentText"/>
      </w:pPr>
      <w:r>
        <w:rPr>
          <w:rStyle w:val="CommentReference"/>
        </w:rPr>
        <w:annotationRef/>
      </w:r>
      <w:r>
        <w:t>Thought about explaining this initially counterintuitive pattern here, but I feel as though its better suited to the discussion</w:t>
      </w:r>
    </w:p>
  </w:comment>
  <w:comment w:id="16" w:author="Cameron Freshwater" w:date="2018-09-03T19:23:00Z" w:initials="CF">
    <w:p w14:paraId="5C0429C3" w14:textId="00D27E99" w:rsidR="009B43D3" w:rsidRDefault="009B43D3">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7" w:author="Cameron Freshwater" w:date="2018-09-03T09:54:00Z" w:initials="CF">
    <w:p w14:paraId="5D4E8DB3" w14:textId="77777777" w:rsidR="009B43D3" w:rsidRDefault="009B43D3">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9B43D3" w:rsidRDefault="009B43D3">
      <w:pPr>
        <w:pStyle w:val="CommentText"/>
      </w:pPr>
    </w:p>
    <w:p w14:paraId="0A021354" w14:textId="012A6A46" w:rsidR="009B43D3" w:rsidRDefault="009B43D3">
      <w:pPr>
        <w:pStyle w:val="CommentText"/>
      </w:pPr>
      <w:r>
        <w:t xml:space="preserve">For catch PMs I think we should keep median catch and some metric of variability (either stability or CV), as well as one other metric, but I’m unsure which is most relevant. </w:t>
      </w:r>
    </w:p>
  </w:comment>
  <w:comment w:id="18" w:author="Cameron Freshwater" w:date="2018-09-02T14:33:00Z" w:initials="CF">
    <w:p w14:paraId="2D38F0B1" w14:textId="77777777" w:rsidR="009B43D3" w:rsidRDefault="009B43D3" w:rsidP="00871917">
      <w:pPr>
        <w:pStyle w:val="CommentText"/>
      </w:pPr>
      <w:r>
        <w:rPr>
          <w:rStyle w:val="CommentReference"/>
        </w:rPr>
        <w:annotationRef/>
      </w:r>
      <w:r>
        <w:t>This will be bumped up for final run.</w:t>
      </w:r>
    </w:p>
  </w:comment>
  <w:comment w:id="19" w:author="Cameron Freshwater" w:date="2018-09-02T20:21:00Z" w:initials="CF">
    <w:p w14:paraId="3982B96C" w14:textId="15341598" w:rsidR="009B43D3" w:rsidRDefault="009B43D3">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9B43D3" w:rsidRDefault="009B43D3">
      <w:pPr>
        <w:pStyle w:val="CommentText"/>
      </w:pPr>
    </w:p>
    <w:p w14:paraId="78A8266D" w14:textId="27E42DD2" w:rsidR="009B43D3" w:rsidRDefault="009B43D3">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20" w:author="Cameron Freshwater" w:date="2018-09-03T10:32:00Z" w:initials="CF">
    <w:p w14:paraId="657CDEA2" w14:textId="77777777" w:rsidR="009B43D3" w:rsidRDefault="009B43D3" w:rsidP="004709A6">
      <w:pPr>
        <w:pStyle w:val="CommentText"/>
      </w:pPr>
      <w:r>
        <w:rPr>
          <w:rStyle w:val="CommentReference"/>
        </w:rPr>
        <w:annotationRef/>
      </w:r>
      <w:r>
        <w:t>This will be bumped up for final run.</w:t>
      </w:r>
    </w:p>
  </w:comment>
  <w:comment w:id="21" w:author="Cameron Freshwater" w:date="2018-09-03T19:11:00Z" w:initials="CF">
    <w:p w14:paraId="406B830F" w14:textId="1FCD59A0" w:rsidR="009B43D3" w:rsidRDefault="009B43D3">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9B43D3" w:rsidRDefault="009B43D3">
      <w:pPr>
        <w:pStyle w:val="CommentText"/>
      </w:pPr>
    </w:p>
    <w:p w14:paraId="23F4047A" w14:textId="0C0451AD" w:rsidR="009B43D3" w:rsidRDefault="009B43D3">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22" w:author="Cameron Freshwater" w:date="2018-09-03T19:31:00Z" w:initials="CF">
    <w:p w14:paraId="7EDC2E30" w14:textId="128F6C11" w:rsidR="009B43D3" w:rsidRDefault="009B43D3">
      <w:pPr>
        <w:pStyle w:val="CommentText"/>
      </w:pPr>
      <w:r>
        <w:rPr>
          <w:rStyle w:val="CommentReference"/>
        </w:rPr>
        <w:annotationRef/>
      </w:r>
      <w:r>
        <w:t>If retained this will go in a supplement</w:t>
      </w:r>
    </w:p>
  </w:comment>
  <w:comment w:id="23" w:author="DFO-MPO" w:date="2018-08-20T10:28:00Z" w:initials="D">
    <w:p w14:paraId="6569B4E5" w14:textId="77777777" w:rsidR="009B43D3" w:rsidRDefault="009B43D3"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D7BDE"/>
    <w:rsid w:val="004E0329"/>
    <w:rsid w:val="004E2096"/>
    <w:rsid w:val="004E2EDE"/>
    <w:rsid w:val="004F1724"/>
    <w:rsid w:val="004F6C38"/>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5021"/>
    <w:rsid w:val="008164CD"/>
    <w:rsid w:val="008214FE"/>
    <w:rsid w:val="00837CE3"/>
    <w:rsid w:val="008518AD"/>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0EC35-AE18-429B-A781-C2823B60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9744</Words>
  <Characters>55546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24</cp:revision>
  <cp:lastPrinted>2018-05-03T17:52:00Z</cp:lastPrinted>
  <dcterms:created xsi:type="dcterms:W3CDTF">2018-08-29T15:45:00Z</dcterms:created>
  <dcterms:modified xsi:type="dcterms:W3CDTF">2018-09-05T17:49:00Z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