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77777777" w:rsidR="00E62993"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C14AB9">
        <w:t>as well as increases in the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 </w:instrText>
      </w:r>
      <w:r w:rsidR="00E531D5"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EN.CITE.DATA </w:instrText>
      </w:r>
      <w:r w:rsidR="00E531D5" w:rsidRPr="00577639">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5162B8">
        <w:t>Increased recognition of the</w:t>
      </w:r>
      <w:r w:rsidR="00AE2504">
        <w:t>se</w:t>
      </w:r>
      <w:r w:rsidR="00240A6D">
        <w:t xml:space="preserve"> ecological benefits </w:t>
      </w:r>
      <w:r w:rsidR="00AE2504">
        <w:t>has</w:t>
      </w:r>
      <w:r w:rsidR="005162B8">
        <w:t xml:space="preserve"> result</w:t>
      </w:r>
      <w:r w:rsidR="00AE2504">
        <w:t>ed</w:t>
      </w:r>
      <w:r w:rsidR="00240A6D">
        <w:t xml:space="preserve"> in a greater emphasis on the monitoring and conservation of aggregates</w:t>
      </w:r>
      <w:r w:rsidR="005162B8">
        <w:t>, rather than component species or populations</w:t>
      </w:r>
      <w:r w:rsidR="00240A6D">
        <w:t xml:space="preserve">. </w:t>
      </w:r>
    </w:p>
    <w:p w14:paraId="362378CE" w14:textId="4BCA79CC"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 fishery, where the sheer number of distinct populations in the region reduces aggregate variability in spawner abundance (</w:t>
      </w:r>
      <w:proofErr w:type="spellStart"/>
      <w:r w:rsidR="00105D86">
        <w:t>Hilborn</w:t>
      </w:r>
      <w:proofErr w:type="spellEnd"/>
      <w:r w:rsidR="00105D86">
        <w:t xml:space="preserve"> et al. 2003; Schindler et al. 2010). Since </w:t>
      </w:r>
      <w:r w:rsidR="00DD255E">
        <w:t>stock diversity</w:t>
      </w:r>
      <w:r w:rsidR="00105D86">
        <w:t xml:space="preserve"> is also correlated with </w:t>
      </w:r>
      <w:r w:rsidR="00DD255E">
        <w:t>fewer</w:t>
      </w:r>
      <w:r w:rsidR="00105D86">
        <w:t xml:space="preserve"> fishery closures</w:t>
      </w:r>
      <w:r w:rsidR="00DD255E">
        <w:t>, there are clear incentives to distribute fishing effort in such a way that the maximum number of populations is maintained</w:t>
      </w:r>
      <w:r w:rsidR="00105D86">
        <w:t xml:space="preserve">. </w:t>
      </w:r>
    </w:p>
    <w:p w14:paraId="0B93D00D" w14:textId="4218BDB5"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 xml:space="preserve">Chinook salmon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Reduced 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4A32A06B"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w:t>
      </w:r>
      <w:r>
        <w:lastRenderedPageBreak/>
        <w:t>patterns in synchrony among watersheds suggest changes in hatchery practices</w:t>
      </w:r>
      <w:r w:rsidR="00105D86">
        <w:t>, rather than reduced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3D305BCC" w14:textId="3361AC9B" w:rsidR="00BF12B8" w:rsidRPr="003C77F8" w:rsidRDefault="003371FC" w:rsidP="003C77F8">
      <w:pPr>
        <w:ind w:firstLine="720"/>
      </w:pPr>
      <w:r>
        <w:t>While p</w:t>
      </w:r>
      <w:r w:rsidR="00F93B58">
        <w:t>atterns</w:t>
      </w:r>
      <w:r w:rsidR="002B0FBF">
        <w:t xml:space="preserve"> </w:t>
      </w:r>
      <w:r>
        <w:t>of</w:t>
      </w:r>
      <w:r w:rsidR="002B0FBF">
        <w:t xml:space="preserve"> covariance amo</w:t>
      </w:r>
      <w:r>
        <w:t>ng populations have been frequently identified</w:t>
      </w:r>
      <w:r w:rsidR="00AE6C34">
        <w:t xml:space="preserve"> </w:t>
      </w:r>
      <w:r w:rsidR="00F93B58">
        <w:t>in ecological systems</w:t>
      </w:r>
      <w:r w:rsidR="002B0FBF">
        <w:t>,</w:t>
      </w:r>
      <w:r w:rsidR="002E34D8">
        <w:t xml:space="preserve"> and</w:t>
      </w:r>
      <w:r w:rsidR="002B0FBF">
        <w:t xml:space="preserve"> 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links between covariance and </w:t>
      </w:r>
      <w:r w:rsidR="003C77F8">
        <w:t xml:space="preserve">the recovery </w:t>
      </w:r>
      <w:r>
        <w:t>or</w:t>
      </w:r>
      <w:r w:rsidR="003C77F8">
        <w:t xml:space="preserve"> persistence of </w:t>
      </w:r>
      <w:proofErr w:type="spellStart"/>
      <w:r w:rsidR="003C77F8">
        <w:t>metapopulations</w:t>
      </w:r>
      <w:proofErr w:type="spellEnd"/>
      <w:r w:rsidR="003C77F8">
        <w:t xml:space="preserve">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 </w:instrText>
      </w:r>
      <w:r w:rsidR="00F93B58" w:rsidRPr="00DD255E">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EN.CITE.DATA </w:instrText>
      </w:r>
      <w:r w:rsidR="00F93B58" w:rsidRPr="00DD255E">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rsidR="00C16A84">
        <w:t>(Moore et al. 2010 REF compares synchrony and diversity interactions)</w:t>
      </w:r>
      <w:r w:rsidR="00B27AEE">
        <w:t>.</w:t>
      </w:r>
      <w:r w:rsidR="002B0FBF">
        <w:t xml:space="preserve"> </w:t>
      </w:r>
      <w:r w:rsidR="00E314B6">
        <w:t>Though less dramatic, c</w:t>
      </w:r>
      <w:r w:rsidR="004B605E">
        <w:t>hanges in comp</w:t>
      </w:r>
      <w:r w:rsidR="00E314B6">
        <w:t>onent variability and synchrony</w:t>
      </w:r>
      <w:r w:rsidR="004B605E">
        <w:t xml:space="preserve"> may</w:t>
      </w:r>
      <w:r w:rsidR="008C1951">
        <w:t xml:space="preserve"> result in</w:t>
      </w:r>
      <w:r w:rsidR="00E314B6">
        <w:t xml:space="preserve"> </w:t>
      </w:r>
      <w:r w:rsidR="00302934">
        <w:t xml:space="preserve">similarly </w:t>
      </w:r>
      <w:r w:rsidR="00E314B6">
        <w:t>strong</w:t>
      </w:r>
      <w:r w:rsidR="008C1951">
        <w:t xml:space="preserve"> negative e</w:t>
      </w:r>
      <w:r w:rsidR="00302934">
        <w:t>ff</w:t>
      </w:r>
      <w:r w:rsidR="007579DE">
        <w:t>ects</w:t>
      </w:r>
      <w:r w:rsidR="003C77F8">
        <w:t>. For example,</w:t>
      </w:r>
      <w:r w:rsidR="007579DE">
        <w:t xml:space="preserve"> </w:t>
      </w:r>
      <w:r w:rsidR="003C77F8">
        <w:t>h</w:t>
      </w:r>
      <w:r w:rsidR="00BE3900">
        <w:t xml:space="preserve">igh levels of component variability </w:t>
      </w:r>
      <w:r w:rsidR="00E314B6">
        <w:t>are likely to</w:t>
      </w:r>
      <w:r w:rsidR="00BE3900">
        <w:t xml:space="preserve"> </w:t>
      </w:r>
      <w:r w:rsidR="008C1951">
        <w:t>increase the probability of fishery closures</w:t>
      </w:r>
      <w:r w:rsidR="00BE3900">
        <w:t xml:space="preserve"> or the probability </w:t>
      </w:r>
      <w:r w:rsidR="008C1951">
        <w:t>of</w:t>
      </w:r>
      <w:r w:rsidR="00BE3900">
        <w:t xml:space="preserve"> overharvest if management targets fail to t</w:t>
      </w:r>
      <w:r w:rsidR="00E314B6">
        <w:t xml:space="preserve">rack changes in stock abundance. </w:t>
      </w:r>
      <w:r w:rsidR="00DD255E">
        <w:t>Unlike a scenario where exploitable biomass declines predictably, p</w:t>
      </w:r>
      <w:r w:rsidR="00E314B6">
        <w:t xml:space="preserve">eriodic years of high abundance </w:t>
      </w:r>
      <w:r w:rsidR="00DD255E">
        <w:t xml:space="preserve">may also </w:t>
      </w:r>
      <w:r w:rsidR="00E314B6">
        <w:t xml:space="preserve">create </w:t>
      </w:r>
      <w:r w:rsidR="00DD255E">
        <w:t xml:space="preserve">perverse </w:t>
      </w:r>
      <w:r w:rsidR="00E314B6">
        <w:t>incentives to maintain harvesting capacity</w:t>
      </w:r>
      <w:r w:rsidR="00DD255E">
        <w:t>, increasing the likelihood of overharvest</w:t>
      </w:r>
      <w:r w:rsidR="001D36DC">
        <w:t xml:space="preserve"> when abundance declines</w:t>
      </w:r>
      <w:r w:rsidR="00E314B6">
        <w:t xml:space="preserve">. </w:t>
      </w:r>
      <w:r w:rsidR="001D36DC">
        <w:t>H</w:t>
      </w:r>
      <w:r w:rsidR="003C77F8">
        <w:t>igh levels of synchrony should</w:t>
      </w:r>
      <w:r w:rsidR="001D36DC">
        <w:t xml:space="preserve"> intuitively</w:t>
      </w:r>
      <w:r w:rsidR="003C77F8">
        <w:t xml:space="preserve"> magnify the negative effects of increased component variability. Instead</w:t>
      </w:r>
      <w:r w:rsidR="00302934">
        <w:t xml:space="preserve"> </w:t>
      </w:r>
      <w:r w:rsidR="003C77F8">
        <w:t>of the dynamics of component populations buffering one another, changes in abundance will increasingly occur in unison and prevent harvesters from shifting effort between stocks.</w:t>
      </w:r>
      <w:r w:rsidR="001D36DC">
        <w:t xml:space="preserve"> INSERT SENTENCE ON PRODUCTIVITY DECLINES HERE</w:t>
      </w:r>
    </w:p>
    <w:p w14:paraId="15795BB2" w14:textId="75E87F3C" w:rsidR="002B460B" w:rsidRDefault="003C77F8" w:rsidP="004D7BDE">
      <w:pPr>
        <w:ind w:firstLine="720"/>
      </w:pPr>
      <w:r>
        <w:t xml:space="preserve">In this study, we explore how patterns of variability and synchrony influence </w:t>
      </w:r>
      <w:r w:rsidR="002A27DA">
        <w:t xml:space="preserve">trade-offs between conservation and management objectives using </w:t>
      </w:r>
      <w:r w:rsidR="00D413CD">
        <w:t>Fraser River sockeye salmon</w:t>
      </w:r>
      <w:r w:rsidR="002A27DA">
        <w:t xml:space="preserve"> as a case study. </w:t>
      </w:r>
      <w:r>
        <w:t xml:space="preserve">Sockeye salmon are an anadromous, </w:t>
      </w:r>
      <w:proofErr w:type="spellStart"/>
      <w:r>
        <w:t>semelparous</w:t>
      </w:r>
      <w:proofErr w:type="spellEnd"/>
      <w:r>
        <w:t xml:space="preserve"> species and the Fraser River aggregate </w:t>
      </w:r>
      <w:r w:rsidR="001D36DC">
        <w:t>is composed</w:t>
      </w:r>
      <w:r>
        <w:t xml:space="preserve"> of populations that spawn throughout</w:t>
      </w:r>
      <w:r w:rsidR="00D413CD">
        <w:t xml:space="preserve"> southern British Columbia</w:t>
      </w:r>
      <w:r>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marine </w:t>
      </w:r>
      <w:r w:rsidR="002B460B">
        <w:t>fisheries</w:t>
      </w:r>
      <w:r w:rsidR="00DE08F6">
        <w:t xml:space="preserve"> for over a century</w:t>
      </w:r>
      <w:r>
        <w:t xml:space="preserve"> and by indigenous communities for </w:t>
      </w:r>
      <w:r w:rsidR="001D36DC">
        <w:t>thousands of years</w:t>
      </w:r>
      <w:r>
        <w:t xml:space="preserve"> (REF)</w:t>
      </w:r>
      <w:r w:rsidR="002A27DA">
        <w:t>.</w:t>
      </w:r>
      <w:r w:rsidR="007579DE">
        <w:t xml:space="preserve"> </w:t>
      </w:r>
      <w:r w:rsidR="004D7BDE">
        <w:t xml:space="preserve">Despite the historical abundance of </w:t>
      </w:r>
      <w:r>
        <w:t>Fraser River sockeye salmon</w:t>
      </w:r>
      <w:r w:rsidR="004D7BDE">
        <w:t>, the aggregate’s</w:t>
      </w:r>
      <w:r>
        <w:t xml:space="preserve"> produ</w:t>
      </w:r>
      <w:r w:rsidR="004D7BDE">
        <w:t xml:space="preserve">ctivity strongly 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highly variable</w:t>
      </w:r>
      <w:r w:rsidR="004D7BDE">
        <w:t xml:space="preserve"> and </w:t>
      </w:r>
      <w:r w:rsidR="004F1724">
        <w:t xml:space="preserve">several populations within the aggregate </w:t>
      </w:r>
      <w:r w:rsidR="00CD0FAC">
        <w:t>continue to be</w:t>
      </w:r>
      <w:r w:rsidR="004F1724">
        <w:t xml:space="preserve"> assessed as </w:t>
      </w:r>
      <w:r w:rsidR="001D36DC">
        <w:t>at risk</w:t>
      </w:r>
      <w:r w:rsidR="004F1724">
        <w:t xml:space="preserve"> (REF). </w:t>
      </w:r>
      <w:r w:rsidR="00D01D2B">
        <w:t>Since</w:t>
      </w:r>
      <w:r w:rsidR="004F1724">
        <w:t xml:space="preserve"> Fraser River </w:t>
      </w:r>
      <w:r w:rsidR="00CD0FAC">
        <w:t>sockeye</w:t>
      </w:r>
      <w:r w:rsidR="000E43A3">
        <w:t xml:space="preserve"> salmon</w:t>
      </w:r>
      <w:r w:rsidR="00CD0FAC">
        <w:t xml:space="preserve"> fisheries</w:t>
      </w:r>
      <w:r w:rsidR="00D01D2B">
        <w:t>, like most Pacific salmon fisheries,</w:t>
      </w:r>
      <w:r w:rsidR="00CD0FAC">
        <w:t xml:space="preserve"> are largely mixed-</w:t>
      </w:r>
      <w:r w:rsidR="004F1724">
        <w:t>stock</w:t>
      </w:r>
      <w:r w:rsidR="00D01D2B">
        <w:t xml:space="preserve">, </w:t>
      </w:r>
      <w:r w:rsidR="00CD0FAC">
        <w:t xml:space="preserve">abundant and depleted populations </w:t>
      </w:r>
      <w:r w:rsidR="00D01D2B">
        <w:t>are inevitably</w:t>
      </w:r>
      <w:r w:rsidR="00CD0FAC">
        <w:t xml:space="preserve"> harvested simultaneously</w:t>
      </w:r>
      <w:r w:rsidR="00DE08F6">
        <w:t xml:space="preserve"> (REF). </w:t>
      </w:r>
      <w:r w:rsidR="00CD0FAC">
        <w:t>Altogether these factors create a delicate framework</w:t>
      </w:r>
      <w:r w:rsidR="00DE08F6">
        <w:t xml:space="preserve">, </w:t>
      </w:r>
      <w:r w:rsidR="00CD0FAC">
        <w:t xml:space="preserve">where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p>
    <w:p w14:paraId="033E85F8" w14:textId="70802B5E"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D7777B">
        <w:t>conduct a retrospective analysis to demonstrate</w:t>
      </w:r>
      <w:r>
        <w:t xml:space="preserve"> </w:t>
      </w:r>
      <w:r w:rsidR="00D7777B">
        <w:t xml:space="preserve">that aggregate temporal variability within the </w:t>
      </w:r>
      <w:r w:rsidR="001D36DC">
        <w:t>Fraser River</w:t>
      </w:r>
      <w:r w:rsidR="00D7777B">
        <w:t xml:space="preserve"> has recently increased due to changes in both component variability and synchrony.</w:t>
      </w:r>
      <w:r w:rsidR="00D01D2B">
        <w:t xml:space="preserve"> </w:t>
      </w:r>
      <w:r w:rsidR="00D7777B">
        <w:t>We</w:t>
      </w:r>
      <w:r w:rsidR="002B460B">
        <w:t xml:space="preserve"> then use stochastic simulations to</w:t>
      </w:r>
      <w:r w:rsidR="001D36DC">
        <w:t xml:space="preserve"> </w:t>
      </w:r>
      <w:r w:rsidR="00D7777B">
        <w:t xml:space="preserve">test whether </w:t>
      </w:r>
      <w:r w:rsidR="001D36DC">
        <w:t>increases</w:t>
      </w:r>
      <w:r w:rsidR="006A4872">
        <w:t xml:space="preserve"> in </w:t>
      </w:r>
      <w:r w:rsidR="00E51CA9">
        <w:t>component</w:t>
      </w:r>
      <w:r w:rsidR="006A4872">
        <w:t xml:space="preserve"> variability</w:t>
      </w:r>
      <w:r w:rsidR="00E51CA9">
        <w:t xml:space="preserve"> and synchrony</w:t>
      </w:r>
      <w:r w:rsidR="00940776">
        <w:t xml:space="preserve"> </w:t>
      </w:r>
      <w:r w:rsidR="001D36DC">
        <w:t>are associated with</w:t>
      </w:r>
      <w:r w:rsidR="00940776">
        <w:t xml:space="preserve"> negative outcomes </w:t>
      </w:r>
      <w:r w:rsidR="00E51CA9">
        <w:t xml:space="preserve">across a suite of performance metrics.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lastRenderedPageBreak/>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15F6FAB6"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Pacific salmon populations exhibit local adaptations and are typically managed to conserve life history diversity (</w:t>
      </w:r>
      <w:proofErr w:type="spellStart"/>
      <w:r w:rsidR="000E43A3">
        <w:t>Holtby</w:t>
      </w:r>
      <w:proofErr w:type="spellEnd"/>
      <w:r w:rsidR="000E43A3">
        <w:t xml:space="preserve"> REF</w:t>
      </w:r>
      <w:r w:rsidR="00714028">
        <w:t xml:space="preserve">).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0E43A3">
        <w:t xml:space="preserve"> (Grant REF; </w:t>
      </w:r>
      <w:proofErr w:type="spellStart"/>
      <w:r w:rsidR="000E43A3">
        <w:t>Holtby</w:t>
      </w:r>
      <w:proofErr w:type="spellEnd"/>
      <w:r w:rsidR="000E43A3">
        <w:t xml:space="preserve"> REF)</w:t>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0E43A3">
        <w:t xml:space="preserve"> (</w:t>
      </w:r>
      <w:proofErr w:type="spellStart"/>
      <w:r w:rsidR="000E43A3">
        <w:t>Holtby</w:t>
      </w:r>
      <w:proofErr w:type="spellEnd"/>
      <w:r w:rsidR="000E43A3">
        <w:t xml:space="preserve"> REF)</w:t>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timing</w:t>
      </w:r>
      <w:r w:rsidR="000E43A3">
        <w:t xml:space="preserve"> (Grant REF)</w:t>
      </w:r>
      <w:r w:rsidR="00992367">
        <w:t xml:space="preserve">.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our analysis</w:t>
      </w:r>
      <w:r w:rsidR="00E06BE2">
        <w:t xml:space="preserve">, along with their respective run timings and component CUs, are described in Table 1. </w:t>
      </w:r>
    </w:p>
    <w:p w14:paraId="667FFEEE" w14:textId="07633BF5"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9C53F"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56520276" w:rsidR="000C23EB" w:rsidRDefault="00697A59" w:rsidP="006A3951">
      <w:r>
        <w:t xml:space="preserve">Here </w:t>
      </w:r>
      <w:r>
        <w:rPr>
          <w:i/>
        </w:rPr>
        <w:t xml:space="preserve">v </w:t>
      </w:r>
      <w:r>
        <w:t xml:space="preserve">denotes variance (over time) for </w:t>
      </w:r>
      <w:commentRangeStart w:id="0"/>
      <w:r>
        <w:t xml:space="preserve">populations </w:t>
      </w:r>
      <w:commentRangeEnd w:id="0"/>
      <w:r w:rsidR="00E51CA9">
        <w:rPr>
          <w:rStyle w:val="CommentReference"/>
        </w:rPr>
        <w:commentReference w:id="0"/>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aggregate (</w:t>
      </w:r>
      <w:proofErr w:type="spellStart"/>
      <w:r>
        <w:t>Loreau</w:t>
      </w:r>
      <w:proofErr w:type="spellEnd"/>
      <w:r>
        <w:t xml:space="preserve"> and de </w:t>
      </w:r>
      <w:proofErr w:type="spellStart"/>
      <w:r>
        <w:t>Mazancourt</w:t>
      </w:r>
      <w:proofErr w:type="spellEnd"/>
      <w:r>
        <w:t xml:space="preserve"> 2008; Thibault and Connolly 2013).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w:t>
      </w:r>
      <w:r w:rsidR="00FF04FF">
        <w:lastRenderedPageBreak/>
        <w:t>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424B71">
        <w:t xml:space="preserve"> As a result, it can be readily used to </w:t>
      </w:r>
      <w:r w:rsidR="00E51CA9">
        <w:t xml:space="preserve">directly </w:t>
      </w:r>
      <w:r w:rsidR="00424B71">
        <w:t xml:space="preserve">compare </w:t>
      </w:r>
      <w:r w:rsidR="00E51CA9">
        <w:t xml:space="preserve">disparate </w:t>
      </w:r>
      <w:r w:rsidR="00424B71">
        <w:t>systems.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24AC9287"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E51CA9">
        <w:t xml:space="preserve"> (</w:t>
      </w:r>
      <w:proofErr w:type="spellStart"/>
      <w:r w:rsidR="00E51CA9">
        <w:t>Thib</w:t>
      </w:r>
      <w:proofErr w:type="spellEnd"/>
      <w:r w:rsidR="00E51CA9">
        <w:t xml:space="preserve"> and Connolly 2013)</w:t>
      </w:r>
      <w:r>
        <w:t>.</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3AF7428" w14:textId="1E1B0CA7" w:rsidR="009D23BD"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p>
    <w:p w14:paraId="78C68F26" w14:textId="1E95C14F" w:rsidR="000C23EB" w:rsidRDefault="009D23BD" w:rsidP="009D23BD">
      <w:r>
        <w:t xml:space="preserve"> </w:t>
      </w:r>
      <w:r w:rsidR="00B42D41">
        <w:t xml:space="preserve"> </w:t>
      </w:r>
    </w:p>
    <w:p w14:paraId="2C77A1F0" w14:textId="77777777" w:rsidR="00A91A4F" w:rsidRDefault="00A91A4F" w:rsidP="006C2754">
      <w:pPr>
        <w:rPr>
          <w:i/>
        </w:rPr>
      </w:pPr>
      <w:r>
        <w:rPr>
          <w:i/>
        </w:rPr>
        <w:t>Forward simulation</w:t>
      </w:r>
    </w:p>
    <w:p w14:paraId="41F59EDA" w14:textId="00C3574F" w:rsidR="008518AD" w:rsidRDefault="008518AD" w:rsidP="00A91A4F">
      <w:pPr>
        <w:rPr>
          <w:i/>
        </w:rPr>
      </w:pPr>
      <w:r>
        <w:rPr>
          <w:i/>
        </w:rPr>
        <w:t xml:space="preserve">Process </w:t>
      </w:r>
      <w:proofErr w:type="spellStart"/>
      <w:r>
        <w:rPr>
          <w:i/>
        </w:rPr>
        <w:t>submodel</w:t>
      </w:r>
      <w:proofErr w:type="spellEnd"/>
    </w:p>
    <w:p w14:paraId="7225BEA0" w14:textId="15C0EC9B"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5B527F">
        <w:t xml:space="preserve"> (Ricker REF)</w:t>
      </w:r>
    </w:p>
    <w:p w14:paraId="317B800F" w14:textId="77777777" w:rsidR="009D23BD" w:rsidRDefault="009D23BD" w:rsidP="009D23BD">
      <w:r>
        <w:t>Equation 4</w:t>
      </w:r>
      <w:r>
        <w:tab/>
      </w:r>
      <w:r>
        <w:tab/>
      </w:r>
      <w:r>
        <w:tab/>
      </w:r>
      <w:r>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77777777"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w:t>
      </w:r>
      <w:r>
        <w:lastRenderedPageBreak/>
        <w:t xml:space="preserve">the reciprocal of the number of </w:t>
      </w:r>
      <w:proofErr w:type="spellStart"/>
      <w:r>
        <w:t>spawners</w:t>
      </w:r>
      <w:proofErr w:type="spellEnd"/>
      <w:r>
        <w:t xml:space="preserve"> that produce maximum recruits. This model can be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77777777" w:rsidR="009D23BD" w:rsidRDefault="009D23BD" w:rsidP="009D23BD">
      <w:pPr>
        <w:rPr>
          <w:rFonts w:eastAsiaTheme="minorEastAsia"/>
        </w:rPr>
      </w:pPr>
      <w:r>
        <w:t>Equation 5</w:t>
      </w:r>
      <w:r>
        <w:tab/>
      </w:r>
      <w:r>
        <w:rPr>
          <w:rFonts w:eastAsiaTheme="minorEastAsia"/>
        </w:rPr>
        <w:tab/>
      </w:r>
      <w:r>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674EF76A" w:rsidR="009D23BD" w:rsidRDefault="009D23BD" w:rsidP="009D23BD">
      <w:pPr>
        <w:tabs>
          <w:tab w:val="left" w:pos="851"/>
        </w:tabs>
      </w:pPr>
      <w:r>
        <w:tab/>
      </w:r>
      <w:r>
        <w:t>The productivity of a subset of CUs with cyclic dynamics (Table 1) was estimated using a Larkin model, a modified version of the Ricker model that accounts for</w:t>
      </w:r>
      <w:r w:rsidR="005B527F">
        <w:t xml:space="preserve"> interactions among brood years, i.e.</w:t>
      </w:r>
      <w:r>
        <w:t xml:space="preserve"> delayed density-dependent effects (details in </w:t>
      </w:r>
      <w:r w:rsidR="005B527F">
        <w:t>Appendix</w:t>
      </w:r>
      <w:r>
        <w:t>). Whether we estimated productivity for a given CU using a Ricker or Larkin model followed assignments made in the most recent Wild Salmon Policy assessment (REF).</w:t>
      </w:r>
    </w:p>
    <w:p w14:paraId="6B170D9E" w14:textId="7E3F5B5F" w:rsidR="00CE0781" w:rsidRDefault="009D23BD" w:rsidP="005B527F">
      <w:pPr>
        <w:tabs>
          <w:tab w:val="left" w:pos="709"/>
        </w:tabs>
      </w:pPr>
      <w:r>
        <w:tab/>
      </w:r>
      <w:r w:rsidR="00B40124">
        <w:t xml:space="preserve">To parameterize each CU’s stock-recruit relationship we used median estimates </w:t>
      </w:r>
      <w:proofErr w:type="gramStart"/>
      <w:r w:rsidR="00B40124">
        <w:t xml:space="preserve">of </w:t>
      </w:r>
      <w:proofErr w:type="gramEnd"/>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FRSSI). </w:t>
      </w:r>
      <w:r w:rsidR="00EB655E">
        <w:t xml:space="preserve">To account for autocorrelation </w:t>
      </w:r>
      <w:r w:rsidR="00B40124">
        <w:t xml:space="preserve">and incorporate covariation among CUs we simulated deviations from the stock-recruitment relationship as </w:t>
      </w:r>
    </w:p>
    <w:p w14:paraId="6DFBD4C3" w14:textId="0758B61D" w:rsidR="00B40124" w:rsidRPr="00B40124" w:rsidRDefault="00CE0781" w:rsidP="00CE0781">
      <w:pPr>
        <w:tabs>
          <w:tab w:val="left" w:pos="284"/>
        </w:tabs>
      </w:pPr>
      <w:r>
        <w:t xml:space="preserve"> Equation 6  </w:t>
      </w:r>
      <w:r>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712E03"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712E03"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0F1C562A" w:rsidR="004F6C38"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061B4B8E" w:rsidR="00D20FCD" w:rsidRDefault="0051250B" w:rsidP="002800A9">
      <w:pPr>
        <w:ind w:firstLine="720"/>
      </w:pPr>
      <w:r>
        <w:t>We also incorporated a second 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D20FCD">
        <w:rPr>
          <w:rFonts w:eastAsiaTheme="minorEastAsia"/>
        </w:rPr>
        <w:t>(REF); however,</w:t>
      </w:r>
      <w:r>
        <w:t xml:space="preserve"> </w:t>
      </w:r>
      <w:r w:rsidR="00D20FCD">
        <w:t>r</w:t>
      </w:r>
      <w:r>
        <w:t>ather than manipulate per capita productivity directly,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 xml:space="preserve">y-tailed) in a subset of years. Thus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p>
    <w:p w14:paraId="4013A24E" w14:textId="054936C6" w:rsidR="00D20FCD" w:rsidRPr="008518AD" w:rsidRDefault="00712E03" w:rsidP="00D20FCD">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m:oMathPara>
    </w:p>
    <w:p w14:paraId="6F42A53C" w14:textId="77777777" w:rsidR="00063326" w:rsidRDefault="00D20FCD" w:rsidP="00A409A9">
      <w:pPr>
        <w:rPr>
          <w:rFonts w:eastAsiaTheme="minorEastAsia"/>
        </w:rPr>
      </w:pPr>
      <w:r>
        <w:t xml:space="preserve">Where </w:t>
      </w:r>
      <w:r w:rsidR="007014D4">
        <w:rPr>
          <w:b/>
        </w:rPr>
        <w:t>V</w:t>
      </w:r>
      <w:r w:rsidR="008518AD">
        <w:t xml:space="preserve"> is defined as above,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w:t>
      </w:r>
      <w:r w:rsidR="007014D4">
        <w:lastRenderedPageBreak/>
        <w:t xml:space="preserve">distribution approaches the normal distribution (Anderson ref). </w:t>
      </w:r>
      <w:r w:rsidR="008518AD">
        <w:t xml:space="preserve">When </w:t>
      </w:r>
      <m:oMath>
        <m:r>
          <w:rPr>
            <w:rFonts w:ascii="Cambria Math" w:hAnsi="Cambria Math"/>
          </w:rPr>
          <m:t>γ</m:t>
        </m:r>
      </m:oMath>
      <w:r w:rsidR="008518AD">
        <w:t xml:space="preserve"> is negative the distribution is left-skewed, when it is positive it is right-skewed. We assigned relatively moderate values to both </w:t>
      </w:r>
      <w:proofErr w:type="gramStart"/>
      <w:r w:rsidR="008518AD">
        <w:t xml:space="preserve">parameters </w:t>
      </w:r>
      <w:proofErr w:type="gramEnd"/>
      <m:oMath>
        <m:r>
          <w:rPr>
            <w:rFonts w:ascii="Cambria Math" w:hAnsi="Cambria Math"/>
          </w:rPr>
          <m:t>(v=7;γ=-0.5)</m:t>
        </m:r>
      </m:oMath>
      <w:r w:rsidR="008518AD">
        <w:rPr>
          <w:rFonts w:eastAsiaTheme="minorEastAsia"/>
        </w:rPr>
        <w:t>.</w:t>
      </w:r>
      <w:r w:rsidR="00177C7C">
        <w:rPr>
          <w:rFonts w:eastAsiaTheme="minorEastAsia"/>
        </w:rPr>
        <w:t xml:space="preserve"> </w:t>
      </w:r>
      <w:r w:rsidR="00177C7C">
        <w:rPr>
          <w:rFonts w:eastAsiaTheme="minorEastAsia"/>
          <w:b/>
        </w:rPr>
        <w:t>INSERT JUSTIFICATION</w:t>
      </w:r>
      <w:r w:rsidR="008518AD">
        <w:rPr>
          <w:rFonts w:eastAsiaTheme="minorEastAsia"/>
        </w:rPr>
        <w:t xml:space="preserve"> In the low productivity scenario we sampled from the Student </w:t>
      </w:r>
      <w:r w:rsidR="008518AD">
        <w:rPr>
          <w:rFonts w:eastAsiaTheme="minorEastAsia"/>
          <w:i/>
        </w:rPr>
        <w:t>t</w:t>
      </w:r>
      <w:r w:rsidR="008518AD">
        <w:rPr>
          <w:rFonts w:eastAsiaTheme="minorEastAsia"/>
        </w:rPr>
        <w:t xml:space="preserve"> distribution with a mean frequency of 0.3</w:t>
      </w:r>
      <w:r w:rsidR="005B527F">
        <w:rPr>
          <w:rFonts w:eastAsiaTheme="minorEastAsia"/>
        </w:rPr>
        <w:t xml:space="preserve"> 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the simulation period</w:t>
      </w:r>
      <w:r w:rsidR="008518AD">
        <w:rPr>
          <w:rFonts w:eastAsiaTheme="minorEastAsia"/>
        </w:rPr>
        <w:t>.</w:t>
      </w:r>
      <w:r w:rsidR="00A409A9">
        <w:rPr>
          <w:rFonts w:eastAsiaTheme="minorEastAsia"/>
        </w:rPr>
        <w:t xml:space="preserve"> </w:t>
      </w:r>
    </w:p>
    <w:p w14:paraId="558FAB95" w14:textId="32317277" w:rsidR="0051250B" w:rsidRDefault="00063326" w:rsidP="00063326">
      <w:pPr>
        <w:ind w:firstLine="720"/>
        <w:rPr>
          <w:rFonts w:eastAsiaTheme="minorEastAsia"/>
        </w:rPr>
      </w:pPr>
      <w:r>
        <w:rPr>
          <w:rFonts w:eastAsiaTheme="minorEastAsia"/>
        </w:rPr>
        <w:t>We also tested the effect of an</w:t>
      </w:r>
      <w:r w:rsidR="00A409A9">
        <w:rPr>
          <w:rFonts w:eastAsiaTheme="minorEastAsia"/>
        </w:rPr>
        <w:t xml:space="preserve"> alternative scenario where average productivity is </w:t>
      </w:r>
      <w:r>
        <w:rPr>
          <w:rFonts w:eastAsiaTheme="minorEastAsia"/>
        </w:rPr>
        <w:t xml:space="preserve">directly </w:t>
      </w:r>
      <w:r w:rsidR="00A409A9">
        <w:rPr>
          <w:rFonts w:eastAsiaTheme="minorEastAsia"/>
        </w:rPr>
        <w:t xml:space="preserve">reduced during the simulation period by using smaller values </w:t>
      </w:r>
      <w:proofErr w:type="gramStart"/>
      <w:r w:rsidR="00A409A9">
        <w:rPr>
          <w:rFonts w:eastAsiaTheme="minorEastAsia"/>
        </w:rPr>
        <w:t xml:space="preserve">of </w:t>
      </w:r>
      <w:proofErr w:type="gramEnd"/>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percentile of the posterior distribution, rather than the median, to represent a persistently low productivity regime.</w:t>
      </w:r>
      <w:r>
        <w:rPr>
          <w:rFonts w:eastAsiaTheme="minorEastAsia"/>
        </w:rPr>
        <w:t xml:space="preserve"> This model produced declines in performance metrics that were more severe, relative to the reference productivity scenario, than the skewed scenario described above (results presented in Appendix). </w:t>
      </w:r>
    </w:p>
    <w:p w14:paraId="3C089EA2" w14:textId="4E893501" w:rsidR="008518AD" w:rsidRPr="008518AD" w:rsidRDefault="008518AD" w:rsidP="008518AD">
      <w:pPr>
        <w:rPr>
          <w:i/>
        </w:rPr>
      </w:pPr>
      <w:r>
        <w:rPr>
          <w:rFonts w:eastAsiaTheme="minorEastAsia"/>
          <w:i/>
        </w:rPr>
        <w:t xml:space="preserve">Management </w:t>
      </w:r>
      <w:proofErr w:type="spellStart"/>
      <w:r>
        <w:rPr>
          <w:rFonts w:eastAsiaTheme="minorEastAsia"/>
          <w:i/>
        </w:rPr>
        <w:t>submodel</w:t>
      </w:r>
      <w:proofErr w:type="spellEnd"/>
    </w:p>
    <w:p w14:paraId="0C542728" w14:textId="61217C30" w:rsidR="007B4FA6" w:rsidRPr="00BF0BBF"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replicates the Total Allowable Mortality framework currently </w:t>
      </w:r>
      <w:r w:rsidR="00CE0781">
        <w:t>used by fisheries management</w:t>
      </w:r>
      <w:r w:rsidR="007B4FA6">
        <w:t xml:space="preserve"> (REF). Broadly speaking, this HCR uses in-season estimates of recruitment derived from test fisheries to adjust target exploitation rates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downwards to account for mortality during upstream migration.</w:t>
      </w:r>
      <w:r w:rsidR="00CE0781">
        <w:t xml:space="preserve"> The second simulated source of mortality represented </w:t>
      </w:r>
      <w:proofErr w:type="spellStart"/>
      <w:r w:rsidR="00CE0781">
        <w:t>en</w:t>
      </w:r>
      <w:proofErr w:type="spellEnd"/>
      <w:r w:rsidR="00CE0781">
        <w:t xml:space="preserve"> route mortality that occurs after fish enter freshwater</w:t>
      </w:r>
      <w:r w:rsidR="00CE0781" w:rsidRPr="00CE0781">
        <w:t xml:space="preserve"> due to a combination of natural mortality (thermal stress, pathogen infection, </w:t>
      </w:r>
      <w:proofErr w:type="gramStart"/>
      <w:r w:rsidR="00CE0781" w:rsidRPr="00CE0781">
        <w:t>predation</w:t>
      </w:r>
      <w:proofErr w:type="gramEnd"/>
      <w:r w:rsidR="00CE0781" w:rsidRPr="00CE0781">
        <w:t xml:space="preserve">) and unreported harvest (REF). </w:t>
      </w:r>
      <w:r w:rsidR="00CE0781">
        <w:t xml:space="preserve">We generate stochastic, CU-specific </w:t>
      </w:r>
      <w:proofErr w:type="spellStart"/>
      <w:r w:rsidR="00CE0781">
        <w:t>en</w:t>
      </w:r>
      <w:proofErr w:type="spellEnd"/>
      <w:r w:rsidR="00CE0781">
        <w:t xml:space="preserve"> route mortality every year because it</w:t>
      </w:r>
      <w:r w:rsidR="00CE0781" w:rsidRPr="00CE0781">
        <w:t xml:space="preserve"> appears to be correlated with migration phenology (REF), in-river temperatures (REF), and freshwater flow (REF).</w:t>
      </w:r>
      <w:r w:rsidR="00CE0781" w:rsidRPr="00E51CA9">
        <w:rPr>
          <w:strike/>
        </w:rPr>
        <w:t xml:space="preserve"> </w:t>
      </w:r>
      <w:r w:rsidR="007B4FA6">
        <w:t xml:space="preserve"> </w:t>
      </w:r>
      <w:commentRangeStart w:id="1"/>
      <w:r w:rsidR="007B4FA6">
        <w:t>Details of the harvest control rule, mortality calculations, and parameter specifications are described in Appendix 1.</w:t>
      </w:r>
      <w:commentRangeEnd w:id="1"/>
      <w:r w:rsidR="007B4FA6">
        <w:rPr>
          <w:rStyle w:val="CommentReference"/>
        </w:rPr>
        <w:commentReference w:id="1"/>
      </w:r>
    </w:p>
    <w:p w14:paraId="713E5E3C" w14:textId="3A9B0BFB" w:rsidR="00422BF4" w:rsidRPr="00422BF4" w:rsidRDefault="00DA242F" w:rsidP="00D40465">
      <w:pPr>
        <w:rPr>
          <w:i/>
        </w:rPr>
      </w:pPr>
      <w:r>
        <w:rPr>
          <w:i/>
        </w:rPr>
        <w:t>Component variability and synchrony “treatments”</w:t>
      </w:r>
    </w:p>
    <w:p w14:paraId="0A3D9A81" w14:textId="1F414067"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CE0781">
        <w:rPr>
          <w:rFonts w:eastAsiaTheme="minorEastAsia"/>
          <w:bCs/>
          <w:color w:val="222222"/>
          <w:shd w:val="clear" w:color="auto" w:fill="FFFFFF"/>
        </w:rPr>
        <w:t xml:space="preserve"> (Table 2</w:t>
      </w:r>
      <w:r w:rsidR="007C1550">
        <w:rPr>
          <w:rFonts w:eastAsiaTheme="minorEastAsia"/>
          <w:bCs/>
          <w:color w:val="222222"/>
          <w:shd w:val="clear" w:color="auto" w:fill="FFFFFF"/>
        </w:rPr>
        <w:t>)</w:t>
      </w:r>
      <w:r w:rsidR="007C1550">
        <w:rPr>
          <w:rFonts w:eastAsiaTheme="minorEastAsia"/>
        </w:rPr>
        <w:t xml:space="preserve">. Each operating model represents a </w:t>
      </w:r>
      <w:r w:rsidR="009322F4">
        <w:rPr>
          <w:rFonts w:eastAsiaTheme="minorEastAsia"/>
        </w:rPr>
        <w:t>distinct</w:t>
      </w:r>
      <w:r w:rsidR="007C1550">
        <w:rPr>
          <w:rFonts w:eastAsiaTheme="minorEastAsia"/>
        </w:rPr>
        <w:t xml:space="preserve"> component variabi</w:t>
      </w:r>
      <w:r w:rsidR="00DA242F">
        <w:rPr>
          <w:rFonts w:eastAsiaTheme="minorEastAsia"/>
        </w:rPr>
        <w:t xml:space="preserve">lity and synchrony “treatment”. We created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F07325">
        <w:rPr>
          <w:rFonts w:eastAsiaTheme="minorEastAsia"/>
        </w:rPr>
        <w:t>.</w:t>
      </w:r>
      <w:r w:rsidR="00CE0781">
        <w:rPr>
          <w:rFonts w:eastAsiaTheme="minorEastAsia"/>
        </w:rPr>
        <w:t xml:space="preserve"> </w:t>
      </w:r>
      <w:r w:rsidR="00DA242F">
        <w:rPr>
          <w:rFonts w:eastAsiaTheme="minorEastAsia"/>
        </w:rPr>
        <w:t xml:space="preserve">We created synchrony treatments by setting the correlation coefficient </w:t>
      </w:r>
      <m:oMath>
        <m:r>
          <w:rPr>
            <w:rFonts w:ascii="Cambria Math" w:hAnsi="Cambria Math"/>
          </w:rPr>
          <m:t>σ</m:t>
        </m:r>
        <m:r>
          <m:rPr>
            <m:sty m:val="p"/>
          </m:rPr>
          <w:rPr>
            <w:rFonts w:ascii="Cambria Math" w:eastAsiaTheme="minorEastAsia" w:hAnsi="Cambria Math"/>
          </w:rPr>
          <m:t xml:space="preserve"> </m:t>
        </m:r>
        <m:r>
          <w:rPr>
            <w:rFonts w:ascii="Cambria Math" w:hAnsi="Cambria Math"/>
          </w:rPr>
          <m:t>ρ</m:t>
        </m:r>
      </m:oMath>
      <w:r w:rsidR="00DA242F">
        <w:t xml:space="preserve"> at values that produced </w:t>
      </w:r>
      <m:oMath>
        <m:r>
          <w:rPr>
            <w:rFonts w:ascii="Cambria Math" w:hAnsi="Cambria Math"/>
          </w:rPr>
          <m:t>φ</m:t>
        </m:r>
      </m:oMath>
      <w:r w:rsidR="00DA242F">
        <w:t xml:space="preserve"> values consistent with historical observations, current observations, or values moderately higher than present. </w:t>
      </w:r>
    </w:p>
    <w:p w14:paraId="6C0A86CB" w14:textId="51636AD6" w:rsidR="002800A9" w:rsidRDefault="00422BF4" w:rsidP="00F07325">
      <w:pPr>
        <w:ind w:firstLine="720"/>
      </w:pPr>
      <w:r>
        <w:lastRenderedPageBreak/>
        <w:t xml:space="preserve">We introduced additional stochasticity into the model via </w:t>
      </w:r>
      <w:proofErr w:type="spellStart"/>
      <w:r w:rsidR="00155B1C">
        <w:t>interannual</w:t>
      </w:r>
      <w:proofErr w:type="spellEnd"/>
      <w:r w:rsidR="00155B1C">
        <w:t xml:space="preserve"> </w:t>
      </w:r>
      <w:r>
        <w:t>variation in</w:t>
      </w:r>
      <w:r w:rsidR="009322F4">
        <w:t>:</w:t>
      </w:r>
      <w:r w:rsidR="00F07325">
        <w:t xml:space="preserve"> age at maturity</w:t>
      </w:r>
      <w:r>
        <w:t xml:space="preserve">, </w:t>
      </w:r>
      <w:r w:rsidR="007C1550">
        <w:t>in-season abundance</w:t>
      </w:r>
      <w:r w:rsidR="009322F4">
        <w:t xml:space="preserve"> estimates</w:t>
      </w:r>
      <w:r w:rsidR="007C1550">
        <w:t xml:space="preserve"> error</w:t>
      </w:r>
      <w:r>
        <w:t xml:space="preserve">, </w:t>
      </w:r>
      <w:r w:rsidR="00F07D48">
        <w:t xml:space="preserve">en route mortality, </w:t>
      </w:r>
      <w:r>
        <w:t>and outcome uncertainty (</w:t>
      </w:r>
      <w:r w:rsidR="00BF0BBF">
        <w:t>Table 2</w:t>
      </w:r>
      <w:r>
        <w:t xml:space="preserve">). </w:t>
      </w:r>
      <w:r w:rsidR="00177C7C">
        <w:t>The results we present in the main text are based on simulations with the reference value for each parameter only; however, w</w:t>
      </w:r>
      <w:r>
        <w:t xml:space="preserve">e </w:t>
      </w:r>
      <w:r w:rsidR="00177C7C">
        <w:t>tested the effect of alternative values</w:t>
      </w:r>
      <w:r>
        <w:t xml:space="preserve"> in a series of sensitivity analyses to ensure </w:t>
      </w:r>
      <w:r w:rsidR="00BF0BBF">
        <w:t xml:space="preserve">that </w:t>
      </w:r>
      <w:r>
        <w:t>our resu</w:t>
      </w:r>
      <w:r w:rsidR="00155B1C">
        <w:t>lts were robust to</w:t>
      </w:r>
      <w:r w:rsidR="00177C7C">
        <w:t xml:space="preserve"> this</w:t>
      </w:r>
      <w:r w:rsidR="00155B1C">
        <w:t xml:space="preserve"> assumption</w:t>
      </w:r>
      <w:r>
        <w:t>.</w:t>
      </w:r>
      <w:r w:rsidR="00155B1C">
        <w:t xml:space="preserve"> Details of how </w:t>
      </w:r>
      <w:r w:rsidR="00F07325">
        <w:t xml:space="preserve">each process was parameterized </w:t>
      </w:r>
      <w:r w:rsidR="00155B1C">
        <w:t xml:space="preserve">are </w:t>
      </w:r>
      <w:r w:rsidR="00F07325">
        <w:t>described in the Appendix and results of sensitivity analyses are provided in an online supplement.</w:t>
      </w:r>
    </w:p>
    <w:p w14:paraId="10B8BFCB" w14:textId="1AA29256" w:rsidR="00422BF4" w:rsidRDefault="00422BF4" w:rsidP="00D40465">
      <w:pPr>
        <w:rPr>
          <w:i/>
        </w:rPr>
      </w:pPr>
      <w:r>
        <w:rPr>
          <w:i/>
        </w:rPr>
        <w:t>Evaluating model performance</w:t>
      </w:r>
    </w:p>
    <w:p w14:paraId="0891A476" w14:textId="7A706199"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m:oMath>
        <m:r>
          <w:rPr>
            <w:rFonts w:ascii="Cambria Math" w:hAnsi="Cambria Math"/>
          </w:rPr>
          <m:t>φ</m:t>
        </m:r>
      </m:oMath>
      <w:r>
        <w:rPr>
          <w:rFonts w:ascii="Calibri" w:hAnsi="Calibri"/>
        </w:rPr>
        <w:t xml:space="preserve">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 xml:space="preserve">d the likelihood of achieving conservation- and catch-based management objectives (Table X). The first conservation-based PM </w:t>
      </w:r>
      <w:r w:rsidR="00EE0DC4">
        <w:rPr>
          <w:rFonts w:ascii="Calibri" w:hAnsi="Calibri"/>
        </w:rPr>
        <w:t xml:space="preserve">we generated </w:t>
      </w:r>
      <w:r w:rsidR="000C51BA">
        <w:rPr>
          <w:rFonts w:ascii="Calibri" w:hAnsi="Calibri"/>
        </w:rPr>
        <w:t xml:space="preserve">was </w:t>
      </w:r>
      <w:r w:rsidR="00EE0DC4">
        <w:rPr>
          <w:rFonts w:ascii="Calibri" w:hAnsi="Calibri"/>
        </w:rPr>
        <w:t>spawner</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 escape</w:t>
      </w:r>
      <w:r w:rsidR="00EE0DC4">
        <w:rPr>
          <w:rFonts w:ascii="Calibri" w:hAnsi="Calibri"/>
        </w:rPr>
        <w:t>d</w:t>
      </w:r>
      <w:r w:rsidR="00F07D48">
        <w:rPr>
          <w:rFonts w:ascii="Calibri" w:hAnsi="Calibri"/>
        </w:rPr>
        <w:t xml:space="preserve"> to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 xml:space="preserve">in one generation in the absence of fishing mortality (WSP ref, Holt ref). The equations used to estimate these metrics are presented in the </w:t>
      </w:r>
      <w:r w:rsidR="00F07325">
        <w:t>A</w:t>
      </w:r>
      <w:r w:rsidR="000F2E0D">
        <w:t xml:space="preserve">ppendix. </w:t>
      </w:r>
      <w:commentRangeStart w:id="2"/>
      <w:r w:rsidR="000F2E0D">
        <w:t>Finally, we calculated the proportion of CUs extirpated at the end of the simulation period.</w:t>
      </w:r>
      <w:commentRangeEnd w:id="2"/>
      <w:r w:rsidR="00F07325">
        <w:rPr>
          <w:rStyle w:val="CommentReference"/>
        </w:rPr>
        <w:commentReference w:id="2"/>
      </w:r>
    </w:p>
    <w:p w14:paraId="565EF24C" w14:textId="4E3E74E6" w:rsidR="002800A9" w:rsidRDefault="00EE0DC4" w:rsidP="00D40465">
      <w:pPr>
        <w:rPr>
          <w:rFonts w:ascii="Calibri" w:hAnsi="Calibri"/>
        </w:rPr>
      </w:pPr>
      <w:r>
        <w:rPr>
          <w:rFonts w:ascii="Calibri" w:hAnsi="Calibri"/>
        </w:rPr>
        <w:tab/>
        <w:t>C</w:t>
      </w:r>
      <w:r w:rsidR="00AF3F2B">
        <w:rPr>
          <w:rFonts w:ascii="Calibri" w:hAnsi="Calibri"/>
        </w:rPr>
        <w:t xml:space="preserve">atch-based PMs included median catch </w:t>
      </w:r>
      <w:r w:rsidR="00166B5A">
        <w:rPr>
          <w:rFonts w:ascii="Calibri" w:hAnsi="Calibri"/>
        </w:rPr>
        <w:t>during</w:t>
      </w:r>
      <w:r w:rsidR="00AF3F2B">
        <w:rPr>
          <w:rFonts w:ascii="Calibri" w:hAnsi="Calibri"/>
        </w:rPr>
        <w:t xml:space="preserve"> the simulation </w:t>
      </w:r>
      <w:r w:rsidR="00166B5A">
        <w:rPr>
          <w:rFonts w:ascii="Calibri" w:hAnsi="Calibri"/>
        </w:rPr>
        <w:t>period, as well as three PMs associated with fishery benchmarks</w:t>
      </w:r>
      <w:r w:rsidR="00F07325">
        <w:rPr>
          <w:rFonts w:ascii="Calibri" w:hAnsi="Calibri"/>
        </w:rPr>
        <w:t xml:space="preserve"> (Table X)</w:t>
      </w:r>
      <w:r w:rsidR="00166B5A">
        <w:rPr>
          <w:rFonts w:ascii="Calibri" w:hAnsi="Calibri"/>
        </w:rPr>
        <w:t xml:space="preserve">. </w:t>
      </w:r>
      <w:r>
        <w:rPr>
          <w:rFonts w:ascii="Calibri" w:hAnsi="Calibri"/>
        </w:rPr>
        <w:t>We defined the first of these, t</w:t>
      </w:r>
      <w:r w:rsidR="00166B5A">
        <w:rPr>
          <w:rFonts w:ascii="Calibri" w:hAnsi="Calibri"/>
        </w:rPr>
        <w:t>he proportion of fisheries open</w:t>
      </w:r>
      <w:r>
        <w:rPr>
          <w:rFonts w:ascii="Calibri" w:hAnsi="Calibri"/>
        </w:rPr>
        <w:t>,</w:t>
      </w:r>
      <w:r w:rsidR="00166B5A">
        <w:rPr>
          <w:rFonts w:ascii="Calibri" w:hAnsi="Calibri"/>
        </w:rPr>
        <w:t xml:space="preserve"> as the proportion </w:t>
      </w:r>
      <w:r w:rsidR="00FB63BF">
        <w:rPr>
          <w:rFonts w:ascii="Calibri" w:hAnsi="Calibri"/>
        </w:rPr>
        <w:t xml:space="preserve">of </w:t>
      </w:r>
      <w:r w:rsidR="00166B5A">
        <w:rPr>
          <w:rFonts w:ascii="Calibri" w:hAnsi="Calibri"/>
        </w:rPr>
        <w:t xml:space="preserve">MUs with </w:t>
      </w:r>
      <w:r>
        <w:rPr>
          <w:rFonts w:ascii="Calibri" w:hAnsi="Calibri"/>
        </w:rPr>
        <w:t>recruit abundance</w:t>
      </w:r>
      <w:r w:rsidR="00166B5A">
        <w:rPr>
          <w:rFonts w:ascii="Calibri" w:hAnsi="Calibri"/>
        </w:rPr>
        <w:t xml:space="preserve"> greater than the minimum escapement target (</w:t>
      </w:r>
      <w:r>
        <w:rPr>
          <w:rFonts w:ascii="Calibri" w:hAnsi="Calibri"/>
        </w:rPr>
        <w:t>i.e. the lower fishery reference point specif</w:t>
      </w:r>
      <w:r w:rsidR="006C2754">
        <w:rPr>
          <w:rFonts w:ascii="Calibri" w:hAnsi="Calibri"/>
        </w:rPr>
        <w:t>i</w:t>
      </w:r>
      <w:r>
        <w:rPr>
          <w:rFonts w:ascii="Calibri" w:hAnsi="Calibri"/>
        </w:rPr>
        <w:t>ed</w:t>
      </w:r>
      <w:r w:rsidR="00166B5A">
        <w:rPr>
          <w:rFonts w:ascii="Calibri" w:hAnsi="Calibri"/>
        </w:rPr>
        <w:t xml:space="preserve"> by the harvest control rule). The PM represents the temporal mean of that proportion. 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t>
      </w:r>
      <w:commentRangeStart w:id="3"/>
      <w:r w:rsidR="00D16817">
        <w:rPr>
          <w:rFonts w:ascii="Calibri" w:hAnsi="Calibri"/>
        </w:rPr>
        <w:t>When TAC is below the smaller value, managers struggle to allocate sufficient quota to priority stakeholders (i.e. food, social, and ceremonial harvest for various First Nations). When TAC is above the larger value, managers are able to allocate some degree of catch to the commercial sector</w:t>
      </w:r>
      <w:commentRangeEnd w:id="3"/>
      <w:r w:rsidR="00D16817">
        <w:rPr>
          <w:rStyle w:val="CommentReference"/>
        </w:rPr>
        <w:commentReference w:id="3"/>
      </w:r>
      <w:r w:rsidR="00D16817">
        <w:rPr>
          <w:rFonts w:ascii="Calibri" w:hAnsi="Calibri"/>
        </w:rPr>
        <w:t>.</w:t>
      </w:r>
      <w:r w:rsidR="00166B5A">
        <w:rPr>
          <w:rFonts w:ascii="Calibri" w:hAnsi="Calibri"/>
        </w:rPr>
        <w:t xml:space="preserve"> </w:t>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sed on “true” recruit abundance, representing</w:t>
      </w:r>
      <w:r w:rsidR="00FB63BF">
        <w:rPr>
          <w:rFonts w:ascii="Calibri" w:hAnsi="Calibri"/>
        </w:rPr>
        <w:t xml:space="preserve"> a hypothetical omniscient manager, the PMs based on TAC levels incorporate uncertainty associated with the </w:t>
      </w:r>
      <w:r w:rsidR="006C2754">
        <w:rPr>
          <w:rFonts w:ascii="Calibri" w:hAnsi="Calibri"/>
        </w:rPr>
        <w:t>in-season forecast</w:t>
      </w:r>
      <w:r w:rsidR="00FB63BF">
        <w:rPr>
          <w:rFonts w:ascii="Calibri" w:hAnsi="Calibri"/>
        </w:rPr>
        <w:t xml:space="preserve"> process.</w:t>
      </w:r>
    </w:p>
    <w:p w14:paraId="6129938E" w14:textId="03D7F169" w:rsidR="00162C8A" w:rsidRPr="00162C8A" w:rsidRDefault="00162C8A" w:rsidP="007D5362">
      <w:pPr>
        <w:ind w:firstLine="720"/>
        <w:rPr>
          <w:rFonts w:ascii="Calibri" w:hAnsi="Calibri"/>
        </w:rPr>
      </w:pPr>
      <w:r>
        <w:rPr>
          <w:rFonts w:ascii="Calibri" w:hAnsi="Calibri"/>
        </w:rPr>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w:t>
      </w:r>
      <w:r w:rsidR="006C2754">
        <w:rPr>
          <w:rFonts w:ascii="Calibri" w:hAnsi="Calibri"/>
        </w:rPr>
        <w:t xml:space="preserve"> (approximately 10 sockeye salmon generations)</w:t>
      </w:r>
      <w:r w:rsidR="00207CE4">
        <w:rPr>
          <w:rFonts w:ascii="Calibri" w:hAnsi="Calibri"/>
        </w:rPr>
        <w:t xml:space="preserve"> and each OM was simulated 1000 times (a supplementary analysis indicated variation in </w:t>
      </w:r>
      <w:r w:rsidR="00207CE4">
        <w:rPr>
          <w:rFonts w:ascii="Calibri" w:hAnsi="Calibri"/>
        </w:rPr>
        <w:lastRenderedPageBreak/>
        <w:t xml:space="preserve">output metrics stabilized </w:t>
      </w:r>
      <w:r w:rsidR="006C2754">
        <w:rPr>
          <w:rFonts w:ascii="Calibri" w:hAnsi="Calibri"/>
        </w:rPr>
        <w:t>after</w:t>
      </w:r>
      <w:r w:rsidR="00207CE4">
        <w:rPr>
          <w:rFonts w:ascii="Calibri" w:hAnsi="Calibri"/>
        </w:rPr>
        <w:t xml:space="preserve"> 500-700 </w:t>
      </w:r>
      <w:r w:rsidR="006C2754">
        <w:rPr>
          <w:rFonts w:ascii="Calibri" w:hAnsi="Calibri"/>
        </w:rPr>
        <w:t>simulation runs</w:t>
      </w:r>
      <w:r w:rsidR="00207CE4">
        <w:rPr>
          <w:rFonts w:ascii="Calibri" w:hAnsi="Calibri"/>
        </w:rPr>
        <w:t>).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commentRangeStart w:id="4"/>
      <w:r w:rsidR="00FB63BF">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4"/>
      <w:r w:rsidR="00FB63BF">
        <w:rPr>
          <w:rStyle w:val="CommentReference"/>
        </w:rPr>
        <w:commentReference w:id="4"/>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AE0B96C" w14:textId="0AFC8892" w:rsidR="006C2754" w:rsidRDefault="006C2754" w:rsidP="00A91A4F">
      <w:r>
        <w:tab/>
      </w:r>
      <w:r>
        <w:t>Mean Fraser River sockeye salmon productivity</w:t>
      </w:r>
      <w:r w:rsidR="009D23BD">
        <w:t xml:space="preserve">, </w:t>
      </w:r>
      <w:proofErr w:type="gramStart"/>
      <w:r w:rsidR="009D23BD">
        <w:t>log(</w:t>
      </w:r>
      <w:proofErr w:type="gramEnd"/>
      <w:r w:rsidR="009D23BD">
        <w:t xml:space="preserve">recruits/spawner), </w:t>
      </w:r>
      <w:r>
        <w:t>declined from the late 1980s through 2005, the brood year which was predominantly responsible for producing the poor return in</w:t>
      </w:r>
      <w:r w:rsidR="009D23BD">
        <w:t xml:space="preserve"> 2009</w:t>
      </w:r>
      <w:r>
        <w:t>. Subsequently the aggregate exhibited several years of higher productivity, but the trend has remained variable and productivity has recently declined again (Fig. 2a). Mean CV</w:t>
      </w:r>
      <w:r>
        <w:rPr>
          <w:vertAlign w:val="subscript"/>
        </w:rPr>
        <w:t>C</w:t>
      </w:r>
      <w:r>
        <w:t xml:space="preserve"> (i.e. the temporal variability of the “average” CU’s productivity) was relatively stable for most of the time series before showing an increase in the 1990s that steepened over several years (Fig. 2b).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unusually high levels, synchrony increased again (Fig. 2c). </w:t>
      </w:r>
      <w:r w:rsidR="005B527F">
        <w:t>Unsurprisingly, c</w:t>
      </w:r>
      <w:r>
        <w:t>hanges in CV</w:t>
      </w:r>
      <w:r>
        <w:rPr>
          <w:vertAlign w:val="subscript"/>
        </w:rPr>
        <w:t>A</w:t>
      </w:r>
      <w:r>
        <w:t xml:space="preserve"> mirror these patterns, showing a dramatic increase in the early 2000s (Fig. 2d).</w:t>
      </w:r>
    </w:p>
    <w:p w14:paraId="151010AC" w14:textId="0748891B" w:rsidR="005B527F" w:rsidRDefault="005B527F" w:rsidP="00A91A4F">
      <w:pPr>
        <w:rPr>
          <w:i/>
        </w:rPr>
      </w:pPr>
      <w:r>
        <w:rPr>
          <w:i/>
        </w:rPr>
        <w:t>Forward simulation</w:t>
      </w:r>
    </w:p>
    <w:p w14:paraId="245C62D7" w14:textId="355E4586" w:rsidR="005B527F" w:rsidRDefault="005B527F" w:rsidP="00A91A4F">
      <w:pPr>
        <w:rPr>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that consistent with</w:t>
      </w:r>
      <w:r w:rsidR="00063326">
        <w:rPr>
          <w:rFonts w:eastAsiaTheme="minorEastAsia"/>
        </w:rPr>
        <w:t xml:space="preserve"> historical, current</w:t>
      </w:r>
      <w:r w:rsidR="00A409A9">
        <w:rPr>
          <w:rFonts w:eastAsiaTheme="minorEastAsia"/>
        </w:rPr>
        <w:t>, and moderately elevated trends in</w:t>
      </w:r>
      <w:r w:rsidR="00A409A9">
        <w:rPr>
          <w:rFonts w:eastAsiaTheme="minorEastAsia"/>
        </w:rPr>
        <w:t xml:space="preserve">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p>
    <w:p w14:paraId="79F55D56" w14:textId="0F7699BF" w:rsidR="00063326" w:rsidRPr="00712E03" w:rsidRDefault="00063326" w:rsidP="00A91A4F">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 effects on others. For example, increases in CV</w:t>
      </w:r>
      <w:r w:rsidR="00774187">
        <w:rPr>
          <w:rFonts w:eastAsiaTheme="minorEastAsia"/>
          <w:vertAlign w:val="subscript"/>
        </w:rPr>
        <w:t>C</w:t>
      </w:r>
      <w:r w:rsidR="00774187">
        <w:rPr>
          <w:rFonts w:eastAsiaTheme="minorEastAsia"/>
        </w:rPr>
        <w:t xml:space="preserve"> led to increased median </w:t>
      </w:r>
      <w:r w:rsidR="00712E03">
        <w:rPr>
          <w:rFonts w:eastAsiaTheme="minorEastAsia"/>
        </w:rPr>
        <w:t>recruit</w:t>
      </w:r>
      <w:r w:rsidR="00774187">
        <w:rPr>
          <w:rFonts w:eastAsiaTheme="minorEastAsia"/>
        </w:rPr>
        <w:t xml:space="preserve"> abundance, as long as synchrony remained low; however as synchrony increased</w:t>
      </w:r>
      <w:r w:rsidR="00712E03">
        <w:rPr>
          <w:rFonts w:eastAsiaTheme="minorEastAsia"/>
        </w:rPr>
        <w:t>,</w:t>
      </w:r>
      <w:r w:rsidR="00774187">
        <w:rPr>
          <w:rFonts w:eastAsiaTheme="minorEastAsia"/>
        </w:rPr>
        <w:t xml:space="preserve"> the likelihood that median abundance would decline rose (Figure 3). 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w:t>
      </w:r>
      <w:proofErr w:type="spellStart"/>
      <w:r w:rsidR="00774187">
        <w:rPr>
          <w:rFonts w:eastAsiaTheme="minorEastAsia"/>
        </w:rPr>
        <w:t>S</w:t>
      </w:r>
      <w:r w:rsidR="00774187">
        <w:rPr>
          <w:rFonts w:eastAsiaTheme="minorEastAsia"/>
          <w:vertAlign w:val="subscript"/>
        </w:rPr>
        <w:t>gen</w:t>
      </w:r>
      <w:proofErr w:type="spellEnd"/>
      <w:r w:rsidR="00774187">
        <w:rPr>
          <w:rFonts w:eastAsiaTheme="minorEastAsia"/>
        </w:rPr>
        <w:t>), while increasing synchrony only increased variability among trials. Interestingly neither the proportion of CUs above their upper biological benchmark (S</w:t>
      </w:r>
      <w:r w:rsidR="00774187">
        <w:rPr>
          <w:rFonts w:eastAsiaTheme="minorEastAsia"/>
          <w:vertAlign w:val="subscript"/>
        </w:rPr>
        <w:t>MSY</w:t>
      </w:r>
      <w:r w:rsidR="00774187">
        <w:rPr>
          <w:rFonts w:eastAsiaTheme="minorEastAsia"/>
        </w:rPr>
        <w:t>) nor the proportion of CUs that were ext</w:t>
      </w:r>
      <w:r w:rsidR="00712E03">
        <w:rPr>
          <w:rFonts w:eastAsiaTheme="minorEastAsia"/>
        </w:rPr>
        <w:t>ant was strongly influenced by CV</w:t>
      </w:r>
      <w:r w:rsidR="00712E03">
        <w:rPr>
          <w:rFonts w:eastAsiaTheme="minorEastAsia"/>
          <w:vertAlign w:val="subscript"/>
        </w:rPr>
        <w:t>C</w:t>
      </w:r>
      <w:r w:rsidR="00712E03">
        <w:rPr>
          <w:rFonts w:eastAsiaTheme="minorEastAsia"/>
        </w:rPr>
        <w:t xml:space="preserve"> or synchrony under the reference productivity scenario.</w:t>
      </w:r>
    </w:p>
    <w:p w14:paraId="7B081DBD" w14:textId="73B7F56A" w:rsidR="00774187" w:rsidRPr="00712E03" w:rsidRDefault="00774187" w:rsidP="00712E03">
      <w:pPr>
        <w:ind w:firstLine="720"/>
        <w:rPr>
          <w:rFonts w:eastAsiaTheme="minorEastAsia"/>
        </w:rPr>
      </w:pPr>
      <w:r>
        <w:rPr>
          <w:rFonts w:eastAsiaTheme="minorEastAsia"/>
        </w:rPr>
        <w:t>The negative effects of high CV</w:t>
      </w:r>
      <w:r>
        <w:rPr>
          <w:rFonts w:eastAsiaTheme="minorEastAsia"/>
          <w:vertAlign w:val="subscript"/>
        </w:rPr>
        <w:t>C</w:t>
      </w:r>
      <w:r>
        <w:rPr>
          <w:rFonts w:eastAsiaTheme="minorEastAsia"/>
        </w:rPr>
        <w:t xml:space="preserve"> and synchrony were notably stronger when the biological model included intermittent recruitment failures (generated by skewed process variance)</w:t>
      </w:r>
      <w:r w:rsidR="00712E03">
        <w:rPr>
          <w:rFonts w:eastAsiaTheme="minorEastAsia"/>
        </w:rPr>
        <w:t xml:space="preserve">. For example, when both processes were increased simultaneously median aggregate recruit abundance declined from approximately 8 million individuals to less than 6, while the mean proportion of CUs above their lower benchmark declined from 0.68 to 0.55, and the mean number of extirpations rose from 0 to 5%. </w:t>
      </w:r>
      <w:r w:rsidR="00712E03">
        <w:rPr>
          <w:rFonts w:eastAsiaTheme="minorEastAsia"/>
        </w:rPr>
        <w:lastRenderedPageBreak/>
        <w:t>Additionally, high levels of synchrony, but not CV</w:t>
      </w:r>
      <w:r w:rsidR="00712E03">
        <w:rPr>
          <w:rFonts w:eastAsiaTheme="minorEastAsia"/>
          <w:vertAlign w:val="subscript"/>
        </w:rPr>
        <w:t>C</w:t>
      </w:r>
      <w:r w:rsidR="00712E03">
        <w:rPr>
          <w:rFonts w:eastAsiaTheme="minorEastAsia"/>
        </w:rPr>
        <w:t>, were associated with fewer CUs being above their upper biological benchmark.</w:t>
      </w:r>
      <w:bookmarkStart w:id="5" w:name="_GoBack"/>
      <w:bookmarkEnd w:id="5"/>
    </w:p>
    <w:p w14:paraId="0383F8C4" w14:textId="77777777" w:rsidR="006C2754" w:rsidRDefault="006C2754" w:rsidP="00A91A4F"/>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6"/>
      <w:r>
        <w:t xml:space="preserve">A range </w:t>
      </w:r>
      <w:commentRangeEnd w:id="6"/>
      <w:r>
        <w:rPr>
          <w:rStyle w:val="CommentReference"/>
        </w:rPr>
        <w:commentReference w:id="6"/>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27AB0FBF" w14:textId="77777777" w:rsidR="00E531D5" w:rsidRPr="00E531D5" w:rsidRDefault="00DE0F7B" w:rsidP="00E531D5">
      <w:pPr>
        <w:pStyle w:val="EndNoteBibliography"/>
        <w:spacing w:after="0"/>
        <w:ind w:left="720" w:hanging="720"/>
        <w:rPr>
          <w:noProof/>
        </w:rPr>
      </w:pPr>
      <w:r>
        <w:fldChar w:fldCharType="begin"/>
      </w:r>
      <w:r>
        <w:instrText xml:space="preserve"> ADDIN EN.REFLIST </w:instrText>
      </w:r>
      <w:r>
        <w:fldChar w:fldCharType="separate"/>
      </w:r>
      <w:r w:rsidR="00E531D5" w:rsidRPr="00E531D5">
        <w:rPr>
          <w:noProof/>
        </w:rPr>
        <w:t xml:space="preserve">Black, B.A., van der Sleen, P., Di Lorenzo, E., Griffin, D., Sydeman, W.J., Dunham, J.B., Rykaczewski, R.R., Garcia-Reyes, M., Safeeq, M., Arismendi, I. &amp; Bograd, S.J. (2018) Rising synchrony controls western North American ecosystems. </w:t>
      </w:r>
      <w:r w:rsidR="00E531D5" w:rsidRPr="00E531D5">
        <w:rPr>
          <w:i/>
          <w:noProof/>
        </w:rPr>
        <w:t>Glob Chang Biol,</w:t>
      </w:r>
      <w:r w:rsidR="00E531D5" w:rsidRPr="00E531D5">
        <w:rPr>
          <w:noProof/>
        </w:rPr>
        <w:t xml:space="preserve"> </w:t>
      </w:r>
      <w:r w:rsidR="00E531D5" w:rsidRPr="00E531D5">
        <w:rPr>
          <w:b/>
          <w:noProof/>
        </w:rPr>
        <w:t>24,</w:t>
      </w:r>
      <w:r w:rsidR="00E531D5" w:rsidRPr="00E531D5">
        <w:rPr>
          <w:noProof/>
        </w:rPr>
        <w:t xml:space="preserve"> 2305-2314.</w:t>
      </w:r>
    </w:p>
    <w:p w14:paraId="41759F21" w14:textId="77777777" w:rsidR="00E531D5" w:rsidRPr="00E531D5" w:rsidRDefault="00E531D5" w:rsidP="00E531D5">
      <w:pPr>
        <w:pStyle w:val="EndNoteBibliography"/>
        <w:spacing w:after="0"/>
        <w:ind w:left="720" w:hanging="720"/>
        <w:rPr>
          <w:noProof/>
        </w:rPr>
      </w:pPr>
      <w:r w:rsidRPr="00E531D5">
        <w:rPr>
          <w:noProof/>
        </w:rPr>
        <w:t xml:space="preserve">Carlson, S.M. &amp; Satterthwaite, W.H. (2011) Weakened portfolio effect in a collapsed salmon population complex. </w:t>
      </w:r>
      <w:r w:rsidRPr="00E531D5">
        <w:rPr>
          <w:i/>
          <w:noProof/>
        </w:rPr>
        <w:t>Canadian Journal of Fisheries and Aquatic Sciences,</w:t>
      </w:r>
      <w:r w:rsidRPr="00E531D5">
        <w:rPr>
          <w:noProof/>
        </w:rPr>
        <w:t xml:space="preserve"> </w:t>
      </w:r>
      <w:r w:rsidRPr="00E531D5">
        <w:rPr>
          <w:b/>
          <w:noProof/>
        </w:rPr>
        <w:t>68,</w:t>
      </w:r>
      <w:r w:rsidRPr="00E531D5">
        <w:rPr>
          <w:noProof/>
        </w:rPr>
        <w:t xml:space="preserve"> 1579-1589.</w:t>
      </w:r>
    </w:p>
    <w:p w14:paraId="27B4F9F2" w14:textId="77777777" w:rsidR="00E531D5" w:rsidRPr="00E531D5" w:rsidRDefault="00E531D5" w:rsidP="00E531D5">
      <w:pPr>
        <w:pStyle w:val="EndNoteBibliography"/>
        <w:spacing w:after="0"/>
        <w:ind w:left="720" w:hanging="720"/>
        <w:rPr>
          <w:noProof/>
        </w:rPr>
      </w:pPr>
      <w:r w:rsidRPr="00E531D5">
        <w:rPr>
          <w:noProof/>
        </w:rPr>
        <w:t xml:space="preserve">Doak, D.F., Bigger, D., Harding, E.K., Marvier, M.A., Malley, R.E.O. &amp; Thomson, D. (1998) The statistical inevitability of stability-diversity relationships in community ecology. </w:t>
      </w:r>
      <w:r w:rsidRPr="00E531D5">
        <w:rPr>
          <w:i/>
          <w:noProof/>
        </w:rPr>
        <w:t>American Naturalist,</w:t>
      </w:r>
      <w:r w:rsidRPr="00E531D5">
        <w:rPr>
          <w:noProof/>
        </w:rPr>
        <w:t xml:space="preserve"> </w:t>
      </w:r>
      <w:r w:rsidRPr="00E531D5">
        <w:rPr>
          <w:b/>
          <w:noProof/>
        </w:rPr>
        <w:t>151,</w:t>
      </w:r>
      <w:r w:rsidRPr="00E531D5">
        <w:rPr>
          <w:noProof/>
        </w:rPr>
        <w:t xml:space="preserve"> 264-276.</w:t>
      </w:r>
    </w:p>
    <w:p w14:paraId="64CD6D64" w14:textId="77777777" w:rsidR="00E531D5" w:rsidRPr="00E531D5" w:rsidRDefault="00E531D5" w:rsidP="00E531D5">
      <w:pPr>
        <w:pStyle w:val="EndNoteBibliography"/>
        <w:spacing w:after="0"/>
        <w:ind w:left="720" w:hanging="720"/>
        <w:rPr>
          <w:noProof/>
        </w:rPr>
      </w:pPr>
      <w:r w:rsidRPr="00E531D5">
        <w:rPr>
          <w:noProof/>
        </w:rPr>
        <w:t xml:space="preserve">Garcia, S.M., Zerbi, A., Aliaume, C., Do Chi, T. &amp; Lasserre, G. (2003) The ecosystem approach to fisheries: issues, terminology, principles, institutional foundations, implementation and outlook. </w:t>
      </w:r>
      <w:r w:rsidRPr="00E531D5">
        <w:rPr>
          <w:i/>
          <w:noProof/>
        </w:rPr>
        <w:t>FAO Fisheries Technical Paper 443</w:t>
      </w:r>
      <w:r w:rsidRPr="00E531D5">
        <w:rPr>
          <w:noProof/>
        </w:rPr>
        <w:t>, pp. 81 p.</w:t>
      </w:r>
      <w:r w:rsidRPr="00E531D5">
        <w:rPr>
          <w:i/>
          <w:noProof/>
        </w:rPr>
        <w:t xml:space="preserve"> </w:t>
      </w:r>
      <w:r w:rsidRPr="00E531D5">
        <w:rPr>
          <w:noProof/>
        </w:rPr>
        <w:t>FAO, Rome, Italy.</w:t>
      </w:r>
    </w:p>
    <w:p w14:paraId="0474319C" w14:textId="77777777" w:rsidR="00E531D5" w:rsidRPr="00E531D5" w:rsidRDefault="00E531D5" w:rsidP="00E531D5">
      <w:pPr>
        <w:pStyle w:val="EndNoteBibliography"/>
        <w:spacing w:after="0"/>
        <w:ind w:left="720" w:hanging="720"/>
        <w:rPr>
          <w:noProof/>
        </w:rPr>
      </w:pPr>
      <w:r w:rsidRPr="00E531D5">
        <w:rPr>
          <w:noProof/>
        </w:rPr>
        <w:t xml:space="preserve">Griffiths, J.R., Schindler, D.E., Armstrong, J.B., Scheuerell, M.D., Whited, D.C., Clark, R.A., Hilborn, R., Holt, C.A., Lindley, S.T., Stanford, J.A. &amp; Volk, E.C. (2014) Performance of salmon fishery portfolios across western North America. </w:t>
      </w:r>
      <w:r w:rsidRPr="00E531D5">
        <w:rPr>
          <w:i/>
          <w:noProof/>
        </w:rPr>
        <w:t>Journal of Applied Ecology,</w:t>
      </w:r>
      <w:r w:rsidRPr="00E531D5">
        <w:rPr>
          <w:noProof/>
        </w:rPr>
        <w:t xml:space="preserve"> </w:t>
      </w:r>
      <w:r w:rsidRPr="00E531D5">
        <w:rPr>
          <w:b/>
          <w:noProof/>
        </w:rPr>
        <w:t>51,</w:t>
      </w:r>
      <w:r w:rsidRPr="00E531D5">
        <w:rPr>
          <w:noProof/>
        </w:rPr>
        <w:t xml:space="preserve"> 1554-1563.</w:t>
      </w:r>
    </w:p>
    <w:p w14:paraId="6EFF356F" w14:textId="77777777" w:rsidR="00E531D5" w:rsidRPr="00E531D5" w:rsidRDefault="00E531D5" w:rsidP="00E531D5">
      <w:pPr>
        <w:pStyle w:val="EndNoteBibliography"/>
        <w:spacing w:after="0"/>
        <w:ind w:left="720" w:hanging="720"/>
        <w:rPr>
          <w:noProof/>
        </w:rPr>
      </w:pPr>
      <w:r w:rsidRPr="00E531D5">
        <w:rPr>
          <w:noProof/>
        </w:rPr>
        <w:t xml:space="preserve">Hilborn, R., Quinn, T.P., Schindler, D.E. &amp; Rogers, D.E. (2003) Biocomplexity and fisheries sustainability. </w:t>
      </w:r>
      <w:r w:rsidRPr="00E531D5">
        <w:rPr>
          <w:i/>
          <w:noProof/>
        </w:rPr>
        <w:t>Proceedings of the National Academy of Sciences,</w:t>
      </w:r>
      <w:r w:rsidRPr="00E531D5">
        <w:rPr>
          <w:noProof/>
        </w:rPr>
        <w:t xml:space="preserve"> </w:t>
      </w:r>
      <w:r w:rsidRPr="00E531D5">
        <w:rPr>
          <w:b/>
          <w:noProof/>
        </w:rPr>
        <w:t>100,</w:t>
      </w:r>
      <w:r w:rsidRPr="00E531D5">
        <w:rPr>
          <w:noProof/>
        </w:rPr>
        <w:t xml:space="preserve"> 6564-6568.</w:t>
      </w:r>
    </w:p>
    <w:p w14:paraId="693F1227" w14:textId="77777777" w:rsidR="00E531D5" w:rsidRPr="00E531D5" w:rsidRDefault="00E531D5" w:rsidP="00E531D5">
      <w:pPr>
        <w:pStyle w:val="EndNoteBibliography"/>
        <w:spacing w:after="0"/>
        <w:ind w:left="720" w:hanging="720"/>
        <w:rPr>
          <w:noProof/>
        </w:rPr>
      </w:pPr>
      <w:r w:rsidRPr="00E531D5">
        <w:rPr>
          <w:noProof/>
        </w:rPr>
        <w:t xml:space="preserve">Link, J.S. (2018) System-level optimal yield: increased value, less risk, improved stability, and better fisheries. </w:t>
      </w:r>
      <w:r w:rsidRPr="00E531D5">
        <w:rPr>
          <w:i/>
          <w:noProof/>
        </w:rPr>
        <w:t>Canadian Journal of Fisheries and Aquatic Sciences,</w:t>
      </w:r>
      <w:r w:rsidRPr="00E531D5">
        <w:rPr>
          <w:noProof/>
        </w:rPr>
        <w:t xml:space="preserve"> </w:t>
      </w:r>
      <w:r w:rsidRPr="00E531D5">
        <w:rPr>
          <w:b/>
          <w:noProof/>
        </w:rPr>
        <w:t>75,</w:t>
      </w:r>
      <w:r w:rsidRPr="00E531D5">
        <w:rPr>
          <w:noProof/>
        </w:rPr>
        <w:t xml:space="preserve"> 1-16.</w:t>
      </w:r>
    </w:p>
    <w:p w14:paraId="5CBEB499" w14:textId="77777777" w:rsidR="00E531D5" w:rsidRPr="00E531D5" w:rsidRDefault="00E531D5" w:rsidP="00E531D5">
      <w:pPr>
        <w:pStyle w:val="EndNoteBibliography"/>
        <w:spacing w:after="0"/>
        <w:ind w:left="720" w:hanging="720"/>
        <w:rPr>
          <w:noProof/>
        </w:rPr>
      </w:pPr>
      <w:r w:rsidRPr="00E531D5">
        <w:rPr>
          <w:noProof/>
        </w:rPr>
        <w:t>Peterman, Randall M. &amp; Dorner, B. (2012) A widespread decrease in productivity of Sockeye Salmon (</w:t>
      </w:r>
      <w:r w:rsidRPr="00E531D5">
        <w:rPr>
          <w:i/>
          <w:noProof/>
        </w:rPr>
        <w:t>Oncorhynchus nerka</w:t>
      </w:r>
      <w:r w:rsidRPr="00E531D5">
        <w:rPr>
          <w:noProof/>
        </w:rPr>
        <w:t xml:space="preserve">) populations in western North America. </w:t>
      </w:r>
      <w:r w:rsidRPr="00E531D5">
        <w:rPr>
          <w:i/>
          <w:noProof/>
        </w:rPr>
        <w:t>Canadian Journal of Fisheries and Aquatic Sciences,</w:t>
      </w:r>
      <w:r w:rsidRPr="00E531D5">
        <w:rPr>
          <w:noProof/>
        </w:rPr>
        <w:t xml:space="preserve"> </w:t>
      </w:r>
      <w:r w:rsidRPr="00E531D5">
        <w:rPr>
          <w:b/>
          <w:noProof/>
        </w:rPr>
        <w:t>69,</w:t>
      </w:r>
      <w:r w:rsidRPr="00E531D5">
        <w:rPr>
          <w:noProof/>
        </w:rPr>
        <w:t xml:space="preserve"> 1255-1260.</w:t>
      </w:r>
    </w:p>
    <w:p w14:paraId="737013D4" w14:textId="77777777" w:rsidR="00E531D5" w:rsidRPr="00E531D5" w:rsidRDefault="00E531D5" w:rsidP="00E531D5">
      <w:pPr>
        <w:pStyle w:val="EndNoteBibliography"/>
        <w:spacing w:after="0"/>
        <w:ind w:left="720" w:hanging="720"/>
        <w:rPr>
          <w:noProof/>
        </w:rPr>
      </w:pPr>
      <w:r w:rsidRPr="00E531D5">
        <w:rPr>
          <w:noProof/>
        </w:rPr>
        <w:lastRenderedPageBreak/>
        <w:t xml:space="preserve">Satterthwaite, W.H. &amp; Carlson, S.M. (2015) Weakening portfolio effect strength in a hatchery-supplemented Chinook salmon population complex. </w:t>
      </w:r>
      <w:r w:rsidRPr="00E531D5">
        <w:rPr>
          <w:i/>
          <w:noProof/>
        </w:rPr>
        <w:t>Canadian Journal of Fisheries and Aquatic Sciences,</w:t>
      </w:r>
      <w:r w:rsidRPr="00E531D5">
        <w:rPr>
          <w:noProof/>
        </w:rPr>
        <w:t xml:space="preserve"> </w:t>
      </w:r>
      <w:r w:rsidRPr="00E531D5">
        <w:rPr>
          <w:b/>
          <w:noProof/>
        </w:rPr>
        <w:t>72,</w:t>
      </w:r>
      <w:r w:rsidRPr="00E531D5">
        <w:rPr>
          <w:noProof/>
        </w:rPr>
        <w:t xml:space="preserve"> 1860-1875.</w:t>
      </w:r>
    </w:p>
    <w:p w14:paraId="4DC07752" w14:textId="77777777" w:rsidR="00E531D5" w:rsidRPr="00E531D5" w:rsidRDefault="00E531D5" w:rsidP="00E531D5">
      <w:pPr>
        <w:pStyle w:val="EndNoteBibliography"/>
        <w:spacing w:after="0"/>
        <w:ind w:left="720" w:hanging="720"/>
        <w:rPr>
          <w:noProof/>
        </w:rPr>
      </w:pPr>
      <w:r w:rsidRPr="00E531D5">
        <w:rPr>
          <w:noProof/>
        </w:rPr>
        <w:t xml:space="preserve">Schindler, D.E., Armstrong, J.B. &amp; Reed, T.E. (2015) The portfolio concept in ecology and evolution. </w:t>
      </w:r>
      <w:r w:rsidRPr="00E531D5">
        <w:rPr>
          <w:i/>
          <w:noProof/>
        </w:rPr>
        <w:t>Frontiers in Ecology and the Environment,</w:t>
      </w:r>
      <w:r w:rsidRPr="00E531D5">
        <w:rPr>
          <w:noProof/>
        </w:rPr>
        <w:t xml:space="preserve"> </w:t>
      </w:r>
      <w:r w:rsidRPr="00E531D5">
        <w:rPr>
          <w:b/>
          <w:noProof/>
        </w:rPr>
        <w:t>13,</w:t>
      </w:r>
      <w:r w:rsidRPr="00E531D5">
        <w:rPr>
          <w:noProof/>
        </w:rPr>
        <w:t xml:space="preserve"> 257-263.</w:t>
      </w:r>
    </w:p>
    <w:p w14:paraId="0D7C1EF4" w14:textId="77777777" w:rsidR="00E531D5" w:rsidRPr="00E531D5" w:rsidRDefault="00E531D5" w:rsidP="00E531D5">
      <w:pPr>
        <w:pStyle w:val="EndNoteBibliography"/>
        <w:spacing w:after="0"/>
        <w:ind w:left="720" w:hanging="720"/>
        <w:rPr>
          <w:noProof/>
        </w:rPr>
      </w:pPr>
      <w:r w:rsidRPr="00E531D5">
        <w:rPr>
          <w:noProof/>
        </w:rPr>
        <w:t xml:space="preserve">Schindler, D.E., Hilborn, R., Chasco, B., Boatright, C.P., Quinn, T.P., Rogers, L.A. &amp; Webster, M.S. (2010) Population diversity and the portfolio effect in an exploited species. </w:t>
      </w:r>
      <w:r w:rsidRPr="00E531D5">
        <w:rPr>
          <w:i/>
          <w:noProof/>
        </w:rPr>
        <w:t>Nature,</w:t>
      </w:r>
      <w:r w:rsidRPr="00E531D5">
        <w:rPr>
          <w:noProof/>
        </w:rPr>
        <w:t xml:space="preserve"> </w:t>
      </w:r>
      <w:r w:rsidRPr="00E531D5">
        <w:rPr>
          <w:b/>
          <w:noProof/>
        </w:rPr>
        <w:t>465,</w:t>
      </w:r>
      <w:r w:rsidRPr="00E531D5">
        <w:rPr>
          <w:noProof/>
        </w:rPr>
        <w:t xml:space="preserve"> 609-612.</w:t>
      </w:r>
    </w:p>
    <w:p w14:paraId="6774A963" w14:textId="77777777" w:rsidR="00E531D5" w:rsidRPr="00E531D5" w:rsidRDefault="00E531D5" w:rsidP="00E531D5">
      <w:pPr>
        <w:pStyle w:val="EndNoteBibliography"/>
        <w:spacing w:after="0"/>
        <w:ind w:left="720" w:hanging="720"/>
        <w:rPr>
          <w:noProof/>
        </w:rPr>
      </w:pPr>
      <w:r w:rsidRPr="00E531D5">
        <w:rPr>
          <w:noProof/>
        </w:rPr>
        <w:t xml:space="preserve">Thibaut, L.M. &amp; Connolly, S.R. (2013) Understanding diversity-stability relationships: towards a unified model of portfolio effects. </w:t>
      </w:r>
      <w:r w:rsidRPr="00E531D5">
        <w:rPr>
          <w:i/>
          <w:noProof/>
        </w:rPr>
        <w:t>Ecology Letters,</w:t>
      </w:r>
      <w:r w:rsidRPr="00E531D5">
        <w:rPr>
          <w:noProof/>
        </w:rPr>
        <w:t xml:space="preserve"> </w:t>
      </w:r>
      <w:r w:rsidRPr="00E531D5">
        <w:rPr>
          <w:b/>
          <w:noProof/>
        </w:rPr>
        <w:t>16,</w:t>
      </w:r>
      <w:r w:rsidRPr="00E531D5">
        <w:rPr>
          <w:noProof/>
        </w:rPr>
        <w:t xml:space="preserve"> 140-150.</w:t>
      </w:r>
    </w:p>
    <w:p w14:paraId="5386E848" w14:textId="77777777" w:rsidR="00E531D5" w:rsidRPr="00E531D5" w:rsidRDefault="00E531D5" w:rsidP="00E531D5">
      <w:pPr>
        <w:pStyle w:val="EndNoteBibliography"/>
        <w:spacing w:after="0"/>
        <w:ind w:left="720" w:hanging="720"/>
        <w:rPr>
          <w:noProof/>
        </w:rPr>
      </w:pPr>
      <w:r w:rsidRPr="00E531D5">
        <w:rPr>
          <w:noProof/>
        </w:rPr>
        <w:t xml:space="preserve">Tilman, D., Isbell, F. &amp; Cowles, J.M. (2014) Biodiversity and ecosystem functioning. </w:t>
      </w:r>
      <w:r w:rsidRPr="00E531D5">
        <w:rPr>
          <w:i/>
          <w:noProof/>
        </w:rPr>
        <w:t>Annual Review of Ecology, Evolution, and Systematics,</w:t>
      </w:r>
      <w:r w:rsidRPr="00E531D5">
        <w:rPr>
          <w:noProof/>
        </w:rPr>
        <w:t xml:space="preserve"> </w:t>
      </w:r>
      <w:r w:rsidRPr="00E531D5">
        <w:rPr>
          <w:b/>
          <w:noProof/>
        </w:rPr>
        <w:t>45,</w:t>
      </w:r>
      <w:r w:rsidRPr="00E531D5">
        <w:rPr>
          <w:noProof/>
        </w:rPr>
        <w:t xml:space="preserve"> 471-493.</w:t>
      </w:r>
    </w:p>
    <w:p w14:paraId="7A7319F2" w14:textId="77777777" w:rsidR="00E531D5" w:rsidRPr="00E531D5" w:rsidRDefault="00E531D5" w:rsidP="00E531D5">
      <w:pPr>
        <w:pStyle w:val="EndNoteBibliography"/>
        <w:ind w:left="720" w:hanging="720"/>
        <w:rPr>
          <w:noProof/>
        </w:rPr>
      </w:pPr>
      <w:r w:rsidRPr="00E531D5">
        <w:rPr>
          <w:noProof/>
        </w:rPr>
        <w:t xml:space="preserve">Yamane, L., Botsford, L.W. &amp; Kilduff, D.P. (2018) Tracking restoration of population diversity via the portfolio effect. </w:t>
      </w:r>
      <w:r w:rsidRPr="00E531D5">
        <w:rPr>
          <w:i/>
          <w:noProof/>
        </w:rPr>
        <w:t>Journal of Applied Ecology,</w:t>
      </w:r>
      <w:r w:rsidRPr="00E531D5">
        <w:rPr>
          <w:noProof/>
        </w:rPr>
        <w:t xml:space="preserve"> </w:t>
      </w:r>
      <w:r w:rsidRPr="00E531D5">
        <w:rPr>
          <w:b/>
          <w:noProof/>
        </w:rPr>
        <w:t>55,</w:t>
      </w:r>
      <w:r w:rsidRPr="00E531D5">
        <w:rPr>
          <w:noProof/>
        </w:rPr>
        <w:t xml:space="preserve"> 472-481.</w:t>
      </w:r>
    </w:p>
    <w:p w14:paraId="3E0FE7E0" w14:textId="5D5A4D74"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8-29T08:37:00Z" w:initials="D">
    <w:p w14:paraId="23355285" w14:textId="07D22A47" w:rsidR="00E51CA9" w:rsidRDefault="00E51CA9">
      <w:pPr>
        <w:pStyle w:val="CommentText"/>
      </w:pPr>
      <w:r>
        <w:rPr>
          <w:rStyle w:val="CommentReference"/>
        </w:rPr>
        <w:annotationRef/>
      </w:r>
      <w:r>
        <w:t>I feel as though population is the most intuitive; however for our example CU is obviously more accurate. Perhaps component, even though its vague, should be used in the subscripts?</w:t>
      </w:r>
    </w:p>
  </w:comment>
  <w:comment w:id="1" w:author="DFO-MPO" w:date="2018-08-29T08:44:00Z" w:initials="D">
    <w:p w14:paraId="136EE22E" w14:textId="77777777" w:rsidR="007B4FA6" w:rsidRDefault="007B4FA6" w:rsidP="007B4FA6">
      <w:pPr>
        <w:pStyle w:val="CommentText"/>
      </w:pPr>
      <w:r>
        <w:rPr>
          <w:rStyle w:val="CommentReference"/>
        </w:rPr>
        <w:annotationRef/>
      </w:r>
      <w:r>
        <w:t>Is this sufficient detail for the main text?</w:t>
      </w:r>
    </w:p>
  </w:comment>
  <w:comment w:id="2" w:author="DFO-MPO" w:date="2018-08-29T09:09:00Z" w:initials="D">
    <w:p w14:paraId="5B548536" w14:textId="7E67029D" w:rsidR="00F07325" w:rsidRDefault="00F07325">
      <w:pPr>
        <w:pStyle w:val="CommentText"/>
      </w:pPr>
      <w:r>
        <w:rPr>
          <w:rStyle w:val="CommentReference"/>
        </w:rPr>
        <w:annotationRef/>
      </w:r>
      <w:r>
        <w:t>This metric is relatively insensitive because it is rare for any CUs to go extinct – should it still be included?</w:t>
      </w:r>
    </w:p>
  </w:comment>
  <w:comment w:id="3" w:author="DFO-MPO" w:date="2018-08-21T10:28:00Z" w:initials="D">
    <w:p w14:paraId="7A5476AF" w14:textId="6C6E04F5" w:rsidR="004D7BDE" w:rsidRDefault="004D7BDE">
      <w:pPr>
        <w:pStyle w:val="CommentText"/>
      </w:pPr>
      <w:r>
        <w:rPr>
          <w:rStyle w:val="CommentReference"/>
        </w:rPr>
        <w:annotationRef/>
      </w:r>
      <w:r>
        <w:t>Is this an accurate description AMH? If so who/what should I cite.</w:t>
      </w:r>
    </w:p>
  </w:comment>
  <w:comment w:id="4" w:author="DFO-MPO" w:date="2018-08-29T09:18:00Z" w:initials="D">
    <w:p w14:paraId="6442FC48" w14:textId="19E4A93D" w:rsidR="00FB63BF" w:rsidRDefault="00FB63BF">
      <w:pPr>
        <w:pStyle w:val="CommentText"/>
      </w:pPr>
      <w:r>
        <w:rPr>
          <w:rStyle w:val="CommentReference"/>
        </w:rPr>
        <w:annotationRef/>
      </w:r>
      <w:r>
        <w:t>Statement explicitly clarifying that this is not a forecasting exercise</w:t>
      </w:r>
    </w:p>
  </w:comment>
  <w:comment w:id="6" w:author="DFO-MPO" w:date="2018-08-20T10:28:00Z" w:initials="D">
    <w:p w14:paraId="6569B4E5" w14:textId="77777777" w:rsidR="004D7BDE" w:rsidRDefault="004D7BDE"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596&lt;/item&gt;&lt;item&gt;637&lt;/item&gt;&lt;item&gt;1205&lt;/item&gt;&lt;item&gt;1516&lt;/item&gt;&lt;item&gt;1590&lt;/item&gt;&lt;item&gt;2014&lt;/item&gt;&lt;item&gt;2167&lt;/item&gt;&lt;item&gt;2179&lt;/item&gt;&lt;item&gt;2187&lt;/item&gt;&lt;item&gt;2207&lt;/item&gt;&lt;item&gt;2208&lt;/item&gt;&lt;item&gt;2210&lt;/item&gt;&lt;item&gt;2211&lt;/item&gt;&lt;/record-ids&gt;&lt;/item&gt;&lt;/Libraries&gt;"/>
  </w:docVars>
  <w:rsids>
    <w:rsidRoot w:val="00D971BA"/>
    <w:rsid w:val="0000323C"/>
    <w:rsid w:val="00006417"/>
    <w:rsid w:val="000130FD"/>
    <w:rsid w:val="00022839"/>
    <w:rsid w:val="00041C3D"/>
    <w:rsid w:val="00044112"/>
    <w:rsid w:val="00063326"/>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63EA"/>
    <w:rsid w:val="00155B1C"/>
    <w:rsid w:val="00161092"/>
    <w:rsid w:val="00162C8A"/>
    <w:rsid w:val="00166B5A"/>
    <w:rsid w:val="00176F58"/>
    <w:rsid w:val="00177C7C"/>
    <w:rsid w:val="00182788"/>
    <w:rsid w:val="00182BF5"/>
    <w:rsid w:val="00192B01"/>
    <w:rsid w:val="00196031"/>
    <w:rsid w:val="001A61A9"/>
    <w:rsid w:val="001D36DC"/>
    <w:rsid w:val="001D4E33"/>
    <w:rsid w:val="001E3FCB"/>
    <w:rsid w:val="001F4BE2"/>
    <w:rsid w:val="00207CE4"/>
    <w:rsid w:val="00211AC2"/>
    <w:rsid w:val="002317A6"/>
    <w:rsid w:val="002343E7"/>
    <w:rsid w:val="00240A6D"/>
    <w:rsid w:val="002632D7"/>
    <w:rsid w:val="00273B50"/>
    <w:rsid w:val="00274866"/>
    <w:rsid w:val="002800A9"/>
    <w:rsid w:val="00294313"/>
    <w:rsid w:val="002A27DA"/>
    <w:rsid w:val="002A5B41"/>
    <w:rsid w:val="002A7562"/>
    <w:rsid w:val="002B0FBF"/>
    <w:rsid w:val="002B2200"/>
    <w:rsid w:val="002B2D86"/>
    <w:rsid w:val="002B460B"/>
    <w:rsid w:val="002E258D"/>
    <w:rsid w:val="002E34D8"/>
    <w:rsid w:val="002E5DFE"/>
    <w:rsid w:val="002F10BF"/>
    <w:rsid w:val="00302934"/>
    <w:rsid w:val="003031CA"/>
    <w:rsid w:val="0032697E"/>
    <w:rsid w:val="00330D87"/>
    <w:rsid w:val="003371FC"/>
    <w:rsid w:val="00344A1C"/>
    <w:rsid w:val="003507A2"/>
    <w:rsid w:val="003633CA"/>
    <w:rsid w:val="003655FD"/>
    <w:rsid w:val="00370CB7"/>
    <w:rsid w:val="00392E97"/>
    <w:rsid w:val="003B1DEE"/>
    <w:rsid w:val="003B7E04"/>
    <w:rsid w:val="003C1DAB"/>
    <w:rsid w:val="003C75EE"/>
    <w:rsid w:val="003C77F8"/>
    <w:rsid w:val="003E748B"/>
    <w:rsid w:val="003F5C0E"/>
    <w:rsid w:val="00422BF4"/>
    <w:rsid w:val="00424B71"/>
    <w:rsid w:val="0042726A"/>
    <w:rsid w:val="004272D3"/>
    <w:rsid w:val="0045142B"/>
    <w:rsid w:val="00463DBD"/>
    <w:rsid w:val="0047719C"/>
    <w:rsid w:val="00484993"/>
    <w:rsid w:val="00485670"/>
    <w:rsid w:val="00486597"/>
    <w:rsid w:val="004A4853"/>
    <w:rsid w:val="004B605E"/>
    <w:rsid w:val="004C27BF"/>
    <w:rsid w:val="004D7BDE"/>
    <w:rsid w:val="004E0329"/>
    <w:rsid w:val="004E2096"/>
    <w:rsid w:val="004E2EDE"/>
    <w:rsid w:val="004F1724"/>
    <w:rsid w:val="004F6C38"/>
    <w:rsid w:val="00500504"/>
    <w:rsid w:val="005027FD"/>
    <w:rsid w:val="00507319"/>
    <w:rsid w:val="0051250B"/>
    <w:rsid w:val="005162B8"/>
    <w:rsid w:val="00531AE1"/>
    <w:rsid w:val="005326C5"/>
    <w:rsid w:val="0056120F"/>
    <w:rsid w:val="005641CB"/>
    <w:rsid w:val="00577639"/>
    <w:rsid w:val="00590F69"/>
    <w:rsid w:val="005A0A00"/>
    <w:rsid w:val="005B527F"/>
    <w:rsid w:val="005C7CAB"/>
    <w:rsid w:val="005D28A8"/>
    <w:rsid w:val="005D6C13"/>
    <w:rsid w:val="005D760D"/>
    <w:rsid w:val="005F3EF6"/>
    <w:rsid w:val="006068C0"/>
    <w:rsid w:val="00645D76"/>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A5"/>
    <w:rsid w:val="007D5362"/>
    <w:rsid w:val="008018CA"/>
    <w:rsid w:val="00815021"/>
    <w:rsid w:val="008214FE"/>
    <w:rsid w:val="00837CE3"/>
    <w:rsid w:val="008518AD"/>
    <w:rsid w:val="00886C25"/>
    <w:rsid w:val="008B18F2"/>
    <w:rsid w:val="008B4C24"/>
    <w:rsid w:val="008C1650"/>
    <w:rsid w:val="008C1951"/>
    <w:rsid w:val="008C5E1B"/>
    <w:rsid w:val="00901BDD"/>
    <w:rsid w:val="009215C5"/>
    <w:rsid w:val="00922C82"/>
    <w:rsid w:val="00923937"/>
    <w:rsid w:val="009322F4"/>
    <w:rsid w:val="00937B72"/>
    <w:rsid w:val="00940776"/>
    <w:rsid w:val="00951950"/>
    <w:rsid w:val="00961B8C"/>
    <w:rsid w:val="00961DFC"/>
    <w:rsid w:val="009736AE"/>
    <w:rsid w:val="009801E9"/>
    <w:rsid w:val="0098510C"/>
    <w:rsid w:val="0098639B"/>
    <w:rsid w:val="00992367"/>
    <w:rsid w:val="00996327"/>
    <w:rsid w:val="009D23BD"/>
    <w:rsid w:val="009E2CC0"/>
    <w:rsid w:val="00A16FF3"/>
    <w:rsid w:val="00A409A9"/>
    <w:rsid w:val="00A44098"/>
    <w:rsid w:val="00A80702"/>
    <w:rsid w:val="00A91A4F"/>
    <w:rsid w:val="00A957BB"/>
    <w:rsid w:val="00AA4419"/>
    <w:rsid w:val="00AE2504"/>
    <w:rsid w:val="00AE3B72"/>
    <w:rsid w:val="00AE6C34"/>
    <w:rsid w:val="00AF0717"/>
    <w:rsid w:val="00AF3F2B"/>
    <w:rsid w:val="00B24A19"/>
    <w:rsid w:val="00B27AEE"/>
    <w:rsid w:val="00B40124"/>
    <w:rsid w:val="00B42D41"/>
    <w:rsid w:val="00B643B7"/>
    <w:rsid w:val="00B71AD9"/>
    <w:rsid w:val="00B96B00"/>
    <w:rsid w:val="00BB7A46"/>
    <w:rsid w:val="00BC14E9"/>
    <w:rsid w:val="00BE3900"/>
    <w:rsid w:val="00BF0BBF"/>
    <w:rsid w:val="00BF12B8"/>
    <w:rsid w:val="00C07781"/>
    <w:rsid w:val="00C12967"/>
    <w:rsid w:val="00C14A36"/>
    <w:rsid w:val="00C14AB9"/>
    <w:rsid w:val="00C16A84"/>
    <w:rsid w:val="00C21A57"/>
    <w:rsid w:val="00C26602"/>
    <w:rsid w:val="00C36435"/>
    <w:rsid w:val="00C72C7A"/>
    <w:rsid w:val="00C93206"/>
    <w:rsid w:val="00C9793E"/>
    <w:rsid w:val="00CB3AA4"/>
    <w:rsid w:val="00CC7F18"/>
    <w:rsid w:val="00CD0FAC"/>
    <w:rsid w:val="00CE0781"/>
    <w:rsid w:val="00D01D2B"/>
    <w:rsid w:val="00D136FD"/>
    <w:rsid w:val="00D16817"/>
    <w:rsid w:val="00D20FCD"/>
    <w:rsid w:val="00D21D5F"/>
    <w:rsid w:val="00D2599C"/>
    <w:rsid w:val="00D40465"/>
    <w:rsid w:val="00D413CD"/>
    <w:rsid w:val="00D53F99"/>
    <w:rsid w:val="00D63DB9"/>
    <w:rsid w:val="00D7777B"/>
    <w:rsid w:val="00D93675"/>
    <w:rsid w:val="00D95057"/>
    <w:rsid w:val="00D971BA"/>
    <w:rsid w:val="00DA242F"/>
    <w:rsid w:val="00DA470D"/>
    <w:rsid w:val="00DC48B1"/>
    <w:rsid w:val="00DD255E"/>
    <w:rsid w:val="00DD3FF2"/>
    <w:rsid w:val="00DE08F6"/>
    <w:rsid w:val="00DE0F7B"/>
    <w:rsid w:val="00DE21D8"/>
    <w:rsid w:val="00DE7503"/>
    <w:rsid w:val="00DF40E3"/>
    <w:rsid w:val="00E06BE2"/>
    <w:rsid w:val="00E23EA2"/>
    <w:rsid w:val="00E314B6"/>
    <w:rsid w:val="00E51CA9"/>
    <w:rsid w:val="00E531D5"/>
    <w:rsid w:val="00E53403"/>
    <w:rsid w:val="00E62993"/>
    <w:rsid w:val="00E63CBB"/>
    <w:rsid w:val="00EA0C93"/>
    <w:rsid w:val="00EB655E"/>
    <w:rsid w:val="00EC016C"/>
    <w:rsid w:val="00ED0654"/>
    <w:rsid w:val="00ED23E7"/>
    <w:rsid w:val="00ED5A49"/>
    <w:rsid w:val="00ED7E4C"/>
    <w:rsid w:val="00EE0DC4"/>
    <w:rsid w:val="00F0579C"/>
    <w:rsid w:val="00F07325"/>
    <w:rsid w:val="00F07D48"/>
    <w:rsid w:val="00F22932"/>
    <w:rsid w:val="00F26586"/>
    <w:rsid w:val="00F42DD1"/>
    <w:rsid w:val="00F70F29"/>
    <w:rsid w:val="00F93B58"/>
    <w:rsid w:val="00F940DB"/>
    <w:rsid w:val="00FA1D62"/>
    <w:rsid w:val="00FB63BF"/>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FF647-F758-4CC9-A286-F23794DC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5237</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4</cp:revision>
  <cp:lastPrinted>2018-05-03T17:52:00Z</cp:lastPrinted>
  <dcterms:created xsi:type="dcterms:W3CDTF">2018-08-29T15:45:00Z</dcterms:created>
  <dcterms:modified xsi:type="dcterms:W3CDTF">2018-08-30T16:49:00Z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