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B2C7B5C"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a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aggregate, and the management framework used to establish ex</w:t>
      </w:r>
      <w:r w:rsidR="00403564">
        <w:t>ploitation rates, across a range of aggregate variability and productivity scenarios. We show that</w:t>
      </w:r>
      <w:r w:rsidR="00564EA6">
        <w:t xml:space="preserve"> </w:t>
      </w:r>
      <w:r w:rsidR="00CD7398">
        <w:t>if population productivity remains relatively stable, the negative effects of aggregate variability on conservation- and catch-based objectives are generally minor. Conversely,</w:t>
      </w:r>
      <w:r w:rsidR="00CD7398" w:rsidRPr="00CD7398">
        <w:t xml:space="preserve"> </w:t>
      </w:r>
      <w:r w:rsidR="00CD7398">
        <w:t xml:space="preserve">greater aggregate variability in general, and synchrony in particular, will magnify the effects of declining productivity and triggering further reductions in abundance, catch, and the </w:t>
      </w:r>
      <w:r w:rsidR="00893A4D">
        <w:t xml:space="preserve">probability </w:t>
      </w:r>
      <w:r w:rsidR="00CD7398">
        <w:t>of meeting biological benchmarks</w:t>
      </w:r>
      <w:r w:rsidR="00564EA6">
        <w:t>.</w:t>
      </w:r>
      <w:r w:rsidR="00CD7398">
        <w:t xml:space="preserve"> Furthermore, strong negative impacts occurred even though the aggregate retained 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 </w:t>
      </w:r>
      <w:r w:rsidR="00CD7398">
        <w:t>and the proliferation of systems-based approaches</w:t>
      </w:r>
      <w:r w:rsidR="00D36D4D">
        <w:t xml:space="preserve">, particularly within </w:t>
      </w:r>
      <w:r w:rsidR="00CD7398">
        <w:t>fisheries</w:t>
      </w:r>
      <w:r w:rsidR="00D36D4D">
        <w:t xml:space="preserve">, </w:t>
      </w:r>
      <w:r w:rsidR="00CD7398">
        <w:t>quantifying</w:t>
      </w:r>
      <w:r w:rsidR="00D36D4D">
        <w:t xml:space="preserve"> aggregate variab</w:t>
      </w:r>
      <w:r w:rsidR="00CD7398">
        <w:t xml:space="preserve">ility </w:t>
      </w:r>
      <w:r w:rsidR="00893A4D">
        <w:t>will increase the accuracy of regular status assessments</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35E2C144"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 xml:space="preserve">Fraser River sockeye salmon are targeted by commercial fisheries as they move through nearshore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spawner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r w:rsidRPr="00004A7E">
              <w:t>Shuswap-L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C1417D"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C1417D"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C1417D"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r w:rsidR="00246EBA">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624EF54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FC010F">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FC010F">
        <w:rPr>
          <w:noProof/>
        </w:rPr>
        <w:t>(Anderson</w:t>
      </w:r>
      <w:r w:rsidR="00FC010F" w:rsidRPr="00FC010F">
        <w:rPr>
          <w:i/>
          <w:noProof/>
        </w:rPr>
        <w:t xml:space="preserve"> et al.</w:t>
      </w:r>
      <w:r w:rsidR="00FC010F">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58F5EBFC"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eastAsia="en-CA"/>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3BF3E2BF"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r>
      <w:r w:rsidR="00B61D3E">
        <w:instrText xml:space="preserve"> ADDIN EN.CITE &lt;EndNote&gt;&lt;Cite&gt;&lt;Author&gt;Connor&lt;/Author&gt;&lt;Year&gt;2004&lt;/Year&gt;&lt;RecNum&gt;1690&lt;/RecNum&gt;&lt;DisplayText&gt;(Connor &amp;amp; Pflug 2004)&lt;/DisplayText&gt;&lt;record&gt;&lt;rec-number&gt;1690&lt;/rec-number&gt;&lt;foreign-keys&gt;&lt;key app="EN" db-id="eez0aevwa0afpdexr0lvefp6z0xpepv5rfx5" timestamp="1483625339"&gt;1690&lt;/key&gt;&lt;key app="ENWeb" db-id=""&gt;0&lt;/key&gt;&lt;/foreign-keys&gt;&lt;ref-type name="Journal Article"&gt;17&lt;/ref-type&gt;&lt;contributors&gt;&lt;authors&gt;&lt;author&gt;Connor, Edward J.&lt;/author&gt;&lt;author&gt;Pflug, David E.&lt;/author&gt;&lt;/authors&gt;&lt;/contributors&gt;&lt;titles&gt;&lt;title&gt;Changes in the distribution and density of pink, chum, and Chinook salmon spawning in the upper Skagit River in response to flow management measures&lt;/title&gt;&lt;secondary-title&gt;North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Manage&lt;/abbr-2&gt;&lt;/periodical&gt;&lt;pages&gt;835-852&lt;/pages&gt;&lt;volume&gt;24&lt;/volume&gt;&lt;dates&gt;&lt;year&gt;2004&lt;/year&gt;&lt;/dates&gt;&lt;urls&gt;&lt;/urls&gt;&lt;/record&gt;&lt;/Cite&gt;&lt;/EndNote&gt;</w:instrText>
      </w:r>
      <w:r w:rsidR="00B61D3E">
        <w:fldChar w:fldCharType="separate"/>
      </w:r>
      <w:r w:rsidR="00B61D3E">
        <w:rPr>
          <w:noProof/>
        </w:rPr>
        <w:t>(Connor &amp; Pflug 2004)</w:t>
      </w:r>
      <w:r w:rsidR="00B61D3E">
        <w:fldChar w:fldCharType="end"/>
      </w:r>
      <w:r w:rsidR="00C1417D">
        <w:t>(</w:t>
      </w:r>
      <w:r w:rsidR="00C1417D" w:rsidRPr="00C1417D">
        <w:rPr>
          <w:highlight w:val="yellow"/>
        </w:rPr>
        <w:t xml:space="preserve">Geist et al. 2008, Crozier et al. 2008, </w:t>
      </w:r>
      <w:proofErr w:type="spellStart"/>
      <w:r w:rsidR="00C1417D" w:rsidRPr="00C1417D">
        <w:rPr>
          <w:highlight w:val="yellow"/>
        </w:rPr>
        <w:t>Crossin</w:t>
      </w:r>
      <w:proofErr w:type="spellEnd"/>
      <w:r w:rsidR="00C1417D" w:rsidRPr="00C1417D">
        <w:rPr>
          <w:highlight w:val="yellow"/>
        </w:rPr>
        <w:t xml:space="preserve"> et al. 2008</w:t>
      </w:r>
      <w:r w:rsidR="00C1417D">
        <w:t>)</w:t>
      </w:r>
      <w:r w:rsidR="0073106E" w:rsidRPr="00004A7E">
        <w:t xml:space="preserve">. </w:t>
      </w:r>
      <w:r w:rsidR="00DF54C6">
        <w:t xml:space="preserve">Conversely, greater synchrony suggests </w:t>
      </w:r>
      <w:r w:rsidR="00D84739">
        <w:t>shared drivers or dispersal increasingly link the dyn</w:t>
      </w:r>
      <w:r w:rsidR="00C1417D">
        <w:t>amics of component populations (</w:t>
      </w:r>
      <w:r w:rsidR="00C1417D" w:rsidRPr="00C1417D">
        <w:rPr>
          <w:highlight w:val="yellow"/>
        </w:rPr>
        <w:t>Walter et al. 2017</w:t>
      </w:r>
      <w:r w:rsidR="00C1417D">
        <w:t>)</w:t>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5C177D2B" w:rsidR="00DE0F7B" w:rsidRDefault="0073106E" w:rsidP="001D1C1A">
      <w:pPr>
        <w:spacing w:line="480" w:lineRule="auto"/>
        <w:ind w:firstLine="720"/>
      </w:pPr>
      <w:r>
        <w:t>While Fraser River sockeye salmon inhabit a heavily impacted watershed, the specific mechanisms that</w:t>
      </w:r>
      <w:r w:rsidR="00FC010F">
        <w:t xml:space="preserve"> 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t xml:space="preserve"> on the Fraser River </w:t>
      </w:r>
      <w:proofErr w:type="spellStart"/>
      <w:r>
        <w:t>mainstem</w:t>
      </w:r>
      <w:proofErr w:type="spellEnd"/>
      <w:r>
        <w:t xml:space="preserve"> (</w:t>
      </w:r>
      <w:proofErr w:type="spellStart"/>
      <w:r w:rsidR="00414B80" w:rsidRPr="00414B80">
        <w:rPr>
          <w:highlight w:val="yellow"/>
        </w:rPr>
        <w:t>Nelitz</w:t>
      </w:r>
      <w:proofErr w:type="spellEnd"/>
      <w:r w:rsidR="00414B80" w:rsidRPr="00414B80">
        <w:rPr>
          <w:highlight w:val="yellow"/>
        </w:rPr>
        <w:t xml:space="preserve"> et al. 2011</w:t>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 (</w:t>
      </w:r>
      <w:r w:rsidR="00414B80" w:rsidRPr="00414B80">
        <w:rPr>
          <w:highlight w:val="yellow"/>
        </w:rPr>
        <w:t>DFO 2016 preseason supplement</w:t>
      </w:r>
      <w:r w:rsidR="00D84739">
        <w:t xml:space="preserve">). </w:t>
      </w:r>
      <w:r w:rsidR="001D1C1A">
        <w:t xml:space="preserve">Conversely, survival during marine residence, when sockeye salmon populations from </w:t>
      </w:r>
      <w:r w:rsidR="00FC010F">
        <w:t xml:space="preserve">throughout BC rear in the Gulf of Alaska </w:t>
      </w:r>
      <w:r w:rsidR="00FC010F">
        <w:fldChar w:fldCharType="begin"/>
      </w:r>
      <w:r w:rsidR="00FC010F">
        <w:instrText xml:space="preserve"> ADDIN EN.CITE &lt;EndNote&gt;&lt;Cite&gt;&lt;Author&gt;Tucker&lt;/Author&gt;&lt;Year&gt;2009&lt;/Year&gt;&lt;RecNum&gt;489&lt;/RecNum&gt;&lt;DisplayText&gt;(Tucker&lt;style face="italic"&gt; et al.&lt;/style&gt; 2009)&lt;/DisplayText&gt;&lt;record&gt;&lt;rec-number&gt;489&lt;/rec-number&gt;&lt;foreign-keys&gt;&lt;key app="EN" db-id="eez0aevwa0afpdexr0lvefp6z0xpepv5rfx5" timestamp="1381607118"&gt;489&lt;/key&gt;&lt;key app="ENWeb" db-id=""&gt;0&lt;/key&gt;&lt;/foreign-keys&gt;&lt;ref-type name="Journal Article"&gt;17&lt;/ref-type&gt;&lt;contributors&gt;&lt;authors&gt;&lt;author&gt;Tucker, S.&lt;/author&gt;&lt;author&gt;Trudel, M.&lt;/author&gt;&lt;author&gt;Welch, D. W.&lt;/author&gt;&lt;author&gt;Candy, J. R.&lt;/author&gt;&lt;author&gt;Morris, J. F. T.&lt;/author&gt;&lt;author&gt;Thiess, M. E.&lt;/author&gt;&lt;author&gt;Wallace, C.&lt;/author&gt;&lt;author&gt;Teel, D. J.&lt;/author&gt;&lt;author&gt;Crawford, W.&lt;/author&gt;&lt;author&gt;Farley, E. V.&lt;/author&gt;&lt;author&gt;Beacham, T. D.&lt;/author&gt;&lt;/authors&gt;&lt;/contributors&gt;&lt;titles&gt;&lt;title&gt;Seasonal stock-specific migrations of juvenile Sockeye Salmon along the west coast of North America: implications for growth&lt;/title&gt;&lt;secondary-title&gt;Transactions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1458-1480&lt;/pages&gt;&lt;volume&gt;138&lt;/volume&gt;&lt;number&gt;6&lt;/number&gt;&lt;dates&gt;&lt;year&gt;2009&lt;/year&gt;&lt;/dates&gt;&lt;isbn&gt;0002-8487&amp;#xD;1548-8659&lt;/isbn&gt;&lt;urls&gt;&lt;/urls&gt;&lt;electronic-resource-num&gt;10.1577/t08-211.1&lt;/electronic-resource-num&gt;&lt;/record&gt;&lt;/Cite&gt;&lt;/EndNote&gt;</w:instrText>
      </w:r>
      <w:r w:rsidR="00FC010F">
        <w:fldChar w:fldCharType="separate"/>
      </w:r>
      <w:r w:rsidR="00FC010F">
        <w:rPr>
          <w:noProof/>
        </w:rPr>
        <w:t>(Tucker</w:t>
      </w:r>
      <w:r w:rsidR="00FC010F" w:rsidRPr="00FC010F">
        <w:rPr>
          <w:i/>
          <w:noProof/>
        </w:rPr>
        <w:t xml:space="preserve"> et al.</w:t>
      </w:r>
      <w:r w:rsidR="00FC010F">
        <w:rPr>
          <w:noProof/>
        </w:rPr>
        <w:t xml:space="preserve"> 2009)</w:t>
      </w:r>
      <w:r w:rsidR="00FC010F">
        <w:fldChar w:fldCharType="end"/>
      </w:r>
      <w:r w:rsidR="001D1C1A">
        <w:t>, 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It is plausible that factors such as reduced prey availability or increased predation </w:t>
      </w:r>
      <w:r w:rsidR="00FC010F">
        <w:t xml:space="preserve">during marine residence </w:t>
      </w:r>
      <w:r w:rsidR="001D1C1A">
        <w:t xml:space="preserve">could act to synchronize the dynamics of populations </w:t>
      </w:r>
      <w:r w:rsidR="00FC010F">
        <w:t>breeding</w:t>
      </w:r>
      <w:r w:rsidR="001D1C1A">
        <w:t xml:space="preserve"> over a relatively large geographic area.</w:t>
      </w:r>
      <w:r w:rsidR="009F0341">
        <w:t xml:space="preserve"> </w:t>
      </w:r>
      <w:r w:rsidR="00DC240A">
        <w:t>Furthermore,</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time series</w:t>
      </w:r>
      <w:r w:rsidR="00DC240A">
        <w:t xml:space="preserve"> then declined, even though anthropogenic impacts (namely commercial harvest)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6EC35DD1"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simultaneous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model demonstrates that </w:t>
      </w:r>
      <w:r w:rsidR="00DC240A">
        <w:t xml:space="preserve">the negative effects of greater aggregate variability </w:t>
      </w:r>
      <w:r w:rsidR="00660784">
        <w:t>are heavily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CE0D1C">
        <w:rPr>
          <w:rFonts w:eastAsiaTheme="minorEastAsia"/>
        </w:rPr>
        <w:t>, which may strain communities that depend on stable fishing opportunities</w:t>
      </w:r>
      <w:r w:rsidR="004A15E4">
        <w:rPr>
          <w:rFonts w:eastAsiaTheme="minorEastAsia"/>
        </w:rPr>
        <w:t xml:space="preserve"> (</w:t>
      </w:r>
      <w:r w:rsidR="00CE0D1C" w:rsidRPr="00CE0D1C">
        <w:rPr>
          <w:rFonts w:eastAsiaTheme="minorEastAsia"/>
          <w:highlight w:val="yellow"/>
        </w:rPr>
        <w:t>Anderson et al. 2017</w:t>
      </w:r>
      <w:r w:rsidR="004A15E4">
        <w:rPr>
          <w:rFonts w:eastAsiaTheme="minorEastAsia"/>
        </w:rPr>
        <w:t>)</w:t>
      </w:r>
      <w:r w:rsidR="009B0D50">
        <w:rPr>
          <w:rFonts w:eastAsiaTheme="minorEastAsia"/>
        </w:rPr>
        <w:t xml:space="preserve">. </w:t>
      </w:r>
    </w:p>
    <w:p w14:paraId="6B1A1B4A" w14:textId="272206BA"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4A15E4">
        <w:t>. Moving from a low</w:t>
      </w:r>
      <w:r w:rsidR="00C56A02">
        <w:t xml:space="preserve"> to moderate synchrony under the SN scenario </w:t>
      </w:r>
      <w:r w:rsidR="004A15E4">
        <w:t>resulted in a</w:t>
      </w:r>
      <w:r w:rsidR="00C56A02">
        <w:t xml:space="preserve"> </w:t>
      </w:r>
      <w:r w:rsidR="00C56A02">
        <w:lastRenderedPageBreak/>
        <w:t>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PMs incorporating conservation- and catch-based benchmarks exhibi</w:t>
      </w:r>
      <w:r w:rsidR="00B906FC">
        <w:t>ted similarly severe responses to increased a</w:t>
      </w:r>
      <w:r w:rsidR="00592C4A">
        <w:t>ggregate variability – the proportion of CUs above their biological benchmark declined from ~</w:t>
      </w:r>
      <w:r w:rsidR="00592C4A" w:rsidRPr="00592C4A">
        <w:rPr>
          <w:highlight w:val="yellow"/>
        </w:rPr>
        <w:t>20</w:t>
      </w:r>
      <w:r w:rsidR="00592C4A">
        <w:t xml:space="preserve">% to less than </w:t>
      </w:r>
      <w:r w:rsidR="00592C4A" w:rsidRPr="00592C4A">
        <w:rPr>
          <w:highlight w:val="yellow"/>
        </w:rPr>
        <w:t>10</w:t>
      </w:r>
      <w:r w:rsidR="00592C4A">
        <w:t>% as stability decreased.</w:t>
      </w:r>
      <w:r w:rsidR="00B906FC">
        <w:t xml:space="preserve"> When the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conservation- and catch-based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7006CDE6" w:rsidR="004648C5" w:rsidRDefault="00B906FC" w:rsidP="00AE7C0A">
      <w:pPr>
        <w:spacing w:line="480" w:lineRule="auto"/>
      </w:pPr>
      <w:r>
        <w:tab/>
      </w:r>
      <w:r w:rsidR="006E4343">
        <w:t xml:space="preserve">The results of our simulation analysis have important implications to management strategies that seek to incorporate systems-based approaches and leverage </w:t>
      </w:r>
      <w:r w:rsidR="00C56A02">
        <w:t>stability due to</w:t>
      </w:r>
      <w:r w:rsidR="006E4343">
        <w:t xml:space="preserve"> portfolio effects. First, 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893A4D">
        <w:t xml:space="preserve">chances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 xml:space="preserve">rying capacity in recent years </w:t>
      </w:r>
      <w:r w:rsidR="00CE0D1C" w:rsidRPr="00CE0D1C">
        <w:rPr>
          <w:highlight w:val="yellow"/>
        </w:rPr>
        <w:t>(Peterman and Dorner 2012; Britten et al. 2016)</w:t>
      </w:r>
      <w:r w:rsidR="00E2515B">
        <w:t xml:space="preserve">. Given evidence that climate change will increase the </w:t>
      </w:r>
      <w:r w:rsidR="00893A4D">
        <w:t xml:space="preserve">probability </w:t>
      </w:r>
      <w:r w:rsidR="00E2515B">
        <w:t>of extreme events in both marine and terrestrial environments (</w:t>
      </w:r>
      <w:proofErr w:type="spellStart"/>
      <w:r w:rsidR="00B10EC8">
        <w:rPr>
          <w:highlight w:val="yellow"/>
        </w:rPr>
        <w:t>Diffenbaugh</w:t>
      </w:r>
      <w:proofErr w:type="spellEnd"/>
      <w:r w:rsidR="00B10EC8">
        <w:rPr>
          <w:highlight w:val="yellow"/>
        </w:rPr>
        <w:t xml:space="preserve"> et al. 2005</w:t>
      </w:r>
      <w:r w:rsidR="00CE0D1C" w:rsidRPr="00CE0D1C">
        <w:rPr>
          <w:highlight w:val="yellow"/>
        </w:rPr>
        <w:t>;</w:t>
      </w:r>
      <w:r w:rsidR="00CE0D1C">
        <w:t xml:space="preserve"> </w:t>
      </w:r>
      <w:proofErr w:type="spellStart"/>
      <w:r w:rsidR="00CE0D1C" w:rsidRPr="00CE0D1C">
        <w:rPr>
          <w:highlight w:val="yellow"/>
        </w:rPr>
        <w:t>Frolicher</w:t>
      </w:r>
      <w:proofErr w:type="spellEnd"/>
      <w:r w:rsidR="00CE0D1C" w:rsidRPr="00CE0D1C">
        <w:rPr>
          <w:highlight w:val="yellow"/>
        </w:rPr>
        <w:t xml:space="preserve"> et al. 2018</w:t>
      </w:r>
      <w:r w:rsidR="00E2515B">
        <w:t>), it may be more appropriate to use skewed or heavy-tailed distributions to predict future dynamics, rather than assume stability (</w:t>
      </w:r>
      <w:r w:rsidR="00E2515B" w:rsidRPr="00CE0D1C">
        <w:rPr>
          <w:highlight w:val="yellow"/>
        </w:rPr>
        <w:t xml:space="preserve">Anderson </w:t>
      </w:r>
      <w:r w:rsidR="00CE0D1C" w:rsidRPr="00CE0D1C">
        <w:rPr>
          <w:highlight w:val="yellow"/>
        </w:rPr>
        <w:t>et al. 2017</w:t>
      </w:r>
      <w:r w:rsidR="00E2515B">
        <w:t>)</w:t>
      </w:r>
      <w:r w:rsidR="00472DCC">
        <w:t>. Furthermore, greater aggregate variability may result in negative consequences via management processes we were unable to model here (descri</w:t>
      </w:r>
      <w:r w:rsidR="00592C4A">
        <w:t xml:space="preserve">bed in next paragraph). Thus we </w:t>
      </w:r>
      <w:r w:rsidR="00472DCC">
        <w:t>echo previous authors in suggesting</w:t>
      </w:r>
      <w:r w:rsidR="00885848">
        <w:t xml:space="preserve"> estimates of port</w:t>
      </w:r>
      <w:bookmarkStart w:id="12" w:name="_GoBack"/>
      <w:bookmarkEnd w:id="12"/>
      <w:r w:rsidR="00885848">
        <w:t xml:space="preserve">folio effect strength </w:t>
      </w:r>
      <w:r w:rsidR="00472DCC">
        <w:t>should be paired with</w:t>
      </w:r>
      <w:r w:rsidR="00EA1BCE">
        <w:t xml:space="preserve"> more </w:t>
      </w:r>
      <w:r w:rsidR="00EA1BCE">
        <w:lastRenderedPageBreak/>
        <w:t>commonly used metrics</w:t>
      </w:r>
      <w:r w:rsidR="00592C4A">
        <w:t>,</w:t>
      </w:r>
      <w:r w:rsidR="00EA1BCE">
        <w:t xml:space="preserve"> such as trends in abundance or fishing mortality rates</w:t>
      </w:r>
      <w:r w:rsidR="00592C4A">
        <w:t>,</w:t>
      </w:r>
      <w:r w:rsidR="00472DCC">
        <w:t xml:space="preserve"> during assessments</w:t>
      </w:r>
      <w:r w:rsidR="00E2515B">
        <w:t xml:space="preserve"> (</w:t>
      </w:r>
      <w:r w:rsidR="00B10EC8" w:rsidRPr="00B10EC8">
        <w:rPr>
          <w:highlight w:val="yellow"/>
        </w:rPr>
        <w:t>Thorson et al. 2018</w:t>
      </w:r>
      <w:r w:rsidR="00E2515B">
        <w:t>)</w:t>
      </w:r>
      <w:r w:rsidR="00885848">
        <w:t>.</w:t>
      </w:r>
    </w:p>
    <w:p w14:paraId="24BCCB42" w14:textId="44CEAE7D"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A07F2B">
        <w:t xml:space="preserve">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6D6FD3E9"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B10EC8">
        <w:t xml:space="preserve"> (Grant and </w:t>
      </w:r>
      <w:proofErr w:type="spellStart"/>
      <w:r w:rsidR="00B10EC8">
        <w:t>Pestal</w:t>
      </w:r>
      <w:proofErr w:type="spellEnd"/>
      <w:r w:rsidR="00B10EC8">
        <w:t xml:space="preserve"> 2012)</w:t>
      </w:r>
      <w:r w:rsidR="003F6FAC">
        <w:t xml:space="preserve">. As a result, </w:t>
      </w:r>
      <w:r w:rsidR="005F25FB">
        <w:t xml:space="preserve">in-season </w:t>
      </w:r>
      <w:r w:rsidR="003F6FAC">
        <w:t>exploitation rates can be reduced when recruit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biological benchmarks and catch-based reference points were rarely met during pessimistic scenarios. Given that</w:t>
      </w:r>
      <w:r w:rsidR="003F6FAC">
        <w:t xml:space="preserve"> </w:t>
      </w:r>
      <w:r w:rsidR="005F25FB">
        <w:t>such a</w:t>
      </w:r>
      <w:r w:rsidR="00B10EC8">
        <w:t xml:space="preserve"> </w:t>
      </w:r>
      <w:r w:rsidR="003F6FAC">
        <w:t xml:space="preserve">framework is the exception rather than the rule </w:t>
      </w:r>
      <w:r w:rsidR="00B10EC8">
        <w:t>in fisheries management</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reduced </w:t>
      </w:r>
      <w:r w:rsidR="000D35E5">
        <w:t>productivity and a weakened portfolio effect</w:t>
      </w:r>
      <w:r w:rsidR="003F6FAC">
        <w:t>.</w:t>
      </w:r>
      <w:r w:rsidR="00B10EC8">
        <w:t xml:space="preserve"> For example,</w:t>
      </w:r>
      <w:r w:rsidR="000D2B97">
        <w:t xml:space="preserve"> harvest</w:t>
      </w:r>
      <w:r w:rsidR="000D2B97">
        <w:t xml:space="preserve"> rates </w:t>
      </w:r>
      <w:r w:rsidR="000D2B97">
        <w:t xml:space="preserve">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w:t>
      </w:r>
      <w:r w:rsidR="000D35E5">
        <w:lastRenderedPageBreak/>
        <w:t>As aggregate variability increases such techniques will likely become less accurate, increasing the probability of overexploitation.</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which may lead to</w:t>
      </w:r>
      <w:r w:rsidR="00DC53FA">
        <w:t xml:space="preserve"> substantial pressure from stakeholder</w:t>
      </w:r>
      <w:r w:rsidR="00374128">
        <w:t>s</w:t>
      </w:r>
      <w:r w:rsidR="00DC53FA">
        <w:t xml:space="preserve"> </w:t>
      </w:r>
      <w:r w:rsidR="00DA0EE9">
        <w:t>to maintain harvesting capacity and further</w:t>
      </w:r>
      <w:r w:rsidR="00DC53FA">
        <w:t xml:space="preserve"> </w:t>
      </w:r>
      <w:r w:rsidR="00DA0EE9">
        <w:t>increase</w:t>
      </w:r>
      <w:r w:rsidR="00DC53FA">
        <w:t xml:space="preserve"> the potential for </w:t>
      </w:r>
      <w:r w:rsidR="00DA0EE9">
        <w:t>overexploitation (</w:t>
      </w:r>
      <w:r w:rsidR="00DA0EE9" w:rsidRPr="00DA0EE9">
        <w:rPr>
          <w:highlight w:val="yellow"/>
        </w:rPr>
        <w:t>Holland 1999</w:t>
      </w:r>
      <w:r w:rsidR="00DA0EE9">
        <w:t>)</w:t>
      </w:r>
      <w:r w:rsidR="00DC53FA">
        <w:t>.</w:t>
      </w:r>
    </w:p>
    <w:p w14:paraId="0A13C042" w14:textId="1207E090"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w:t>
      </w:r>
      <w:r w:rsidR="00592C4A">
        <w:t>’</w:t>
      </w:r>
      <w:r>
        <w:t xml:space="preserve">s </w:t>
      </w:r>
      <w:r w:rsidR="00592C4A">
        <w:t>status</w:t>
      </w:r>
      <w:r>
        <w:t>. We principally focused on median outcomes over the length of the simulation period</w:t>
      </w:r>
      <w:r w:rsidR="003C30FC">
        <w:t xml:space="preserve"> (approximately ten generations). Alternative metrics</w:t>
      </w:r>
      <w:r>
        <w:t xml:space="preserve"> that emphasize variability </w:t>
      </w:r>
      <w:r w:rsidR="005E0F06">
        <w:t>(</w:t>
      </w:r>
      <w:r w:rsidR="00592C4A">
        <w:t>such as</w:t>
      </w:r>
      <w:r w:rsidR="005E0F06">
        <w:t xml:space="preserve">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3"/>
      <w:r>
        <w:t>Preliminary analyses suggest</w:t>
      </w:r>
      <w:r w:rsidR="003C30FC">
        <w:t>ed</w:t>
      </w:r>
      <w:r>
        <w:t xml:space="preserve"> that producing a decline in productivity by manipulating alpha directly resulted in weaker aggregate variability effects</w:t>
      </w:r>
      <w:commentRangeEnd w:id="13"/>
      <w:r w:rsidR="003C30FC">
        <w:rPr>
          <w:rStyle w:val="CommentReference"/>
        </w:rPr>
        <w:commentReference w:id="13"/>
      </w:r>
      <w:r>
        <w:t xml:space="preserve">. However we believe that </w:t>
      </w:r>
      <w:r w:rsidR="00592C4A">
        <w:t>generating</w:t>
      </w:r>
      <w:r w:rsidR="003C30FC">
        <w:t xml:space="preserve"> changes in average productivity via process variance is justified</w:t>
      </w:r>
      <w:r>
        <w:t xml:space="preserve"> given evidence of strong negative recruitment deviations in many Pacific salmon aggregates (REF)</w:t>
      </w:r>
      <w:r w:rsidR="00851FBB">
        <w:t xml:space="preserve">, </w:t>
      </w:r>
      <w:r w:rsidR="00B0073E">
        <w:t xml:space="preserve">uncertainty about future changes in </w:t>
      </w:r>
      <w:r w:rsidR="004748F6">
        <w:t>productivity</w:t>
      </w:r>
      <w:r w:rsidR="00851FBB">
        <w:t xml:space="preserve"> (REF), and an increased probability of extreme environmental events (REF)</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70B1213C"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851FBB">
        <w:rPr>
          <w:rFonts w:eastAsiaTheme="minorEastAsia"/>
        </w:rPr>
        <w:t xml:space="preserve"> (Link ref)</w:t>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w:t>
      </w:r>
      <w:r w:rsidR="005E0F06">
        <w:rPr>
          <w:rFonts w:eastAsiaTheme="minorEastAsia"/>
        </w:rPr>
        <w:lastRenderedPageBreak/>
        <w:t>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portfolio effects are themselves dynamic.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61F9F6B4" w14:textId="77777777" w:rsidR="00B61D3E" w:rsidRPr="00B61D3E" w:rsidRDefault="00DE0F7B" w:rsidP="00B61D3E">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B61D3E" w:rsidRPr="00B61D3E">
        <w:rPr>
          <w:noProof/>
        </w:rPr>
        <w:t xml:space="preserve">Anderson, S.C., Branch, T.A., Cooper, A.B. &amp; Dulvy, N.K. (2017) Black-swan events in animal populations. </w:t>
      </w:r>
      <w:r w:rsidR="00B61D3E" w:rsidRPr="00B61D3E">
        <w:rPr>
          <w:i/>
          <w:noProof/>
        </w:rPr>
        <w:t>Proceedings of the National Academy of Sciences</w:t>
      </w:r>
      <w:r w:rsidR="00B61D3E" w:rsidRPr="00B61D3E">
        <w:rPr>
          <w:noProof/>
        </w:rPr>
        <w:t>.</w:t>
      </w:r>
    </w:p>
    <w:p w14:paraId="7F8DBE75" w14:textId="77777777" w:rsidR="00B61D3E" w:rsidRPr="00B61D3E" w:rsidRDefault="00B61D3E" w:rsidP="00B61D3E">
      <w:pPr>
        <w:pStyle w:val="EndNoteBibliography"/>
        <w:spacing w:after="0"/>
        <w:ind w:left="720" w:hanging="720"/>
        <w:rPr>
          <w:noProof/>
        </w:rPr>
      </w:pPr>
      <w:r w:rsidRPr="00B61D3E">
        <w:rPr>
          <w:noProof/>
        </w:rPr>
        <w:t>Burgner, R.L. (1991) Life history of Sockeye Salmon (</w:t>
      </w:r>
      <w:r w:rsidRPr="00B61D3E">
        <w:rPr>
          <w:i/>
          <w:noProof/>
        </w:rPr>
        <w:t>Oncorhynchus nerka</w:t>
      </w:r>
      <w:r w:rsidRPr="00B61D3E">
        <w:rPr>
          <w:noProof/>
        </w:rPr>
        <w:t xml:space="preserve">). </w:t>
      </w:r>
      <w:r w:rsidRPr="00B61D3E">
        <w:rPr>
          <w:i/>
          <w:noProof/>
        </w:rPr>
        <w:t xml:space="preserve">Pacific Salmon Life Histories </w:t>
      </w:r>
      <w:r w:rsidRPr="00B61D3E">
        <w:rPr>
          <w:noProof/>
        </w:rPr>
        <w:t>(eds C. Groot &amp; L. Margolis).</w:t>
      </w:r>
      <w:r w:rsidRPr="00B61D3E">
        <w:rPr>
          <w:i/>
          <w:noProof/>
        </w:rPr>
        <w:t xml:space="preserve"> </w:t>
      </w:r>
      <w:r w:rsidRPr="00B61D3E">
        <w:rPr>
          <w:noProof/>
        </w:rPr>
        <w:t>University of British Columbia Press, Vancouver, B.C.</w:t>
      </w:r>
    </w:p>
    <w:p w14:paraId="4AF4AD44" w14:textId="77777777" w:rsidR="00B61D3E" w:rsidRPr="00B61D3E" w:rsidRDefault="00B61D3E" w:rsidP="00B61D3E">
      <w:pPr>
        <w:pStyle w:val="EndNoteBibliography"/>
        <w:spacing w:after="0"/>
        <w:ind w:left="720" w:hanging="720"/>
        <w:rPr>
          <w:noProof/>
        </w:rPr>
      </w:pPr>
      <w:r w:rsidRPr="00B61D3E">
        <w:rPr>
          <w:noProof/>
        </w:rPr>
        <w:t xml:space="preserve">Carlson, S.M. &amp; Satterthwaite, W.H. (2011) Weakened portfolio effect in a collapsed salmon population complex. </w:t>
      </w:r>
      <w:r w:rsidRPr="00B61D3E">
        <w:rPr>
          <w:i/>
          <w:noProof/>
        </w:rPr>
        <w:t>Canadian Journal of Fisheries and Aquatic Sciences,</w:t>
      </w:r>
      <w:r w:rsidRPr="00B61D3E">
        <w:rPr>
          <w:noProof/>
        </w:rPr>
        <w:t xml:space="preserve"> </w:t>
      </w:r>
      <w:r w:rsidRPr="00B61D3E">
        <w:rPr>
          <w:b/>
          <w:noProof/>
        </w:rPr>
        <w:t>68,</w:t>
      </w:r>
      <w:r w:rsidRPr="00B61D3E">
        <w:rPr>
          <w:noProof/>
        </w:rPr>
        <w:t xml:space="preserve"> 1579-1589.</w:t>
      </w:r>
    </w:p>
    <w:p w14:paraId="6D80CC4C" w14:textId="77777777" w:rsidR="00B61D3E" w:rsidRPr="00B61D3E" w:rsidRDefault="00B61D3E" w:rsidP="00B61D3E">
      <w:pPr>
        <w:pStyle w:val="EndNoteBibliography"/>
        <w:spacing w:after="0"/>
        <w:ind w:left="720" w:hanging="720"/>
        <w:rPr>
          <w:noProof/>
        </w:rPr>
      </w:pPr>
      <w:r w:rsidRPr="00B61D3E">
        <w:rPr>
          <w:noProof/>
        </w:rPr>
        <w:t xml:space="preserve">Cohen, B.I. (2012) The Uncertain Future of Fraser River Sockeye - Part 1. </w:t>
      </w:r>
      <w:r w:rsidRPr="00B61D3E">
        <w:rPr>
          <w:i/>
          <w:noProof/>
        </w:rPr>
        <w:t>Cohen Commission,</w:t>
      </w:r>
      <w:r w:rsidRPr="00B61D3E">
        <w:rPr>
          <w:noProof/>
        </w:rPr>
        <w:t xml:space="preserve"> </w:t>
      </w:r>
      <w:r w:rsidRPr="00B61D3E">
        <w:rPr>
          <w:b/>
          <w:noProof/>
        </w:rPr>
        <w:t>1,</w:t>
      </w:r>
      <w:r w:rsidRPr="00B61D3E">
        <w:rPr>
          <w:noProof/>
        </w:rPr>
        <w:t xml:space="preserve"> 692.</w:t>
      </w:r>
    </w:p>
    <w:p w14:paraId="444F9202" w14:textId="77777777" w:rsidR="00B61D3E" w:rsidRPr="00B61D3E" w:rsidRDefault="00B61D3E" w:rsidP="00B61D3E">
      <w:pPr>
        <w:pStyle w:val="EndNoteBibliography"/>
        <w:spacing w:after="0"/>
        <w:ind w:left="720" w:hanging="720"/>
        <w:rPr>
          <w:noProof/>
        </w:rPr>
      </w:pPr>
      <w:r w:rsidRPr="00B61D3E">
        <w:rPr>
          <w:noProof/>
        </w:rPr>
        <w:t xml:space="preserve">Connor, E.J. &amp; Pflug, D.E. (2004) Changes in the distribution and density of pink, chum, and Chinook salmon spawning in the upper Skagit River in response to flow management measures. </w:t>
      </w:r>
      <w:r w:rsidRPr="00B61D3E">
        <w:rPr>
          <w:i/>
          <w:noProof/>
        </w:rPr>
        <w:t>North American Journal of Fisheries Management,</w:t>
      </w:r>
      <w:r w:rsidRPr="00B61D3E">
        <w:rPr>
          <w:noProof/>
        </w:rPr>
        <w:t xml:space="preserve"> </w:t>
      </w:r>
      <w:r w:rsidRPr="00B61D3E">
        <w:rPr>
          <w:b/>
          <w:noProof/>
        </w:rPr>
        <w:t>24,</w:t>
      </w:r>
      <w:r w:rsidRPr="00B61D3E">
        <w:rPr>
          <w:noProof/>
        </w:rPr>
        <w:t xml:space="preserve"> 835-852.</w:t>
      </w:r>
    </w:p>
    <w:p w14:paraId="0C58FE14" w14:textId="77777777" w:rsidR="00B61D3E" w:rsidRPr="00B61D3E" w:rsidRDefault="00B61D3E" w:rsidP="00B61D3E">
      <w:pPr>
        <w:pStyle w:val="EndNoteBibliography"/>
        <w:spacing w:after="0"/>
        <w:ind w:left="720" w:hanging="720"/>
        <w:rPr>
          <w:noProof/>
        </w:rPr>
      </w:pPr>
      <w:r w:rsidRPr="00B61D3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B61D3E">
        <w:rPr>
          <w:i/>
          <w:noProof/>
        </w:rPr>
        <w:t>Fisheries Research,</w:t>
      </w:r>
      <w:r w:rsidRPr="00B61D3E">
        <w:rPr>
          <w:noProof/>
        </w:rPr>
        <w:t xml:space="preserve"> </w:t>
      </w:r>
      <w:r w:rsidRPr="00B61D3E">
        <w:rPr>
          <w:b/>
          <w:noProof/>
        </w:rPr>
        <w:t>29,</w:t>
      </w:r>
      <w:r w:rsidRPr="00B61D3E">
        <w:rPr>
          <w:noProof/>
        </w:rPr>
        <w:t xml:space="preserve"> 22-33.</w:t>
      </w:r>
    </w:p>
    <w:p w14:paraId="4FAADED1" w14:textId="77777777" w:rsidR="00B61D3E" w:rsidRPr="00B61D3E" w:rsidRDefault="00B61D3E" w:rsidP="00B61D3E">
      <w:pPr>
        <w:pStyle w:val="EndNoteBibliography"/>
        <w:spacing w:after="0"/>
        <w:ind w:left="720" w:hanging="720"/>
        <w:rPr>
          <w:noProof/>
        </w:rPr>
      </w:pPr>
      <w:r w:rsidRPr="00B61D3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B61D3E">
        <w:rPr>
          <w:i/>
          <w:noProof/>
        </w:rPr>
        <w:t>Canadian Journal of Zoology,</w:t>
      </w:r>
      <w:r w:rsidRPr="00B61D3E">
        <w:rPr>
          <w:noProof/>
        </w:rPr>
        <w:t xml:space="preserve"> </w:t>
      </w:r>
      <w:r w:rsidRPr="00B61D3E">
        <w:rPr>
          <w:b/>
          <w:noProof/>
        </w:rPr>
        <w:t>86,</w:t>
      </w:r>
      <w:r w:rsidRPr="00B61D3E">
        <w:rPr>
          <w:noProof/>
        </w:rPr>
        <w:t xml:space="preserve"> 127-140.</w:t>
      </w:r>
    </w:p>
    <w:p w14:paraId="789EE1C1" w14:textId="77777777" w:rsidR="00B61D3E" w:rsidRPr="00B61D3E" w:rsidRDefault="00B61D3E" w:rsidP="00B61D3E">
      <w:pPr>
        <w:pStyle w:val="EndNoteBibliography"/>
        <w:spacing w:after="0"/>
        <w:ind w:left="720" w:hanging="720"/>
        <w:rPr>
          <w:noProof/>
        </w:rPr>
      </w:pPr>
      <w:r w:rsidRPr="00B61D3E">
        <w:rPr>
          <w:noProof/>
        </w:rPr>
        <w:t>Dorner, B., Peterman, R.M. &amp; Su, Z. (2009) Evaluation of performance of alternative management models of Pacific salmon (</w:t>
      </w:r>
      <w:r w:rsidRPr="00B61D3E">
        <w:rPr>
          <w:i/>
          <w:noProof/>
        </w:rPr>
        <w:t>Oncorhynchus</w:t>
      </w:r>
      <w:r w:rsidRPr="00B61D3E">
        <w:rPr>
          <w:noProof/>
        </w:rPr>
        <w:t xml:space="preserve"> spp.) in the presence of climatic change and outcome uncertainty using Monte Carlo simulations. </w:t>
      </w:r>
      <w:r w:rsidRPr="00B61D3E">
        <w:rPr>
          <w:i/>
          <w:noProof/>
        </w:rPr>
        <w:t>Canadian Journal of Fisheries and Aquatic Sciences,</w:t>
      </w:r>
      <w:r w:rsidRPr="00B61D3E">
        <w:rPr>
          <w:noProof/>
        </w:rPr>
        <w:t xml:space="preserve"> </w:t>
      </w:r>
      <w:r w:rsidRPr="00B61D3E">
        <w:rPr>
          <w:b/>
          <w:noProof/>
        </w:rPr>
        <w:t>66,</w:t>
      </w:r>
      <w:r w:rsidRPr="00B61D3E">
        <w:rPr>
          <w:noProof/>
        </w:rPr>
        <w:t xml:space="preserve"> 2199-2221.</w:t>
      </w:r>
    </w:p>
    <w:p w14:paraId="303069FA" w14:textId="77777777" w:rsidR="00B61D3E" w:rsidRPr="00B61D3E" w:rsidRDefault="00B61D3E" w:rsidP="00B61D3E">
      <w:pPr>
        <w:pStyle w:val="EndNoteBibliography"/>
        <w:spacing w:after="0"/>
        <w:ind w:left="720" w:hanging="720"/>
        <w:rPr>
          <w:noProof/>
        </w:rPr>
      </w:pPr>
      <w:r w:rsidRPr="00B61D3E">
        <w:rPr>
          <w:noProof/>
        </w:rPr>
        <w:t>Grant, S.C.H., MacDonald, B.L., Cone, T.E., Holt, C.A., Cass, A., Porszt, E.J., Hume, J.M.B. &amp; Pon, L.B. (2011) Evaluation of uncertainty in Fraser Sockeye (</w:t>
      </w:r>
      <w:r w:rsidRPr="00B61D3E">
        <w:rPr>
          <w:i/>
          <w:noProof/>
        </w:rPr>
        <w:t>Oncorhynchus nerka</w:t>
      </w:r>
      <w:r w:rsidRPr="00B61D3E">
        <w:rPr>
          <w:noProof/>
        </w:rPr>
        <w:t xml:space="preserve">) wild salmon policy </w:t>
      </w:r>
      <w:r w:rsidRPr="00B61D3E">
        <w:rPr>
          <w:noProof/>
        </w:rPr>
        <w:lastRenderedPageBreak/>
        <w:t xml:space="preserve">status using abundance and trends in abundance metrics. </w:t>
      </w:r>
      <w:r w:rsidRPr="00B61D3E">
        <w:rPr>
          <w:i/>
          <w:noProof/>
        </w:rPr>
        <w:t>Candian Science Advisory Secretariat Research Document,</w:t>
      </w:r>
      <w:r w:rsidRPr="00B61D3E">
        <w:rPr>
          <w:noProof/>
        </w:rPr>
        <w:t xml:space="preserve"> </w:t>
      </w:r>
      <w:r w:rsidRPr="00B61D3E">
        <w:rPr>
          <w:b/>
          <w:noProof/>
        </w:rPr>
        <w:t>2011/087</w:t>
      </w:r>
      <w:r w:rsidRPr="00B61D3E">
        <w:rPr>
          <w:noProof/>
        </w:rPr>
        <w:t>.</w:t>
      </w:r>
    </w:p>
    <w:p w14:paraId="7D868884" w14:textId="77777777" w:rsidR="00B61D3E" w:rsidRPr="00B61D3E" w:rsidRDefault="00B61D3E" w:rsidP="00B61D3E">
      <w:pPr>
        <w:pStyle w:val="EndNoteBibliography"/>
        <w:spacing w:after="0"/>
        <w:ind w:left="720" w:hanging="720"/>
        <w:rPr>
          <w:noProof/>
        </w:rPr>
      </w:pPr>
      <w:r w:rsidRPr="00B61D3E">
        <w:rPr>
          <w:noProof/>
        </w:rPr>
        <w:t xml:space="preserve">Holt, C.A. &amp; Folkes, M.J.P. (2015) Cautions on using percentile-based benchmarks of status for data-limited populations of Pacific salmon under persistent trends in productivity and uncertain outcomes from harvest management. </w:t>
      </w:r>
      <w:r w:rsidRPr="00B61D3E">
        <w:rPr>
          <w:i/>
          <w:noProof/>
        </w:rPr>
        <w:t>Fisheries Research,</w:t>
      </w:r>
      <w:r w:rsidRPr="00B61D3E">
        <w:rPr>
          <w:noProof/>
        </w:rPr>
        <w:t xml:space="preserve"> </w:t>
      </w:r>
      <w:r w:rsidRPr="00B61D3E">
        <w:rPr>
          <w:b/>
          <w:noProof/>
        </w:rPr>
        <w:t>171,</w:t>
      </w:r>
      <w:r w:rsidRPr="00B61D3E">
        <w:rPr>
          <w:noProof/>
        </w:rPr>
        <w:t xml:space="preserve"> 188-200.</w:t>
      </w:r>
    </w:p>
    <w:p w14:paraId="2E4ECFDC" w14:textId="77777777" w:rsidR="00B61D3E" w:rsidRPr="00B61D3E" w:rsidRDefault="00B61D3E" w:rsidP="00B61D3E">
      <w:pPr>
        <w:pStyle w:val="EndNoteBibliography"/>
        <w:spacing w:after="0"/>
        <w:ind w:left="720" w:hanging="720"/>
        <w:rPr>
          <w:noProof/>
        </w:rPr>
      </w:pPr>
      <w:r w:rsidRPr="00B61D3E">
        <w:rPr>
          <w:noProof/>
        </w:rPr>
        <w:t xml:space="preserve">Holtby, L.B. &amp; Ciruna, K.A. (2007) Conservation units for Pacific salmon under the Wild Salmon Policy. </w:t>
      </w:r>
      <w:r w:rsidRPr="00B61D3E">
        <w:rPr>
          <w:i/>
          <w:noProof/>
        </w:rPr>
        <w:t>Canadian Service Advisory Secretariat Research Document,</w:t>
      </w:r>
      <w:r w:rsidRPr="00B61D3E">
        <w:rPr>
          <w:noProof/>
        </w:rPr>
        <w:t xml:space="preserve"> </w:t>
      </w:r>
      <w:r w:rsidRPr="00B61D3E">
        <w:rPr>
          <w:b/>
          <w:noProof/>
        </w:rPr>
        <w:t>2007/070,</w:t>
      </w:r>
      <w:r w:rsidRPr="00B61D3E">
        <w:rPr>
          <w:noProof/>
        </w:rPr>
        <w:t xml:space="preserve"> 358 p.</w:t>
      </w:r>
    </w:p>
    <w:p w14:paraId="42240E8C" w14:textId="77777777" w:rsidR="00B61D3E" w:rsidRPr="00B61D3E" w:rsidRDefault="00B61D3E" w:rsidP="00B61D3E">
      <w:pPr>
        <w:pStyle w:val="EndNoteBibliography"/>
        <w:spacing w:after="0"/>
        <w:ind w:left="720" w:hanging="720"/>
        <w:rPr>
          <w:noProof/>
        </w:rPr>
      </w:pPr>
      <w:r w:rsidRPr="00B61D3E">
        <w:rPr>
          <w:noProof/>
        </w:rPr>
        <w:t>Larkin, P.A. (1971) Simulation studies of Adams River sockeye salmon (</w:t>
      </w:r>
      <w:r w:rsidRPr="00B61D3E">
        <w:rPr>
          <w:i/>
          <w:noProof/>
        </w:rPr>
        <w:t>Oncorhynchus nerka</w:t>
      </w:r>
      <w:r w:rsidRPr="00B61D3E">
        <w:rPr>
          <w:noProof/>
        </w:rPr>
        <w:t xml:space="preserve">). </w:t>
      </w:r>
      <w:r w:rsidRPr="00B61D3E">
        <w:rPr>
          <w:i/>
          <w:noProof/>
        </w:rPr>
        <w:t>Journal Fisheries Research Board of Canada,</w:t>
      </w:r>
      <w:r w:rsidRPr="00B61D3E">
        <w:rPr>
          <w:noProof/>
        </w:rPr>
        <w:t xml:space="preserve"> </w:t>
      </w:r>
      <w:r w:rsidRPr="00B61D3E">
        <w:rPr>
          <w:b/>
          <w:noProof/>
        </w:rPr>
        <w:t>28,</w:t>
      </w:r>
      <w:r w:rsidRPr="00B61D3E">
        <w:rPr>
          <w:noProof/>
        </w:rPr>
        <w:t xml:space="preserve"> 1493-1502.</w:t>
      </w:r>
    </w:p>
    <w:p w14:paraId="5D135524" w14:textId="77777777" w:rsidR="00B61D3E" w:rsidRPr="00B61D3E" w:rsidRDefault="00B61D3E" w:rsidP="00B61D3E">
      <w:pPr>
        <w:pStyle w:val="EndNoteBibliography"/>
        <w:spacing w:after="0"/>
        <w:ind w:left="720" w:hanging="720"/>
        <w:rPr>
          <w:noProof/>
        </w:rPr>
      </w:pPr>
      <w:r w:rsidRPr="00B61D3E">
        <w:rPr>
          <w:noProof/>
        </w:rPr>
        <w:t xml:space="preserve">Loreau, M. &amp; de Mazancourt, C. (2008) Species synchrony and its drivers: neutral and nonneutral community dynamics in fluctuating environments </w:t>
      </w:r>
      <w:r w:rsidRPr="00B61D3E">
        <w:rPr>
          <w:i/>
          <w:noProof/>
        </w:rPr>
        <w:t>The American Naturalist,</w:t>
      </w:r>
      <w:r w:rsidRPr="00B61D3E">
        <w:rPr>
          <w:noProof/>
        </w:rPr>
        <w:t xml:space="preserve"> </w:t>
      </w:r>
      <w:r w:rsidRPr="00B61D3E">
        <w:rPr>
          <w:b/>
          <w:noProof/>
        </w:rPr>
        <w:t>172,</w:t>
      </w:r>
      <w:r w:rsidRPr="00B61D3E">
        <w:rPr>
          <w:noProof/>
        </w:rPr>
        <w:t xml:space="preserve"> E48-E66.</w:t>
      </w:r>
    </w:p>
    <w:p w14:paraId="7CD465D3" w14:textId="77777777" w:rsidR="00B61D3E" w:rsidRPr="00B61D3E" w:rsidRDefault="00B61D3E" w:rsidP="00B61D3E">
      <w:pPr>
        <w:pStyle w:val="EndNoteBibliography"/>
        <w:spacing w:after="0"/>
        <w:ind w:left="720" w:hanging="720"/>
        <w:rPr>
          <w:noProof/>
        </w:rPr>
      </w:pPr>
      <w:r w:rsidRPr="00B61D3E">
        <w:rPr>
          <w:noProof/>
        </w:rPr>
        <w:t>Macdonald, J.S. (2000) Mortality during the migration of Fraser River sockeye salmon (</w:t>
      </w:r>
      <w:r w:rsidRPr="00B61D3E">
        <w:rPr>
          <w:i/>
          <w:noProof/>
        </w:rPr>
        <w:t>Oncorhynchus nerka</w:t>
      </w:r>
      <w:r w:rsidRPr="00B61D3E">
        <w:rPr>
          <w:noProof/>
        </w:rPr>
        <w:t xml:space="preserve">): a study of the effect of ocean and river environmental conditions in 1997. </w:t>
      </w:r>
      <w:r w:rsidRPr="00B61D3E">
        <w:rPr>
          <w:i/>
          <w:noProof/>
        </w:rPr>
        <w:t>Canadian Technical Report of Fisheries and Aquatic Sciences,</w:t>
      </w:r>
      <w:r w:rsidRPr="00B61D3E">
        <w:rPr>
          <w:noProof/>
        </w:rPr>
        <w:t xml:space="preserve"> </w:t>
      </w:r>
      <w:r w:rsidRPr="00B61D3E">
        <w:rPr>
          <w:b/>
          <w:noProof/>
        </w:rPr>
        <w:t>2315,</w:t>
      </w:r>
      <w:r w:rsidRPr="00B61D3E">
        <w:rPr>
          <w:noProof/>
        </w:rPr>
        <w:t xml:space="preserve"> 120 p.</w:t>
      </w:r>
    </w:p>
    <w:p w14:paraId="36F3C7CD" w14:textId="77777777" w:rsidR="00B61D3E" w:rsidRPr="00B61D3E" w:rsidRDefault="00B61D3E" w:rsidP="00B61D3E">
      <w:pPr>
        <w:pStyle w:val="EndNoteBibliography"/>
        <w:spacing w:after="0"/>
        <w:ind w:left="720" w:hanging="720"/>
        <w:rPr>
          <w:noProof/>
        </w:rPr>
      </w:pPr>
      <w:r w:rsidRPr="00B61D3E">
        <w:rPr>
          <w:noProof/>
        </w:rPr>
        <w:t xml:space="preserve">Mueter, F.J., Pyper, B.J. &amp; Peterman, R.M. (2005) Relationships between Coastal Ocean Conditions and Survival Rates of Northeast Pacific Salmon at Multiple Lags. </w:t>
      </w:r>
      <w:r w:rsidRPr="00B61D3E">
        <w:rPr>
          <w:i/>
          <w:noProof/>
        </w:rPr>
        <w:t>Transactions of the American Fisheries Society,</w:t>
      </w:r>
      <w:r w:rsidRPr="00B61D3E">
        <w:rPr>
          <w:noProof/>
        </w:rPr>
        <w:t xml:space="preserve"> </w:t>
      </w:r>
      <w:r w:rsidRPr="00B61D3E">
        <w:rPr>
          <w:b/>
          <w:noProof/>
        </w:rPr>
        <w:t>134,</w:t>
      </w:r>
      <w:r w:rsidRPr="00B61D3E">
        <w:rPr>
          <w:noProof/>
        </w:rPr>
        <w:t xml:space="preserve"> 105-119.</w:t>
      </w:r>
    </w:p>
    <w:p w14:paraId="2188D8A1" w14:textId="77777777" w:rsidR="00B61D3E" w:rsidRPr="00B61D3E" w:rsidRDefault="00B61D3E" w:rsidP="00B61D3E">
      <w:pPr>
        <w:pStyle w:val="EndNoteBibliography"/>
        <w:spacing w:after="0"/>
        <w:ind w:left="720" w:hanging="720"/>
        <w:rPr>
          <w:noProof/>
        </w:rPr>
      </w:pPr>
      <w:r w:rsidRPr="00B61D3E">
        <w:rPr>
          <w:noProof/>
        </w:rPr>
        <w:t>Pestal, G., Huang, A.-M. &amp; Cass, A. (2011) Updated methods for assessing harvest rules for Fraser River sockeye salmon (</w:t>
      </w:r>
      <w:r w:rsidRPr="00B61D3E">
        <w:rPr>
          <w:i/>
          <w:noProof/>
        </w:rPr>
        <w:t>Oncorhynchus nerka</w:t>
      </w:r>
      <w:r w:rsidRPr="00B61D3E">
        <w:rPr>
          <w:noProof/>
        </w:rPr>
        <w:t xml:space="preserve">). </w:t>
      </w:r>
      <w:r w:rsidRPr="00B61D3E">
        <w:rPr>
          <w:i/>
          <w:noProof/>
        </w:rPr>
        <w:t>Canadian Science Advisory Secretariat Research Document 2011/133</w:t>
      </w:r>
      <w:r w:rsidRPr="00B61D3E">
        <w:rPr>
          <w:b/>
          <w:noProof/>
        </w:rPr>
        <w:t>,</w:t>
      </w:r>
      <w:r w:rsidRPr="00B61D3E">
        <w:rPr>
          <w:noProof/>
        </w:rPr>
        <w:t xml:space="preserve"> 175 p.</w:t>
      </w:r>
    </w:p>
    <w:p w14:paraId="74943FF7" w14:textId="77777777" w:rsidR="00B61D3E" w:rsidRPr="00B61D3E" w:rsidRDefault="00B61D3E" w:rsidP="00B61D3E">
      <w:pPr>
        <w:pStyle w:val="EndNoteBibliography"/>
        <w:spacing w:after="0"/>
        <w:ind w:left="720" w:hanging="720"/>
        <w:rPr>
          <w:noProof/>
        </w:rPr>
      </w:pPr>
      <w:r w:rsidRPr="00B61D3E">
        <w:rPr>
          <w:noProof/>
        </w:rPr>
        <w:t>Peterman, Randall M. &amp; Dorner, B. (2012) A widespread decrease in productivity of Sockeye Salmon (</w:t>
      </w:r>
      <w:r w:rsidRPr="00B61D3E">
        <w:rPr>
          <w:i/>
          <w:noProof/>
        </w:rPr>
        <w:t>Oncorhynchus nerka</w:t>
      </w:r>
      <w:r w:rsidRPr="00B61D3E">
        <w:rPr>
          <w:noProof/>
        </w:rPr>
        <w:t xml:space="preserve">) populations in western North America. </w:t>
      </w:r>
      <w:r w:rsidRPr="00B61D3E">
        <w:rPr>
          <w:i/>
          <w:noProof/>
        </w:rPr>
        <w:t>Canadian Journal of Fisheries and Aquatic Sciences,</w:t>
      </w:r>
      <w:r w:rsidRPr="00B61D3E">
        <w:rPr>
          <w:noProof/>
        </w:rPr>
        <w:t xml:space="preserve"> </w:t>
      </w:r>
      <w:r w:rsidRPr="00B61D3E">
        <w:rPr>
          <w:b/>
          <w:noProof/>
        </w:rPr>
        <w:t>69,</w:t>
      </w:r>
      <w:r w:rsidRPr="00B61D3E">
        <w:rPr>
          <w:noProof/>
        </w:rPr>
        <w:t xml:space="preserve"> 1255-1260.</w:t>
      </w:r>
    </w:p>
    <w:p w14:paraId="2EA58099" w14:textId="77777777" w:rsidR="00B61D3E" w:rsidRPr="00B61D3E" w:rsidRDefault="00B61D3E" w:rsidP="00B61D3E">
      <w:pPr>
        <w:pStyle w:val="EndNoteBibliography"/>
        <w:spacing w:after="0"/>
        <w:ind w:left="720" w:hanging="720"/>
        <w:rPr>
          <w:noProof/>
        </w:rPr>
      </w:pPr>
      <w:r w:rsidRPr="00B61D3E">
        <w:rPr>
          <w:noProof/>
        </w:rPr>
        <w:t xml:space="preserve">Ricker, W.E. (1975) Computation and interpretation of biological statistics of fish populations. </w:t>
      </w:r>
      <w:r w:rsidRPr="00B61D3E">
        <w:rPr>
          <w:i/>
          <w:noProof/>
        </w:rPr>
        <w:t>Fisheries Research Board of Canada Bulletin,</w:t>
      </w:r>
      <w:r w:rsidRPr="00B61D3E">
        <w:rPr>
          <w:noProof/>
        </w:rPr>
        <w:t xml:space="preserve"> </w:t>
      </w:r>
      <w:r w:rsidRPr="00B61D3E">
        <w:rPr>
          <w:b/>
          <w:noProof/>
        </w:rPr>
        <w:t>191</w:t>
      </w:r>
      <w:r w:rsidRPr="00B61D3E">
        <w:rPr>
          <w:noProof/>
        </w:rPr>
        <w:t>.</w:t>
      </w:r>
    </w:p>
    <w:p w14:paraId="7EC88316" w14:textId="77777777" w:rsidR="00B61D3E" w:rsidRPr="00B61D3E" w:rsidRDefault="00B61D3E" w:rsidP="00B61D3E">
      <w:pPr>
        <w:pStyle w:val="EndNoteBibliography"/>
        <w:spacing w:after="0"/>
        <w:ind w:left="720" w:hanging="720"/>
        <w:rPr>
          <w:noProof/>
        </w:rPr>
      </w:pPr>
      <w:r w:rsidRPr="00B61D3E">
        <w:rPr>
          <w:noProof/>
        </w:rPr>
        <w:t xml:space="preserve">Satterthwaite, W.H. &amp; Carlson, S.M. (2015) Weakening portfolio effect strength in a hatchery-supplemented Chinook salmon population complex. </w:t>
      </w:r>
      <w:r w:rsidRPr="00B61D3E">
        <w:rPr>
          <w:i/>
          <w:noProof/>
        </w:rPr>
        <w:t>Canadian Journal of Fisheries and Aquatic Sciences,</w:t>
      </w:r>
      <w:r w:rsidRPr="00B61D3E">
        <w:rPr>
          <w:noProof/>
        </w:rPr>
        <w:t xml:space="preserve"> </w:t>
      </w:r>
      <w:r w:rsidRPr="00B61D3E">
        <w:rPr>
          <w:b/>
          <w:noProof/>
        </w:rPr>
        <w:t>72,</w:t>
      </w:r>
      <w:r w:rsidRPr="00B61D3E">
        <w:rPr>
          <w:noProof/>
        </w:rPr>
        <w:t xml:space="preserve"> 1860-1875.</w:t>
      </w:r>
    </w:p>
    <w:p w14:paraId="2C1D4A89" w14:textId="77777777" w:rsidR="00B61D3E" w:rsidRPr="00B61D3E" w:rsidRDefault="00B61D3E" w:rsidP="00B61D3E">
      <w:pPr>
        <w:pStyle w:val="EndNoteBibliography"/>
        <w:spacing w:after="0"/>
        <w:ind w:left="720" w:hanging="720"/>
        <w:rPr>
          <w:noProof/>
        </w:rPr>
      </w:pPr>
      <w:r w:rsidRPr="00B61D3E">
        <w:rPr>
          <w:noProof/>
        </w:rPr>
        <w:t xml:space="preserve">Schindler, D.E., Armstrong, J.B. &amp; Reed, T.E. (2015) The portfolio concept in ecology and evolution. </w:t>
      </w:r>
      <w:r w:rsidRPr="00B61D3E">
        <w:rPr>
          <w:i/>
          <w:noProof/>
        </w:rPr>
        <w:t>Frontiers in Ecology and the Environment,</w:t>
      </w:r>
      <w:r w:rsidRPr="00B61D3E">
        <w:rPr>
          <w:noProof/>
        </w:rPr>
        <w:t xml:space="preserve"> </w:t>
      </w:r>
      <w:r w:rsidRPr="00B61D3E">
        <w:rPr>
          <w:b/>
          <w:noProof/>
        </w:rPr>
        <w:t>13,</w:t>
      </w:r>
      <w:r w:rsidRPr="00B61D3E">
        <w:rPr>
          <w:noProof/>
        </w:rPr>
        <w:t xml:space="preserve"> 257-263.</w:t>
      </w:r>
    </w:p>
    <w:p w14:paraId="785B146D" w14:textId="77777777" w:rsidR="00B61D3E" w:rsidRPr="00B61D3E" w:rsidRDefault="00B61D3E" w:rsidP="00B61D3E">
      <w:pPr>
        <w:pStyle w:val="EndNoteBibliography"/>
        <w:spacing w:after="0"/>
        <w:ind w:left="720" w:hanging="720"/>
        <w:rPr>
          <w:noProof/>
        </w:rPr>
      </w:pPr>
      <w:r w:rsidRPr="00B61D3E">
        <w:rPr>
          <w:noProof/>
        </w:rPr>
        <w:t xml:space="preserve">Thibaut, L.M. &amp; Connolly, S.R. (2013) Understanding diversity-stability relationships: towards a unified model of portfolio effects. </w:t>
      </w:r>
      <w:r w:rsidRPr="00B61D3E">
        <w:rPr>
          <w:i/>
          <w:noProof/>
        </w:rPr>
        <w:t>Ecology Letters,</w:t>
      </w:r>
      <w:r w:rsidRPr="00B61D3E">
        <w:rPr>
          <w:noProof/>
        </w:rPr>
        <w:t xml:space="preserve"> </w:t>
      </w:r>
      <w:r w:rsidRPr="00B61D3E">
        <w:rPr>
          <w:b/>
          <w:noProof/>
        </w:rPr>
        <w:t>16,</w:t>
      </w:r>
      <w:r w:rsidRPr="00B61D3E">
        <w:rPr>
          <w:noProof/>
        </w:rPr>
        <w:t xml:space="preserve"> 140-150.</w:t>
      </w:r>
    </w:p>
    <w:p w14:paraId="3ECEB7DE" w14:textId="77777777" w:rsidR="00B61D3E" w:rsidRPr="00B61D3E" w:rsidRDefault="00B61D3E" w:rsidP="00B61D3E">
      <w:pPr>
        <w:pStyle w:val="EndNoteBibliography"/>
        <w:spacing w:after="0"/>
        <w:ind w:left="720" w:hanging="720"/>
        <w:rPr>
          <w:noProof/>
        </w:rPr>
      </w:pPr>
      <w:r w:rsidRPr="00B61D3E">
        <w:rPr>
          <w:noProof/>
        </w:rPr>
        <w:t xml:space="preserve">Thomson, R.E., Beamish, R.J., Beacham, T.D., Trudel, M., Whitfield, P.H. &amp; Hourston, R.A.S. (2012) Anomalous ocean conditions may explain the recent extreme variability in Fraser River Sockeye Salmon production. </w:t>
      </w:r>
      <w:r w:rsidRPr="00B61D3E">
        <w:rPr>
          <w:i/>
          <w:noProof/>
        </w:rPr>
        <w:t>Marine and Coastal Fisheries,</w:t>
      </w:r>
      <w:r w:rsidRPr="00B61D3E">
        <w:rPr>
          <w:noProof/>
        </w:rPr>
        <w:t xml:space="preserve"> </w:t>
      </w:r>
      <w:r w:rsidRPr="00B61D3E">
        <w:rPr>
          <w:b/>
          <w:noProof/>
        </w:rPr>
        <w:t>4,</w:t>
      </w:r>
      <w:r w:rsidRPr="00B61D3E">
        <w:rPr>
          <w:noProof/>
        </w:rPr>
        <w:t xml:space="preserve"> 415-437.</w:t>
      </w:r>
    </w:p>
    <w:p w14:paraId="7F6CE945" w14:textId="77777777" w:rsidR="00B61D3E" w:rsidRPr="00B61D3E" w:rsidRDefault="00B61D3E" w:rsidP="00B61D3E">
      <w:pPr>
        <w:pStyle w:val="EndNoteBibliography"/>
        <w:spacing w:after="0"/>
        <w:ind w:left="720" w:hanging="720"/>
        <w:rPr>
          <w:noProof/>
        </w:rPr>
      </w:pPr>
      <w:r w:rsidRPr="00B61D3E">
        <w:rPr>
          <w:noProof/>
        </w:rPr>
        <w:t xml:space="preserve">Tilman, D., Isbell, F. &amp; Cowles, J.M. (2014) Biodiversity and ecosystem functioning. </w:t>
      </w:r>
      <w:r w:rsidRPr="00B61D3E">
        <w:rPr>
          <w:i/>
          <w:noProof/>
        </w:rPr>
        <w:t>Annual Review of Ecology, Evolution, and Systematics,</w:t>
      </w:r>
      <w:r w:rsidRPr="00B61D3E">
        <w:rPr>
          <w:noProof/>
        </w:rPr>
        <w:t xml:space="preserve"> </w:t>
      </w:r>
      <w:r w:rsidRPr="00B61D3E">
        <w:rPr>
          <w:b/>
          <w:noProof/>
        </w:rPr>
        <w:t>45,</w:t>
      </w:r>
      <w:r w:rsidRPr="00B61D3E">
        <w:rPr>
          <w:noProof/>
        </w:rPr>
        <w:t xml:space="preserve"> 471-493.</w:t>
      </w:r>
    </w:p>
    <w:p w14:paraId="3ECD7C41" w14:textId="77777777" w:rsidR="00B61D3E" w:rsidRPr="00B61D3E" w:rsidRDefault="00B61D3E" w:rsidP="00B61D3E">
      <w:pPr>
        <w:pStyle w:val="EndNoteBibliography"/>
        <w:ind w:left="720" w:hanging="720"/>
        <w:rPr>
          <w:noProof/>
        </w:rPr>
      </w:pPr>
      <w:r w:rsidRPr="00B61D3E">
        <w:rPr>
          <w:noProof/>
        </w:rPr>
        <w:t xml:space="preserve">Tucker, S., Trudel, M., Welch, D.W., Candy, J.R., Morris, J.F.T., Thiess, M.E., Wallace, C., Teel, D.J., Crawford, W., Farley, E.V. &amp; Beacham, T.D. (2009) Seasonal stock-specific migrations of juvenile Sockeye Salmon along the west coast of North America: implications for growth. </w:t>
      </w:r>
      <w:r w:rsidRPr="00B61D3E">
        <w:rPr>
          <w:i/>
          <w:noProof/>
        </w:rPr>
        <w:t>Transactions of the American Fisheries Society,</w:t>
      </w:r>
      <w:r w:rsidRPr="00B61D3E">
        <w:rPr>
          <w:noProof/>
        </w:rPr>
        <w:t xml:space="preserve"> </w:t>
      </w:r>
      <w:r w:rsidRPr="00B61D3E">
        <w:rPr>
          <w:b/>
          <w:noProof/>
        </w:rPr>
        <w:t>138,</w:t>
      </w:r>
      <w:r w:rsidRPr="00B61D3E">
        <w:rPr>
          <w:noProof/>
        </w:rPr>
        <w:t xml:space="preserve"> 1458-1480.</w:t>
      </w:r>
    </w:p>
    <w:p w14:paraId="3E0FE7E0" w14:textId="359C0DE3"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C1417D" w:rsidRDefault="00C1417D">
      <w:pPr>
        <w:pStyle w:val="CommentText"/>
      </w:pPr>
      <w:r>
        <w:rPr>
          <w:rStyle w:val="CommentReference"/>
        </w:rPr>
        <w:annotationRef/>
      </w:r>
      <w:r>
        <w:t>Considering dropping this paragraph</w:t>
      </w:r>
    </w:p>
  </w:comment>
  <w:comment w:id="1" w:author="DFO-MPO" w:date="2018-10-02T11:00:00Z" w:initials="D">
    <w:p w14:paraId="0EF4E9EE" w14:textId="77777777" w:rsidR="00C1417D" w:rsidRDefault="00C1417D"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C1417D" w:rsidRDefault="00C1417D" w:rsidP="00DB21CE">
      <w:pPr>
        <w:pStyle w:val="CommentText"/>
      </w:pPr>
      <w:r>
        <w:rPr>
          <w:rStyle w:val="CommentReference"/>
        </w:rPr>
        <w:annotationRef/>
      </w:r>
      <w:r>
        <w:t xml:space="preserve"> </w:t>
      </w:r>
    </w:p>
    <w:p w14:paraId="12D15DE6" w14:textId="7BFBD768" w:rsidR="00C1417D" w:rsidRPr="00D31645" w:rsidRDefault="00C1417D"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C1417D" w:rsidRDefault="00C1417D">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C1417D" w:rsidRPr="00C35C3B" w:rsidRDefault="00C1417D">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C1417D" w:rsidRDefault="00C1417D">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C1417D" w:rsidRDefault="00C1417D">
      <w:pPr>
        <w:pStyle w:val="CommentText"/>
      </w:pPr>
    </w:p>
    <w:p w14:paraId="20490879" w14:textId="259A955C" w:rsidR="00C1417D" w:rsidRDefault="00C1417D">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7" w:author="DFO-MPO" w:date="2018-10-11T14:44:00Z" w:initials="D">
    <w:p w14:paraId="7D7A8B92" w14:textId="3FA3C2AC" w:rsidR="00C1417D" w:rsidRDefault="00C1417D">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C1417D" w:rsidRDefault="00C1417D">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C1417D" w:rsidRDefault="00C1417D"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C1417D" w:rsidRDefault="00C1417D"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C1417D" w:rsidRDefault="00C1417D" w:rsidP="00350F95">
      <w:pPr>
        <w:pStyle w:val="CommentText"/>
      </w:pPr>
      <w:r>
        <w:rPr>
          <w:rStyle w:val="CommentReference"/>
        </w:rPr>
        <w:annotationRef/>
      </w:r>
      <w:r>
        <w:t>Not sure whether to leave these CU-specific results in given how long the paper is already…</w:t>
      </w:r>
    </w:p>
  </w:comment>
  <w:comment w:id="13" w:author="Cameron Freshwater" w:date="2018-10-28T11:10:00Z" w:initials="CF">
    <w:p w14:paraId="71053416" w14:textId="3A51D077" w:rsidR="00C1417D" w:rsidRDefault="00C1417D">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89&lt;/item&gt;&lt;item&gt;490&lt;/item&gt;&lt;item&gt;592&lt;/item&gt;&lt;item&gt;637&lt;/item&gt;&lt;item&gt;705&lt;/item&gt;&lt;item&gt;1205&lt;/item&gt;&lt;item&gt;1515&lt;/item&gt;&lt;item&gt;1588&lt;/item&gt;&lt;item&gt;1590&lt;/item&gt;&lt;item&gt;1602&lt;/item&gt;&lt;item&gt;1683&lt;/item&gt;&lt;item&gt;1690&lt;/item&gt;&lt;item&gt;1711&lt;/item&gt;&lt;item&gt;1847&lt;/item&gt;&lt;item&gt;1865&lt;/item&gt;&lt;item&gt;1866&lt;/item&gt;&lt;item&gt;2034&lt;/item&gt;&lt;item&gt;2036&lt;/item&gt;&lt;item&gt;2208&lt;/item&gt;&lt;item&gt;2210&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14B80"/>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02E0"/>
    <w:rsid w:val="00AA4419"/>
    <w:rsid w:val="00AB5769"/>
    <w:rsid w:val="00AC2E80"/>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0EE9"/>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BA0AE-CFA4-4B96-A728-A2667E59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32</Pages>
  <Words>11450</Words>
  <Characters>65269</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45</cp:revision>
  <cp:lastPrinted>2018-05-03T17:52:00Z</cp:lastPrinted>
  <dcterms:created xsi:type="dcterms:W3CDTF">2018-10-06T16:58:00Z</dcterms:created>
  <dcterms:modified xsi:type="dcterms:W3CDTF">2018-11-07T23:51:00Z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