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6083D0DB"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likelihood of achieving an array of management objectives. We first present evidence that component variability and synchrony have </w:t>
      </w:r>
      <w:r w:rsidR="00403564">
        <w:t>recently increased</w:t>
      </w:r>
      <w:r w:rsidR="004478E4">
        <w:t xml:space="preserve"> in a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aggregate, and the management framework used to establish ex</w:t>
      </w:r>
      <w:r w:rsidR="00403564">
        <w:t>ploitation rates, across a range of aggregate variability and productivity scenarios. We show that</w:t>
      </w:r>
      <w:r w:rsidR="00564EA6">
        <w:t xml:space="preserve"> </w:t>
      </w:r>
      <w:r w:rsidR="00CD7398">
        <w:t>if population productivity remains relatively stable, the negative effects of aggregate variability on conservation- and catch-based objectives are generally minor. Conversely,</w:t>
      </w:r>
      <w:r w:rsidR="00CD7398" w:rsidRPr="00CD7398">
        <w:t xml:space="preserve"> </w:t>
      </w:r>
      <w:r w:rsidR="00CD7398">
        <w:t>greater aggregate variability in general, and synchrony in particular, will magnify the effects of declining productivity and triggering further reductions in abundance, catch, and the likelihood of meeting biological benchmarks</w:t>
      </w:r>
      <w:r w:rsidR="00564EA6">
        <w:t>.</w:t>
      </w:r>
      <w:r w:rsidR="00CD7398">
        <w:t xml:space="preserve"> Furthermore, strong negative impacts occurred even though the aggregate retained 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 </w:t>
      </w:r>
      <w:r w:rsidR="00CD7398">
        <w:t>and the proliferation of systems-based approaches</w:t>
      </w:r>
      <w:r w:rsidR="00D36D4D">
        <w:t xml:space="preserve">, particularly within </w:t>
      </w:r>
      <w:r w:rsidR="00CD7398">
        <w:t>fisheries</w:t>
      </w:r>
      <w:r w:rsidR="00D36D4D">
        <w:t xml:space="preserve">, </w:t>
      </w:r>
      <w:r w:rsidR="00CD7398">
        <w:t>quantifying</w:t>
      </w:r>
      <w:r w:rsidR="00D36D4D">
        <w:t xml:space="preserve"> aggregate variab</w:t>
      </w:r>
      <w:r w:rsidR="00CD7398">
        <w:t>ility in regular assessments may improve estimates of future risk</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and reduced productivity (</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proofErr w:type="spellStart"/>
      <w:r w:rsidR="00A17FB7" w:rsidRPr="00004A7E">
        <w:t>Satterthwaite</w:t>
      </w:r>
      <w:proofErr w:type="spellEnd"/>
      <w:r w:rsidR="00A17FB7" w:rsidRPr="00004A7E">
        <w:t xml:space="preserv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 xml:space="preserve">eclines in abundance and productivity appear to be particularly widespread among exploited fishes (Peterman and </w:t>
      </w:r>
      <w:proofErr w:type="spellStart"/>
      <w:r w:rsidRPr="00004A7E">
        <w:t>Do</w:t>
      </w:r>
      <w:r w:rsidR="00896D2F">
        <w:t>rner</w:t>
      </w:r>
      <w:proofErr w:type="spellEnd"/>
      <w:r w:rsidR="00896D2F">
        <w:t xml:space="preserve">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proofErr w:type="gramStart"/>
      <w:r w:rsidR="00DB21CE" w:rsidRPr="00004A7E">
        <w:t>Fraser River sockeye salmon are targeted by commercial fisheries</w:t>
      </w:r>
      <w:proofErr w:type="gramEnd"/>
      <w:r w:rsidR="00DB21CE" w:rsidRPr="00004A7E">
        <w:t xml:space="preserve"> as they move through </w:t>
      </w:r>
      <w:proofErr w:type="spellStart"/>
      <w:r w:rsidR="00DB21CE" w:rsidRPr="00004A7E">
        <w:t>nearshore</w:t>
      </w:r>
      <w:proofErr w:type="spellEnd"/>
      <w:r w:rsidR="00DB21CE" w:rsidRPr="00004A7E">
        <w:t xml:space="preserv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w:t>
      </w:r>
      <w:proofErr w:type="spellStart"/>
      <w:r w:rsidRPr="00004A7E">
        <w:t>spawner</w:t>
      </w:r>
      <w:proofErr w:type="spellEnd"/>
      <w:r w:rsidRPr="00004A7E">
        <w:t xml:space="preserve">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w:t>
      </w:r>
      <w:proofErr w:type="spellStart"/>
      <w:r w:rsidRPr="00004A7E">
        <w:t>Spawner</w:t>
      </w:r>
      <w:proofErr w:type="spellEnd"/>
      <w:r w:rsidRPr="00004A7E">
        <w:t xml:space="preserve">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 xml:space="preserve">Table 1. </w:t>
      </w:r>
      <w:proofErr w:type="gramStart"/>
      <w:r w:rsidRPr="00004A7E">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proofErr w:type="spellStart"/>
            <w:r w:rsidRPr="00004A7E">
              <w:t>Shuswap</w:t>
            </w:r>
            <w:proofErr w:type="spellEnd"/>
            <w:r w:rsidRPr="00004A7E">
              <w:t>-ES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proofErr w:type="spellStart"/>
            <w:r w:rsidRPr="00004A7E">
              <w:t>Quesnel</w:t>
            </w:r>
            <w:proofErr w:type="spellEnd"/>
          </w:p>
        </w:tc>
        <w:tc>
          <w:tcPr>
            <w:tcW w:w="1327" w:type="dxa"/>
          </w:tcPr>
          <w:p w14:paraId="2E04B5EB" w14:textId="77777777" w:rsidR="00DB21CE" w:rsidRPr="00004A7E" w:rsidRDefault="00DB21CE" w:rsidP="00AE7C0A">
            <w:pPr>
              <w:spacing w:line="480" w:lineRule="auto"/>
            </w:pPr>
            <w:proofErr w:type="spellStart"/>
            <w:r w:rsidRPr="00004A7E">
              <w:t>Quesnel</w:t>
            </w:r>
            <w:proofErr w:type="spellEnd"/>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proofErr w:type="spellStart"/>
            <w:r w:rsidRPr="00004A7E">
              <w:t>Shuswap</w:t>
            </w:r>
            <w:proofErr w:type="spellEnd"/>
            <w:r w:rsidRPr="00004A7E">
              <w:t>-L</w:t>
            </w:r>
          </w:p>
        </w:tc>
        <w:tc>
          <w:tcPr>
            <w:tcW w:w="1327" w:type="dxa"/>
          </w:tcPr>
          <w:p w14:paraId="21F7CC1E" w14:textId="77777777" w:rsidR="00DB21CE" w:rsidRPr="00004A7E" w:rsidRDefault="00DB21CE" w:rsidP="00AE7C0A">
            <w:pPr>
              <w:spacing w:line="480" w:lineRule="auto"/>
            </w:pPr>
            <w:r w:rsidRPr="00004A7E">
              <w:t xml:space="preserve">Late </w:t>
            </w:r>
            <w:proofErr w:type="spellStart"/>
            <w:r w:rsidRPr="00004A7E">
              <w:t>Shuswap</w:t>
            </w:r>
            <w:proofErr w:type="spellEnd"/>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w:t>
      </w:r>
      <w:proofErr w:type="spellStart"/>
      <w:r w:rsidRPr="00004A7E">
        <w:t>spawner</w:t>
      </w:r>
      <w:proofErr w:type="spellEnd"/>
      <w:r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m:t>
                  </m:r>
                  <w:proofErr w:type="gramStart"/>
                  <m:r>
                    <w:rPr>
                      <w:rFonts w:ascii="Cambria Math" w:hAnsi="Cambria Math"/>
                    </w:rPr>
                    <m:t>,1</m:t>
                  </m:r>
                  <w:proofErr w:type="gramEnd"/>
                  <m:r>
                    <w:rPr>
                      <w:rFonts w:ascii="Cambria Math" w:hAnsi="Cambria Math"/>
                    </w:rPr>
                    <m:t>)</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CD7398"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w:t>
      </w:r>
      <w:proofErr w:type="spellStart"/>
      <w:r w:rsidRPr="00004A7E">
        <w:t>spawner</w:t>
      </w:r>
      <w:proofErr w:type="spellEnd"/>
      <w:r w:rsidRPr="00004A7E">
        <w:t xml:space="preserve">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w:t>
      </w:r>
      <w:proofErr w:type="spellStart"/>
      <w:r w:rsidRPr="00004A7E">
        <w:t>awner</w:t>
      </w:r>
      <w:proofErr w:type="spellEnd"/>
      <w:r w:rsidRPr="00004A7E">
        <w:t xml:space="preserve">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CD7398"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CD7398"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w:t>
      </w:r>
      <w:proofErr w:type="spellStart"/>
      <w:r w:rsidRPr="00004A7E">
        <w:rPr>
          <w:rFonts w:eastAsiaTheme="minorEastAsia"/>
        </w:rPr>
        <w:t>nce</w:t>
      </w:r>
      <w:proofErr w:type="spellEnd"/>
      <w:r w:rsidRPr="00004A7E">
        <w:rPr>
          <w:rFonts w:eastAsiaTheme="minorEastAsia"/>
        </w:rPr>
        <w:t xml:space="preserv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187D21D9"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proofErr w:type="spellStart"/>
      <w:r w:rsidR="00246EBA">
        <w:t>skewness</w:t>
      </w:r>
      <w:proofErr w:type="spellEnd"/>
      <w:r w:rsidR="00246EBA">
        <w:t xml:space="preserve">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likelihood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77383B63"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DB21CE"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DB21CE" w:rsidRPr="00004A7E">
        <w:rPr>
          <w:noProof/>
        </w:rPr>
        <w:t>(Anderson</w:t>
      </w:r>
      <w:r w:rsidR="00DB21CE" w:rsidRPr="00004A7E">
        <w:rPr>
          <w:i/>
          <w:noProof/>
        </w:rPr>
        <w:t xml:space="preserve"> et al.</w:t>
      </w:r>
      <w:r w:rsidR="00DB21CE" w:rsidRPr="00004A7E">
        <w:rPr>
          <w:noProof/>
        </w:rPr>
        <w:t xml:space="preserve"> 2018)</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proofErr w:type="spellStart"/>
      <w:r w:rsidRPr="00004A7E">
        <w:t>ower</w:t>
      </w:r>
      <w:proofErr w:type="spellEnd"/>
      <w:r w:rsidRPr="00004A7E">
        <w:t xml:space="preserve">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5BD6F22F"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w:t>
      </w:r>
      <w:proofErr w:type="spellStart"/>
      <w:r w:rsidRPr="00004A7E">
        <w:t>pothetical</w:t>
      </w:r>
      <w:proofErr w:type="spellEnd"/>
      <w:r w:rsidRPr="00004A7E">
        <w:t xml:space="preserve"> scenario where synchrony increase</w:t>
      </w:r>
      <w:r w:rsidR="006D1219">
        <w:t>s.</w:t>
      </w:r>
    </w:p>
    <w:p w14:paraId="1FA7397E" w14:textId="77777777" w:rsidR="00DB21CE" w:rsidRPr="00004A7E" w:rsidRDefault="00DB21CE" w:rsidP="00AE7C0A">
      <w:pPr>
        <w:spacing w:line="480" w:lineRule="auto"/>
      </w:pPr>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417192B1"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 xml:space="preserve">the estimated </w:t>
      </w:r>
      <w:proofErr w:type="spellStart"/>
      <w:r w:rsidRPr="00004A7E">
        <w:rPr>
          <w:rFonts w:ascii="Calibri" w:hAnsi="Calibri"/>
        </w:rPr>
        <w:t>spawner</w:t>
      </w:r>
      <w:proofErr w:type="spellEnd"/>
      <w:r w:rsidRPr="00004A7E">
        <w:rPr>
          <w:rFonts w:ascii="Calibri" w:hAnsi="Calibri"/>
        </w:rPr>
        <w:t xml:space="preserve">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 xml:space="preserve">The proportion of CUs with </w:t>
            </w:r>
            <w:proofErr w:type="spellStart"/>
            <w:r w:rsidRPr="00004A7E">
              <w:t>spawner</w:t>
            </w:r>
            <w:proofErr w:type="spellEnd"/>
            <w:r w:rsidRPr="00004A7E">
              <w:t xml:space="preserve">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w:t>
      </w:r>
      <w:proofErr w:type="spellStart"/>
      <w:r w:rsidRPr="00004A7E">
        <w:t>spawner</w:t>
      </w:r>
      <w:proofErr w:type="spellEnd"/>
      <w:r w:rsidRPr="00004A7E">
        <w:t xml:space="preserve">)), aggregate </w:t>
      </w:r>
      <w:proofErr w:type="spellStart"/>
      <w:r w:rsidRPr="00004A7E">
        <w:t>spawner</w:t>
      </w:r>
      <w:proofErr w:type="spellEnd"/>
      <w:r w:rsidRPr="00004A7E">
        <w:t xml:space="preserve">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w:t>
      </w:r>
      <w:proofErr w:type="spellStart"/>
      <w:r w:rsidRPr="00004A7E">
        <w:rPr>
          <w:rFonts w:eastAsiaTheme="minorEastAsia"/>
        </w:rPr>
        <w:t>nd</w:t>
      </w:r>
      <w:proofErr w:type="spellEnd"/>
      <w:r w:rsidRPr="00004A7E">
        <w:rPr>
          <w:rFonts w:eastAsiaTheme="minorEastAsia"/>
        </w:rPr>
        <w:t xml:space="preserve">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w:t>
      </w:r>
      <w:proofErr w:type="spellStart"/>
      <w:r w:rsidR="00F73E55">
        <w:rPr>
          <w:rFonts w:eastAsiaTheme="minorEastAsia"/>
        </w:rPr>
        <w:t>stochasticity</w:t>
      </w:r>
      <w:proofErr w:type="spellEnd"/>
      <w:r w:rsidR="00F73E55">
        <w:rPr>
          <w:rFonts w:eastAsiaTheme="minorEastAsia"/>
        </w:rPr>
        <w:t xml:space="preserve">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 xml:space="preserve">Trends in the observed stock-recruitment dataset are shown in black, the dashed line represents the beginning of the simulation period, and </w:t>
      </w:r>
      <w:proofErr w:type="spellStart"/>
      <w:r w:rsidR="00511A34" w:rsidRPr="00004A7E">
        <w:rPr>
          <w:rFonts w:eastAsiaTheme="minorEastAsia"/>
        </w:rPr>
        <w:t>colored</w:t>
      </w:r>
      <w:proofErr w:type="spellEnd"/>
      <w:r w:rsidR="00511A34" w:rsidRPr="00004A7E">
        <w:rPr>
          <w:rFonts w:eastAsiaTheme="minorEastAsia"/>
        </w:rPr>
        <w:t xml:space="preserve">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65D8EA86" w:rsidR="00B56327" w:rsidRPr="00004A7E" w:rsidRDefault="00B56327" w:rsidP="00AE7C0A">
      <w:pPr>
        <w:spacing w:line="480" w:lineRule="auto"/>
        <w:rPr>
          <w:rFonts w:eastAsiaTheme="minorEastAsia"/>
        </w:rPr>
      </w:pPr>
      <w:r w:rsidRPr="00004A7E">
        <w:rPr>
          <w:rFonts w:eastAsiaTheme="minorEastAsia"/>
        </w:rPr>
        <w:tab/>
        <w:t xml:space="preserve">CU-specific median </w:t>
      </w:r>
      <w:proofErr w:type="spellStart"/>
      <w:r w:rsidRPr="00004A7E">
        <w:rPr>
          <w:rFonts w:eastAsiaTheme="minorEastAsia"/>
        </w:rPr>
        <w:t>spawner</w:t>
      </w:r>
      <w:proofErr w:type="spellEnd"/>
      <w:r w:rsidRPr="00004A7E">
        <w:rPr>
          <w:rFonts w:eastAsiaTheme="minorEastAsia"/>
        </w:rPr>
        <w:t xml:space="preserve">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753ABE55" w:rsidR="009A695E" w:rsidRPr="00845989" w:rsidRDefault="00DF4F42" w:rsidP="00AE7C0A">
      <w:pPr>
        <w:spacing w:line="480" w:lineRule="auto"/>
        <w:ind w:firstLine="720"/>
        <w:rPr>
          <w:i/>
        </w:rPr>
      </w:pPr>
      <w:r>
        <w:t xml:space="preserve">We present evidence that variability in recruit abundance within the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845989">
        <w:t xml:space="preserve">, </w:t>
      </w:r>
      <w:r w:rsidR="00DF54C6">
        <w:t>when coupled with even</w:t>
      </w:r>
      <w:r w:rsidR="00845989">
        <w:t xml:space="preserve"> moderate declines in productivity, can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likelihood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73106E">
        <w:t xml:space="preserve"> (Cohen 2012</w:t>
      </w:r>
      <w:r w:rsidR="00A71C78">
        <w:t xml:space="preserve">). </w:t>
      </w:r>
    </w:p>
    <w:p w14:paraId="74DCBAFA" w14:textId="1626646E" w:rsidR="0073106E" w:rsidRDefault="00DF54C6" w:rsidP="00D84739">
      <w:pPr>
        <w:spacing w:line="480" w:lineRule="auto"/>
        <w:ind w:firstLine="720"/>
      </w:pPr>
      <w:r>
        <w:t>Portfolio effects may weaken in Pacific salmon stock aggregates due to a range of ecological processes.</w:t>
      </w:r>
      <w:r w:rsidR="0073106E" w:rsidRPr="00004A7E">
        <w:t xml:space="preserve"> </w:t>
      </w:r>
      <w:r w:rsidR="00D84739">
        <w:t>For example, c</w:t>
      </w:r>
      <w:r w:rsidR="0073106E" w:rsidRPr="00004A7E">
        <w:t xml:space="preserve">omponent variability (i.e. within CU temporal variation) may increase due to </w:t>
      </w:r>
      <w:r w:rsidR="0073106E">
        <w:t xml:space="preserve">intermittent </w:t>
      </w:r>
      <w:r w:rsidR="0073106E" w:rsidRPr="00004A7E">
        <w:t>changes in local conditions, such as</w:t>
      </w:r>
      <w:r w:rsidR="0073106E">
        <w:t xml:space="preserve"> </w:t>
      </w:r>
      <w:r w:rsidR="0073106E" w:rsidRPr="00004A7E">
        <w:t>loss of spawning habitat (REF), high levels of mortality during incubation</w:t>
      </w:r>
      <w:r w:rsidR="0073106E">
        <w:t xml:space="preserve"> (REF),</w:t>
      </w:r>
      <w:r w:rsidR="0073106E" w:rsidRPr="00004A7E">
        <w:t xml:space="preserve"> or changes in competition and predation during juvenile freshwater stages (REF). </w:t>
      </w:r>
      <w:r>
        <w:t xml:space="preserve">Conversely, greater synchrony suggests </w:t>
      </w:r>
      <w:r w:rsidR="00D84739">
        <w:t>shared drivers or dispersal increasingly link the dynamics of component populations (REF). W</w:t>
      </w:r>
      <w:r w:rsidR="0073106E">
        <w:t>ithin</w:t>
      </w:r>
      <w:r w:rsidR="0073106E" w:rsidRPr="00004A7E">
        <w:t xml:space="preserve"> </w:t>
      </w:r>
      <w:r w:rsidR="0073106E">
        <w:t xml:space="preserve">Pacific salmon aggregates </w:t>
      </w:r>
      <w:r w:rsidR="00D84739">
        <w:t xml:space="preserve">synchrony </w:t>
      </w:r>
      <w:r w:rsidR="0073106E">
        <w:t xml:space="preserve">is often associated with anthropogenic disturbance, particularly processes that increase genetic homogenization such as hatchery influences and hydropower development (Moore et al. 2010, Carlson and </w:t>
      </w:r>
      <w:proofErr w:type="spellStart"/>
      <w:r w:rsidR="0073106E">
        <w:t>Satterthwaite</w:t>
      </w:r>
      <w:proofErr w:type="spellEnd"/>
      <w:r w:rsidR="0073106E">
        <w:t xml:space="preserve"> 2015, Yamane et al. 2018).</w:t>
      </w:r>
      <w:r w:rsidR="0073106E" w:rsidRPr="00004A7E">
        <w:t xml:space="preserve"> </w:t>
      </w:r>
    </w:p>
    <w:p w14:paraId="6207159B" w14:textId="14147670" w:rsidR="00DE0F7B" w:rsidRDefault="0073106E" w:rsidP="001D1C1A">
      <w:pPr>
        <w:spacing w:line="480" w:lineRule="auto"/>
        <w:ind w:firstLine="720"/>
      </w:pPr>
      <w:r>
        <w:t xml:space="preserve">While Fraser River sockeye salmon inhabit a heavily impacted watershed, the specific mechanisms that </w:t>
      </w:r>
      <w:r w:rsidR="009A695E">
        <w:t>caused stability to decline</w:t>
      </w:r>
      <w:r>
        <w:t xml:space="preserve"> are unclear. Hatchery </w:t>
      </w:r>
      <w:r w:rsidR="00371AEF">
        <w:t xml:space="preserve">contributions to </w:t>
      </w:r>
      <w:r>
        <w:t xml:space="preserve">the aggregate are minimal and there are no major hydroelectric features on the Fraser River </w:t>
      </w:r>
      <w:proofErr w:type="spellStart"/>
      <w:r>
        <w:t>mainstem</w:t>
      </w:r>
      <w:proofErr w:type="spellEnd"/>
      <w:r>
        <w:t xml:space="preserve"> (REFs). </w:t>
      </w:r>
      <w:r w:rsidR="00D84739">
        <w:t>Although highly variable,</w:t>
      </w:r>
      <w:r>
        <w:t xml:space="preserve"> </w:t>
      </w:r>
      <w:r w:rsidR="001D1C1A">
        <w:t>freshwater water productivity does not appear to have declined uniformly through the Fraser River</w:t>
      </w:r>
      <w:r w:rsidR="00D84739">
        <w:t xml:space="preserve"> and has even increased for specific CUs (REF). </w:t>
      </w:r>
      <w:r w:rsidR="001D1C1A">
        <w:t xml:space="preserve">Conversely, survival during marine residence, when sockeye salmon populations from southern regions rear in </w:t>
      </w:r>
      <w:proofErr w:type="spellStart"/>
      <w:r w:rsidR="001D1C1A">
        <w:t>sympatry</w:t>
      </w:r>
      <w:proofErr w:type="spellEnd"/>
      <w:r w:rsidR="001D1C1A">
        <w:t xml:space="preserve">, has been abnormally low in recent years (Peterman and </w:t>
      </w:r>
      <w:proofErr w:type="spellStart"/>
      <w:r w:rsidR="001D1C1A">
        <w:t>Dorner</w:t>
      </w:r>
      <w:proofErr w:type="spellEnd"/>
      <w:r w:rsidR="001D1C1A">
        <w:t xml:space="preserve"> 2012; Thomson paper; Beamish paper). It is plausible that factors such as reduced prey availability or increased marine predation could act to synchronize the dynamics of populations breeding over a relatively large geographic area.</w:t>
      </w:r>
      <w:r w:rsidR="009F0341">
        <w:t xml:space="preserve"> </w:t>
      </w:r>
      <w:r w:rsidR="00DC240A">
        <w:t>Furthermore,</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time series</w:t>
      </w:r>
      <w:r w:rsidR="00DC240A">
        <w:t xml:space="preserve"> then declined, even though anthropogenic impacts (namely commercial harvest) were stable for several decades</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AD849DA" w:rsidR="00371AEF" w:rsidRDefault="004648C5" w:rsidP="00AE7C0A">
      <w:pPr>
        <w:spacing w:line="480" w:lineRule="auto"/>
        <w:rPr>
          <w:rFonts w:eastAsiaTheme="minorEastAsia"/>
        </w:rPr>
      </w:pPr>
      <w:r>
        <w:lastRenderedPageBreak/>
        <w:tab/>
      </w:r>
      <w:r w:rsidR="00DC240A">
        <w:t>D</w:t>
      </w:r>
      <w:r w:rsidR="00A71C78">
        <w:t xml:space="preserve">ecreased stability within ecological aggregates </w:t>
      </w:r>
      <w:r w:rsidR="00DC240A">
        <w:t>is associated</w:t>
      </w:r>
      <w:r w:rsidR="00660784">
        <w:t xml:space="preserve"> </w:t>
      </w:r>
      <w:r w:rsidR="00DC240A">
        <w:t xml:space="preserve">with </w:t>
      </w:r>
      <w:r w:rsidR="00660784">
        <w:t>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DC240A">
        <w:t>. 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and productivity to evaluate how interactions between the three processes influenced the likelihood of meeting management objectives.</w:t>
      </w:r>
      <w:r w:rsidR="00660784">
        <w:t xml:space="preserve"> </w:t>
      </w:r>
      <w:r w:rsidR="00DC240A">
        <w:t>Broadly, o</w:t>
      </w:r>
      <w:r w:rsidR="00660784">
        <w:t xml:space="preserve">ur model demonstrates that </w:t>
      </w:r>
      <w:r w:rsidR="00DC240A">
        <w:t xml:space="preserve">the negative effects of greater aggregate variability </w:t>
      </w:r>
      <w:r w:rsidR="00660784">
        <w:t>are heavily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benchmarks would be met – y</w:t>
      </w:r>
      <w:r w:rsidR="00660784">
        <w:rPr>
          <w:rFonts w:eastAsiaTheme="minorEastAsia"/>
        </w:rPr>
        <w:t>et m</w:t>
      </w:r>
      <w:r w:rsidR="005F5C72">
        <w:rPr>
          <w:rFonts w:eastAsiaTheme="minorEastAsia"/>
        </w:rPr>
        <w:t xml:space="preserve">edian status was unchanged.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4A15E4">
        <w:rPr>
          <w:rFonts w:eastAsiaTheme="minorEastAsia"/>
        </w:rPr>
        <w:t xml:space="preserve"> </w:t>
      </w:r>
      <w:r w:rsidR="00C56A02">
        <w:rPr>
          <w:rFonts w:eastAsiaTheme="minorEastAsia"/>
        </w:rPr>
        <w:t>that do not provide equivalent socio-economic benefit</w:t>
      </w:r>
      <w:r w:rsidR="004A15E4">
        <w:rPr>
          <w:rFonts w:eastAsiaTheme="minorEastAsia"/>
        </w:rPr>
        <w:t xml:space="preserve"> (REF)</w:t>
      </w:r>
      <w:r w:rsidR="009B0D50">
        <w:rPr>
          <w:rFonts w:eastAsiaTheme="minorEastAsia"/>
        </w:rPr>
        <w:t xml:space="preserve">. </w:t>
      </w:r>
    </w:p>
    <w:p w14:paraId="6B1A1B4A" w14:textId="02D7657E"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the impacts of lower productivity</w:t>
      </w:r>
      <w:r w:rsidR="004A15E4">
        <w:t>. Moving from a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PMs incorporating conservation- and catch-based benchmarks exhibi</w:t>
      </w:r>
      <w:r w:rsidR="00B906FC">
        <w:t>ted similarly severe responses to increased aggregate variability. When the simulations incorporated an increased likelihood of extreme events (i.e. “black swans”)</w:t>
      </w:r>
      <w:r w:rsidR="00C56A02">
        <w:t xml:space="preserve"> using a skewed Student </w:t>
      </w:r>
      <w:r w:rsidR="00C56A02">
        <w:rPr>
          <w:i/>
        </w:rPr>
        <w:t xml:space="preserve">t </w:t>
      </w:r>
      <w:r w:rsidR="00C56A02">
        <w:t>distribution</w:t>
      </w:r>
      <w:r w:rsidR="00B906FC">
        <w:t xml:space="preserve">, the probability of meeting conservation- and catch-based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4787428F" w:rsidR="004648C5" w:rsidRDefault="00B906FC" w:rsidP="00AE7C0A">
      <w:pPr>
        <w:spacing w:line="480" w:lineRule="auto"/>
      </w:pPr>
      <w:r>
        <w:tab/>
      </w:r>
      <w:r w:rsidR="006E4343">
        <w:t xml:space="preserve">The results of our simulation analysis have important implications to management strategies that seek to incorporate systems-based approaches and leverage </w:t>
      </w:r>
      <w:r w:rsidR="00C56A02">
        <w:t>stability due to</w:t>
      </w:r>
      <w:r w:rsidR="006E4343">
        <w:t xml:space="preserve"> portfolio effects. First, declines in productivity and aggregate stability will have multiplicative impacts. Management actions that are intended to address declines in abundance, but that fail to account for changes in covariance among component populations may underestimate risk</w:t>
      </w:r>
      <w:r w:rsidR="00472DCC">
        <w:t xml:space="preserve"> or overestimate the likelihood of rebuilding</w:t>
      </w:r>
      <w:r w:rsidR="006E4343">
        <w:t>.</w:t>
      </w:r>
      <w:r w:rsidR="00472DCC">
        <w:t xml:space="preserve"> While greater aggregate variability may not significantly increase the likelihood of negative outcomes unless it is accompanied by </w:t>
      </w:r>
      <w:r w:rsidR="00E2515B">
        <w:t>reduced</w:t>
      </w:r>
      <w:r w:rsidR="00472DCC">
        <w:t xml:space="preserve"> productivity, </w:t>
      </w:r>
      <w:r w:rsidR="00E2515B">
        <w:t>it would be risky at best to use this relationship to guide management actions</w:t>
      </w:r>
      <w:bookmarkStart w:id="12" w:name="_GoBack"/>
      <w:bookmarkEnd w:id="12"/>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carrying capacity in recent years (REF). Given evidence that climate change will increase the likelihood of extreme events in both marine and terrestrial environments (REF), it may be more appropriate to use skewed or heavy-tailed distributions to predict future dynamics, rather than assume stability (Anderson REF)</w:t>
      </w:r>
      <w:r w:rsidR="00472DCC">
        <w:t>. Furthermore, greater aggregate variability may result in negative consequences via management processes we were unable to model here (described in next paragraph). Thus we echo previous authors in suggesting</w:t>
      </w:r>
      <w:r w:rsidR="00885848">
        <w:t xml:space="preserve"> estimates of portfolio effect strength </w:t>
      </w:r>
      <w:r w:rsidR="00472DCC">
        <w:t>should be paired with</w:t>
      </w:r>
      <w:r w:rsidR="00EA1BCE">
        <w:t xml:space="preserve"> more commonly used metrics such as trends in abundance or fishing mortality rates</w:t>
      </w:r>
      <w:r w:rsidR="00472DCC">
        <w:t xml:space="preserve"> during assessments</w:t>
      </w:r>
      <w:r w:rsidR="00E2515B">
        <w:t xml:space="preserve"> (Thorson ref)</w:t>
      </w:r>
      <w:r w:rsidR="00885848">
        <w:t>.</w:t>
      </w:r>
    </w:p>
    <w:p w14:paraId="24BCCB42" w14:textId="680EF1B2"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 less diverse aggregate will likely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greater proportion of </w:t>
      </w:r>
      <w:r w:rsidR="00A07F2B">
        <w:t xml:space="preserve">depleted stocks may be particularly sensitive to weakened portfolio effects. </w:t>
      </w:r>
    </w:p>
    <w:p w14:paraId="4B995112" w14:textId="3FD9999D" w:rsidR="00EA1BCE" w:rsidRDefault="00A07F2B" w:rsidP="00AE7C0A">
      <w:pPr>
        <w:spacing w:line="480" w:lineRule="auto"/>
        <w:ind w:firstLine="720"/>
      </w:pPr>
      <w:r>
        <w:t xml:space="preserve">Third, </w:t>
      </w:r>
      <w:r w:rsidR="005F25FB">
        <w:t>even relatively accurate and precise management strategies are unlikely to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3F6FAC">
        <w:t xml:space="preserve">escapement goals are met including closely monitored test fisheries, genetic stock identification techniques, and estimates of abundance throughout the migration and on spawning grounds. As a result, </w:t>
      </w:r>
      <w:r w:rsidR="005F25FB">
        <w:t xml:space="preserve">in-season </w:t>
      </w:r>
      <w:r w:rsidR="003F6FAC">
        <w:t xml:space="preserve">exploitation rates can be </w:t>
      </w:r>
      <w:r w:rsidR="005F25FB">
        <w:t xml:space="preserve">rapidly </w:t>
      </w:r>
      <w:r w:rsidR="003F6FAC">
        <w:t>reduced when recruit abundance is lower than expected.</w:t>
      </w:r>
      <w:r w:rsidR="005F25FB">
        <w:t xml:space="preserve"> Although we replicated the Fraser River’s harvest control rule, including a relatively accurate forecasting procedure and minimal outcome uncertainty, biological benchmarks and catch-based reference points were rarely met during pessimistic scenarios. Given that</w:t>
      </w:r>
      <w:r w:rsidR="003F6FAC">
        <w:t xml:space="preserve"> </w:t>
      </w:r>
      <w:r w:rsidR="005F25FB">
        <w:t>such a</w:t>
      </w:r>
      <w:r w:rsidR="003F6FAC">
        <w:t xml:space="preserve"> framework is the exception rather than the rule </w:t>
      </w:r>
      <w:r w:rsidR="005F25FB">
        <w:t>when managing fisheries, harvest may often exacerbate declines in productivity or stability</w:t>
      </w:r>
      <w:r w:rsidR="003F6FAC">
        <w:t>. Many systems rely heavily on forecasted abundance or previous estimates of fishin</w:t>
      </w:r>
      <w:r w:rsidR="00DC53FA">
        <w:t>g mortality to determine catch rates</w:t>
      </w:r>
      <w:r w:rsidR="003F6FAC">
        <w:t xml:space="preserve">. If management targets fail to track </w:t>
      </w:r>
      <w:r w:rsidR="00DC53FA">
        <w:t xml:space="preserve">changes in aggregate variability, </w:t>
      </w:r>
      <w:r w:rsidR="00472DCC">
        <w:t>the likelihood of overharvest may increase</w:t>
      </w:r>
      <w:r w:rsidR="00DC53FA">
        <w:t xml:space="preserve">, exacerbating the impacts of reduced productivity and a weak portfolio effect. Since greater aggregate variability frequently results in periodic years of abundant returns there will </w:t>
      </w:r>
      <w:r w:rsidR="00472DCC">
        <w:t xml:space="preserve">also </w:t>
      </w:r>
      <w:r w:rsidR="00DC53FA">
        <w:t>likely be substantial pressure from stakeholder</w:t>
      </w:r>
      <w:r w:rsidR="00374128">
        <w:t>s</w:t>
      </w:r>
      <w:r w:rsidR="00DC53FA">
        <w:t xml:space="preserve"> to maintain harvesting capacity, increasing the potential for overharvesting to occur.</w:t>
      </w:r>
    </w:p>
    <w:p w14:paraId="0A13C042" w14:textId="02AFEFF9" w:rsidR="00B0073E" w:rsidRDefault="001554B5" w:rsidP="00AE7C0A">
      <w:pPr>
        <w:spacing w:line="480" w:lineRule="auto"/>
        <w:rPr>
          <w:rFonts w:eastAsiaTheme="minorEastAsia"/>
        </w:rPr>
      </w:pPr>
      <w:r>
        <w:tab/>
      </w:r>
      <w:r w:rsidR="005E0F06">
        <w:t>The closed-loop model we created contains several necessary simplifications that could influence the relative effects of aggregate variability</w:t>
      </w:r>
      <w:r>
        <w:t>. For one, our conclusions are sensitive to the performance metrics selected to assess the aggregates health. We principally focused on median outcomes over the length of the simulation period</w:t>
      </w:r>
      <w:r w:rsidR="003C30FC">
        <w:t xml:space="preserve"> (approximately ten generations). Alternative metrics</w:t>
      </w:r>
      <w:r>
        <w:t xml:space="preserve"> that emphasize variability </w:t>
      </w:r>
      <w:r w:rsidR="005E0F06">
        <w:t xml:space="preserve">(other than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3"/>
      <w:r>
        <w:t>Preliminary analyses suggest</w:t>
      </w:r>
      <w:r w:rsidR="003C30FC">
        <w:t>ed</w:t>
      </w:r>
      <w:r>
        <w:t xml:space="preserve"> that producing a decline in productivity by manipulating alpha directly resulted in weaker aggregate variability effects</w:t>
      </w:r>
      <w:commentRangeEnd w:id="13"/>
      <w:r w:rsidR="003C30FC">
        <w:rPr>
          <w:rStyle w:val="CommentReference"/>
        </w:rPr>
        <w:commentReference w:id="13"/>
      </w:r>
      <w:r>
        <w:t xml:space="preserve">. However we believe that </w:t>
      </w:r>
      <w:r w:rsidR="003C30FC">
        <w:t>producing changes in average productivity via process variance is justified</w:t>
      </w:r>
      <w:r>
        <w:t xml:space="preserve"> given evidence of strong negative recruitment deviations in many Pacific salmon aggregates (REF)</w:t>
      </w:r>
      <w:r w:rsidR="00B0073E">
        <w:t xml:space="preserve"> and uncertainty about future changes in </w:t>
      </w:r>
      <w:r w:rsidR="004748F6">
        <w:t>productivity</w:t>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0D52B9C8" w:rsidR="00472DCC" w:rsidRPr="001554B5" w:rsidRDefault="00C94902" w:rsidP="00AE7C0A">
      <w:pPr>
        <w:spacing w:line="480" w:lineRule="auto"/>
      </w:pPr>
      <w:r>
        <w:rPr>
          <w:rFonts w:eastAsiaTheme="minorEastAsia"/>
        </w:rPr>
        <w:t xml:space="preserve"> </w:t>
      </w:r>
      <w:r w:rsidR="00B0073E">
        <w:rPr>
          <w:rFonts w:eastAsiaTheme="minorEastAsia"/>
        </w:rPr>
        <w:tab/>
        <w:t xml:space="preserve">Systems based approaches are increasingly advocated in disciplines, such as fisheries biology, where accounting for portfolio effects can stabilize the availability of ecosystem services.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as well as their covariance. Since both processes may vary due to environmental and anthropogenic effects, portfolio effects are themselves dynamic. </w:t>
      </w:r>
      <w:r w:rsidR="005E0F06">
        <w:rPr>
          <w:rFonts w:eastAsiaTheme="minorEastAsia"/>
        </w:rPr>
        <w:t xml:space="preserve">While a sufficiently precautionary approach could buffer management systems from changes in aggregate variability, </w:t>
      </w:r>
      <w:r w:rsidR="00EE2B01">
        <w:rPr>
          <w:rFonts w:eastAsiaTheme="minorEastAsia"/>
        </w:rPr>
        <w:t>it may be difficult to apply sufficiently conservative reference points</w:t>
      </w:r>
      <w:r w:rsidR="00EE2B01" w:rsidRPr="00EE2B01">
        <w:rPr>
          <w:rFonts w:eastAsiaTheme="minorEastAsia"/>
        </w:rPr>
        <w:t xml:space="preserve"> </w:t>
      </w:r>
      <w:r w:rsidR="00EE2B01">
        <w:rPr>
          <w:rFonts w:eastAsiaTheme="minorEastAsia"/>
        </w:rPr>
        <w:t xml:space="preserve">given the strong negative impacts of greater variability when paired with reduced productivity. </w:t>
      </w:r>
      <w:r w:rsidR="003C3A40">
        <w:rPr>
          <w:rFonts w:eastAsiaTheme="minorEastAsia"/>
        </w:rPr>
        <w:t>As suggested by others, we instead believe</w:t>
      </w:r>
      <w:r w:rsidR="005E0F06">
        <w:rPr>
          <w:rFonts w:eastAsiaTheme="minorEastAsia"/>
        </w:rPr>
        <w:t xml:space="preserve"> assessment programs </w:t>
      </w:r>
      <w:r w:rsidR="003C3A40">
        <w:rPr>
          <w:rFonts w:eastAsiaTheme="minorEastAsia"/>
        </w:rPr>
        <w:t>should</w:t>
      </w:r>
      <w:r w:rsidR="005E0F06">
        <w:rPr>
          <w:rFonts w:eastAsiaTheme="minorEastAsia"/>
        </w:rPr>
        <w:t xml:space="preserve"> track changes in </w:t>
      </w:r>
      <w:r w:rsidR="003C3A40">
        <w:rPr>
          <w:rFonts w:eastAsiaTheme="minorEastAsia"/>
        </w:rPr>
        <w:t xml:space="preserve">aggregate </w:t>
      </w:r>
      <w:r w:rsidR="005E0F06">
        <w:rPr>
          <w:rFonts w:eastAsiaTheme="minorEastAsia"/>
        </w:rPr>
        <w:t xml:space="preserve">variability </w:t>
      </w:r>
      <w:r w:rsidR="003C3A40">
        <w:rPr>
          <w:rFonts w:eastAsiaTheme="minorEastAsia"/>
        </w:rPr>
        <w:t>explicit</w:t>
      </w:r>
      <w:r w:rsidR="00D77AC5">
        <w:rPr>
          <w:rFonts w:eastAsiaTheme="minorEastAsia"/>
        </w:rPr>
        <w:t>ly to allow management systems to adjust to observed declines</w:t>
      </w:r>
      <w:r w:rsidR="005E0F06">
        <w:rPr>
          <w:rFonts w:eastAsiaTheme="minorEastAsia"/>
        </w:rPr>
        <w:t xml:space="preserve"> (Thorson et al. reference).</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5D4958E4" w14:textId="77777777" w:rsidR="009D3206" w:rsidRPr="00004A7E" w:rsidRDefault="00DE0F7B" w:rsidP="00AE7C0A">
      <w:pPr>
        <w:pStyle w:val="EndNoteBibliography"/>
        <w:spacing w:after="0" w:line="480" w:lineRule="auto"/>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AE7C0A">
      <w:pPr>
        <w:pStyle w:val="EndNoteBibliography"/>
        <w:spacing w:after="0" w:line="480" w:lineRule="auto"/>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AE7C0A">
      <w:pPr>
        <w:pStyle w:val="EndNoteBibliography"/>
        <w:spacing w:after="0" w:line="480" w:lineRule="auto"/>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AE7C0A">
      <w:pPr>
        <w:pStyle w:val="EndNoteBibliography"/>
        <w:spacing w:after="0" w:line="480" w:lineRule="auto"/>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AE7C0A">
      <w:pPr>
        <w:pStyle w:val="EndNoteBibliography"/>
        <w:spacing w:after="0" w:line="480" w:lineRule="auto"/>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AE7C0A">
      <w:pPr>
        <w:pStyle w:val="EndNoteBibliography"/>
        <w:spacing w:after="0" w:line="480" w:lineRule="auto"/>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AE7C0A">
      <w:pPr>
        <w:pStyle w:val="EndNoteBibliography"/>
        <w:spacing w:after="0" w:line="480" w:lineRule="auto"/>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AE7C0A">
      <w:pPr>
        <w:pStyle w:val="EndNoteBibliography"/>
        <w:spacing w:after="0" w:line="480" w:lineRule="auto"/>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AE7C0A">
      <w:pPr>
        <w:pStyle w:val="EndNoteBibliography"/>
        <w:spacing w:after="0" w:line="480" w:lineRule="auto"/>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AE7C0A">
      <w:pPr>
        <w:pStyle w:val="EndNoteBibliography"/>
        <w:spacing w:after="0" w:line="480" w:lineRule="auto"/>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AE7C0A">
      <w:pPr>
        <w:pStyle w:val="EndNoteBibliography"/>
        <w:spacing w:after="0" w:line="480" w:lineRule="auto"/>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AE7C0A">
      <w:pPr>
        <w:pStyle w:val="EndNoteBibliography"/>
        <w:spacing w:after="0" w:line="480" w:lineRule="auto"/>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AE7C0A">
      <w:pPr>
        <w:pStyle w:val="EndNoteBibliography"/>
        <w:spacing w:after="0" w:line="480" w:lineRule="auto"/>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AE7C0A">
      <w:pPr>
        <w:pStyle w:val="EndNoteBibliography"/>
        <w:spacing w:after="0" w:line="480" w:lineRule="auto"/>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AE7C0A">
      <w:pPr>
        <w:pStyle w:val="EndNoteBibliography"/>
        <w:spacing w:after="0" w:line="480" w:lineRule="auto"/>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AE7C0A">
      <w:pPr>
        <w:pStyle w:val="EndNoteBibliography"/>
        <w:spacing w:after="0" w:line="480" w:lineRule="auto"/>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AE7C0A">
      <w:pPr>
        <w:pStyle w:val="EndNoteBibliography"/>
        <w:spacing w:after="0" w:line="480" w:lineRule="auto"/>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AE7C0A">
      <w:pPr>
        <w:pStyle w:val="EndNoteBibliography"/>
        <w:spacing w:after="0" w:line="480" w:lineRule="auto"/>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AE7C0A">
      <w:pPr>
        <w:pStyle w:val="EndNoteBibliography"/>
        <w:spacing w:after="0" w:line="480" w:lineRule="auto"/>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AE7C0A">
      <w:pPr>
        <w:pStyle w:val="EndNoteBibliography"/>
        <w:spacing w:after="0" w:line="480" w:lineRule="auto"/>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AE7C0A">
      <w:pPr>
        <w:pStyle w:val="EndNoteBibliography"/>
        <w:spacing w:after="0" w:line="480" w:lineRule="auto"/>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AE7C0A">
      <w:pPr>
        <w:pStyle w:val="EndNoteBibliography"/>
        <w:spacing w:after="0" w:line="480" w:lineRule="auto"/>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AE7C0A">
      <w:pPr>
        <w:pStyle w:val="EndNoteBibliography"/>
        <w:spacing w:after="0" w:line="480" w:lineRule="auto"/>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AE7C0A">
      <w:pPr>
        <w:pStyle w:val="EndNoteBibliography"/>
        <w:spacing w:after="0" w:line="480" w:lineRule="auto"/>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AE7C0A">
      <w:pPr>
        <w:pStyle w:val="EndNoteBibliography"/>
        <w:spacing w:line="480" w:lineRule="auto"/>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C56A02" w:rsidRDefault="00C56A02">
      <w:pPr>
        <w:pStyle w:val="CommentText"/>
      </w:pPr>
      <w:r>
        <w:rPr>
          <w:rStyle w:val="CommentReference"/>
        </w:rPr>
        <w:annotationRef/>
      </w:r>
      <w:r>
        <w:t>Considering dropping this paragraph</w:t>
      </w:r>
    </w:p>
  </w:comment>
  <w:comment w:id="1" w:author="DFO-MPO" w:date="2018-10-02T11:00:00Z" w:initials="D">
    <w:p w14:paraId="0EF4E9EE" w14:textId="77777777" w:rsidR="00C56A02" w:rsidRDefault="00C56A02"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C56A02" w:rsidRDefault="00C56A02" w:rsidP="00DB21CE">
      <w:pPr>
        <w:pStyle w:val="CommentText"/>
      </w:pPr>
      <w:r>
        <w:rPr>
          <w:rStyle w:val="CommentReference"/>
        </w:rPr>
        <w:annotationRef/>
      </w:r>
      <w:r>
        <w:t xml:space="preserve"> </w:t>
      </w:r>
    </w:p>
    <w:p w14:paraId="12D15DE6" w14:textId="7BFBD768" w:rsidR="00C56A02" w:rsidRPr="00D31645" w:rsidRDefault="00C56A02"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C56A02" w:rsidRDefault="00C56A02">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C56A02" w:rsidRPr="00C35C3B" w:rsidRDefault="00C56A02">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C56A02" w:rsidRDefault="00C56A02">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C56A02" w:rsidRDefault="00C56A02">
      <w:pPr>
        <w:pStyle w:val="CommentText"/>
      </w:pPr>
    </w:p>
    <w:p w14:paraId="20490879" w14:textId="259A955C" w:rsidR="00C56A02" w:rsidRDefault="00C56A02">
      <w:pPr>
        <w:pStyle w:val="CommentText"/>
      </w:pPr>
      <w:r>
        <w:t xml:space="preserve">I feel as though it would be helpful to present these as distributions (e.g. of hypothetical </w:t>
      </w:r>
      <w:proofErr w:type="spellStart"/>
      <w:r>
        <w:t>spawner</w:t>
      </w:r>
      <w:proofErr w:type="spellEnd"/>
      <w:r>
        <w:t xml:space="preserve"> returns) so that readers aren’t underwhelmed, but I’m not sure how to do so in a way that flows well. Is this a good/bad idea? Any suggestions?</w:t>
      </w:r>
    </w:p>
  </w:comment>
  <w:comment w:id="7" w:author="DFO-MPO" w:date="2018-10-11T14:44:00Z" w:initials="D">
    <w:p w14:paraId="7D7A8B92" w14:textId="3FA3C2AC" w:rsidR="00C56A02" w:rsidRDefault="00C56A02">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C56A02" w:rsidRDefault="00C56A02">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C56A02" w:rsidRDefault="00C56A02"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C56A02" w:rsidRDefault="00C56A02"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C56A02" w:rsidRDefault="00C56A02" w:rsidP="00350F95">
      <w:pPr>
        <w:pStyle w:val="CommentText"/>
      </w:pPr>
      <w:r>
        <w:rPr>
          <w:rStyle w:val="CommentReference"/>
        </w:rPr>
        <w:annotationRef/>
      </w:r>
      <w:r>
        <w:t>Not sure whether to leave these CU-specific results in given how long the paper is already…</w:t>
      </w:r>
    </w:p>
  </w:comment>
  <w:comment w:id="13" w:author="Cameron Freshwater" w:date="2018-10-28T11:10:00Z" w:initials="CF">
    <w:p w14:paraId="71053416" w14:textId="3A51D077" w:rsidR="00C56A02" w:rsidRDefault="00C56A02">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3564"/>
    <w:rsid w:val="0041059E"/>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61496"/>
    <w:rsid w:val="008614AB"/>
    <w:rsid w:val="00871917"/>
    <w:rsid w:val="008730E1"/>
    <w:rsid w:val="00873880"/>
    <w:rsid w:val="008747EF"/>
    <w:rsid w:val="00885848"/>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E7C0A"/>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225F"/>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0B9BD-E3F2-EA46-A13F-0C741ACC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34</Pages>
  <Words>10663</Words>
  <Characters>60784</Characters>
  <Application>Microsoft Macintosh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41</cp:revision>
  <cp:lastPrinted>2018-05-03T17:52:00Z</cp:lastPrinted>
  <dcterms:created xsi:type="dcterms:W3CDTF">2018-10-06T16:58:00Z</dcterms:created>
  <dcterms:modified xsi:type="dcterms:W3CDTF">2018-11-01T16:08:00Z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