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DF4F42"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DF4F42"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DF4F42"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0888BC55"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3"/>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skewness is moderately more extreme 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3"/>
      <w:r w:rsidR="00FE7607" w:rsidRPr="00004A7E">
        <w:rPr>
          <w:rStyle w:val="CommentReference"/>
          <w:sz w:val="22"/>
          <w:szCs w:val="22"/>
        </w:rPr>
        <w:commentReference w:id="3"/>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lastRenderedPageBreak/>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w:t>
      </w:r>
      <w:r w:rsidRPr="00004A7E">
        <w:rPr>
          <w:rFonts w:eastAsiaTheme="minorEastAsia"/>
        </w:rPr>
        <w:lastRenderedPageBreak/>
        <w:t xml:space="preserve">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 xml:space="preserve">hanges in </w:t>
      </w:r>
      <w:r w:rsidRPr="00004A7E">
        <w:lastRenderedPageBreak/>
        <w:t>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8"/>
      <w:r>
        <w:rPr>
          <w:rFonts w:eastAsiaTheme="minorEastAsia"/>
        </w:rPr>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w:t>
      </w:r>
      <w:r w:rsidR="008C1D4E">
        <w:rPr>
          <w:rFonts w:eastAsiaTheme="minorEastAsia"/>
        </w:rPr>
        <w:lastRenderedPageBreak/>
        <w:t xml:space="preserve">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9"/>
      <w:r w:rsidR="00894F3F">
        <w:rPr>
          <w:rFonts w:eastAsiaTheme="minorEastAsia"/>
        </w:rPr>
        <w:t xml:space="preserve"> The proportion of CUs above their biological benchmark exhibited similar declines at higher synchrony levels (Figure 4e).</w:t>
      </w:r>
      <w:r>
        <w:rPr>
          <w:rStyle w:val="CommentReference"/>
        </w:rPr>
        <w:commentReference w:id="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lastRenderedPageBreak/>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w:t>
      </w:r>
      <w:proofErr w:type="gramStart"/>
      <w:r w:rsidR="00C35C3B">
        <w:rPr>
          <w:rFonts w:eastAsiaTheme="minorEastAsia"/>
        </w:rPr>
        <w:t>achieved,</w:t>
      </w:r>
      <w:proofErr w:type="gramEnd"/>
      <w:r w:rsidR="00C35C3B">
        <w:rPr>
          <w:rFonts w:eastAsiaTheme="minorEastAsia"/>
        </w:rPr>
        <w:t xml:space="preserve">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F73E55">
      <w:pPr>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1"/>
      <w:r w:rsidR="004709A6" w:rsidRPr="00004A7E">
        <w:rPr>
          <w:rFonts w:eastAsiaTheme="minorEastAsia"/>
        </w:rPr>
        <w:t xml:space="preserve">250 </w:t>
      </w:r>
      <w:commentRangeEnd w:id="11"/>
      <w:r w:rsidR="004709A6" w:rsidRPr="00004A7E">
        <w:rPr>
          <w:rStyle w:val="CommentReference"/>
          <w:sz w:val="22"/>
          <w:szCs w:val="22"/>
        </w:rPr>
        <w:commentReference w:id="11"/>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spawner abundance within </w:t>
      </w:r>
      <w:r w:rsidR="00F8390D" w:rsidRPr="00004A7E">
        <w:rPr>
          <w:rFonts w:eastAsiaTheme="minorEastAsia"/>
        </w:rPr>
        <w:lastRenderedPageBreak/>
        <w:t>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2"/>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0E2C83FB" w:rsidR="000E43A3" w:rsidRDefault="00DF4F42" w:rsidP="000E43A3">
      <w:pPr>
        <w:ind w:firstLine="720"/>
      </w:pPr>
      <w:r>
        <w:t xml:space="preserve">We present evidence that aggregate variability in recruit abundance within the Fraser River sockeye salmon </w:t>
      </w:r>
      <w:proofErr w:type="spellStart"/>
      <w:r>
        <w:t>metapopulation</w:t>
      </w:r>
      <w:proofErr w:type="spellEnd"/>
      <w:r>
        <w:t xml:space="preserve">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more frequent fishery closures and substantial socio-economic costs. </w:t>
      </w:r>
      <w:commentRangeStart w:id="13"/>
      <w:r>
        <w:t>We use closed-loop simulations to demonstrate that high levels of synchrony can magnify the effects of reduced productivity, resulting in severe declines in abundance, reduced yields, and increased risk of extirpation</w:t>
      </w:r>
      <w:commentRangeEnd w:id="13"/>
      <w:r>
        <w:rPr>
          <w:rStyle w:val="CommentReference"/>
        </w:rPr>
        <w:commentReference w:id="13"/>
      </w:r>
      <w:r>
        <w:t xml:space="preserve">.  </w:t>
      </w:r>
    </w:p>
    <w:p w14:paraId="51CCBEB3" w14:textId="544B549B" w:rsidR="00DF4F42" w:rsidRPr="00DF4F42" w:rsidRDefault="00DF4F42" w:rsidP="000E43A3">
      <w:pPr>
        <w:ind w:firstLine="720"/>
      </w:pPr>
      <w:r>
        <w:t xml:space="preserve">Spatial and temporal </w:t>
      </w:r>
      <w:proofErr w:type="gramStart"/>
      <w:r>
        <w:t>variation in the strength of portfolio effects have</w:t>
      </w:r>
      <w:proofErr w:type="gramEnd"/>
      <w:r>
        <w:t xml:space="preserve"> been widely examined in Pacific salmon. Generally </w:t>
      </w:r>
      <w:proofErr w:type="spellStart"/>
      <w:r>
        <w:t>metapopulations</w:t>
      </w:r>
      <w:proofErr w:type="spellEnd"/>
      <w:r>
        <w:t xml:space="preserve"> rearing in relatively pristine habitats and without a history </w:t>
      </w:r>
      <w:proofErr w:type="spellStart"/>
      <w:proofErr w:type="gramStart"/>
      <w:r>
        <w:t>fo</w:t>
      </w:r>
      <w:proofErr w:type="spellEnd"/>
      <w:proofErr w:type="gramEnd"/>
      <w:r>
        <w:t xml:space="preserve"> overexploitation appear to be the most stable </w:t>
      </w:r>
      <w:r w:rsidR="000F2E93">
        <w:t>(</w:t>
      </w:r>
      <w:proofErr w:type="spellStart"/>
      <w:r w:rsidR="000F2E93">
        <w:t>Hilborn</w:t>
      </w:r>
      <w:proofErr w:type="spellEnd"/>
      <w:r w:rsidR="000F2E93">
        <w:t xml:space="preserve"> et al. 2003, Moore et al. 2010, Schindler et al. 2010, Griffiths et al. 2014). Increases in synchrony are thought to be associated with increased anthropogenic disturbance, particularly processes that increase genetic homogenization such as hatchery influences and hydropower development (Moore et al. 2010, Carlson and </w:t>
      </w:r>
      <w:proofErr w:type="spellStart"/>
      <w:r w:rsidR="000F2E93">
        <w:t>Satterthwaite</w:t>
      </w:r>
      <w:proofErr w:type="spellEnd"/>
      <w:r w:rsidR="000F2E93">
        <w:t xml:space="preserve"> 2015, Yamane et al. 2018). </w:t>
      </w:r>
      <w:bookmarkStart w:id="14" w:name="_GoBack"/>
      <w:bookmarkEnd w:id="14"/>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w:t>
      </w:r>
      <w:r w:rsidRPr="00004A7E">
        <w:rPr>
          <w:noProof/>
        </w:rPr>
        <w:lastRenderedPageBreak/>
        <w:t xml:space="preserve">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DF4F42" w:rsidRDefault="00DF4F42">
      <w:pPr>
        <w:pStyle w:val="CommentText"/>
      </w:pPr>
      <w:r>
        <w:rPr>
          <w:rStyle w:val="CommentReference"/>
        </w:rPr>
        <w:annotationRef/>
      </w:r>
      <w:r>
        <w:t>Considering dropping this paragraph</w:t>
      </w:r>
    </w:p>
  </w:comment>
  <w:comment w:id="1" w:author="DFO-MPO" w:date="2018-10-02T11:00:00Z" w:initials="D">
    <w:p w14:paraId="0EF4E9EE" w14:textId="77777777" w:rsidR="00DF4F42" w:rsidRDefault="00DF4F42"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DF4F42" w:rsidRDefault="00DF4F42" w:rsidP="00DB21CE">
      <w:pPr>
        <w:pStyle w:val="CommentText"/>
      </w:pPr>
      <w:r>
        <w:rPr>
          <w:rStyle w:val="CommentReference"/>
        </w:rPr>
        <w:annotationRef/>
      </w:r>
      <w:r>
        <w:t xml:space="preserve"> </w:t>
      </w:r>
    </w:p>
    <w:p w14:paraId="12D15DE6" w14:textId="7BFBD768" w:rsidR="00DF4F42" w:rsidRPr="00D31645" w:rsidRDefault="00DF4F42"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09:05:00Z" w:initials="D">
    <w:p w14:paraId="4782763F" w14:textId="15A82DB8" w:rsidR="00DF4F42" w:rsidRDefault="00DF4F42">
      <w:pPr>
        <w:pStyle w:val="CommentText"/>
      </w:pPr>
      <w:r>
        <w:rPr>
          <w:rStyle w:val="CommentReference"/>
        </w:rPr>
        <w:annotationRef/>
      </w:r>
      <w:r>
        <w:rPr>
          <w:rStyle w:val="CommentReference"/>
        </w:rPr>
        <w:t>Think this warrants a full section as a supplement?</w:t>
      </w:r>
    </w:p>
  </w:comment>
  <w:comment w:id="4" w:author="DFO-MPO" w:date="2018-10-11T13:20:00Z" w:initials="D">
    <w:p w14:paraId="501E66DD" w14:textId="158E5880" w:rsidR="00DF4F42" w:rsidRDefault="00DF4F42">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DF4F42" w:rsidRPr="00C35C3B" w:rsidRDefault="00DF4F42">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7" w:author="DFO-MPO" w:date="2018-10-11T14:44:00Z" w:initials="D">
    <w:p w14:paraId="7D7A8B92" w14:textId="3FA3C2AC" w:rsidR="00DF4F42" w:rsidRDefault="00DF4F42">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DF4F42" w:rsidRDefault="00DF4F42">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DFO-MPO" w:date="2018-10-12T10:58:00Z" w:initials="D">
    <w:p w14:paraId="0AE5A586" w14:textId="0B1D19D1" w:rsidR="00DF4F42" w:rsidRDefault="00DF4F42">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10" w:author="Cameron Freshwater" w:date="2018-09-02T14:33:00Z" w:initials="CF">
    <w:p w14:paraId="2D38F0B1" w14:textId="77777777" w:rsidR="00DF4F42" w:rsidRDefault="00DF4F42" w:rsidP="00871917">
      <w:pPr>
        <w:pStyle w:val="CommentText"/>
      </w:pPr>
      <w:r>
        <w:rPr>
          <w:rStyle w:val="CommentReference"/>
        </w:rPr>
        <w:annotationRef/>
      </w:r>
      <w:r>
        <w:t>This will be bumped up for final run.</w:t>
      </w:r>
    </w:p>
  </w:comment>
  <w:comment w:id="11" w:author="Cameron Freshwater" w:date="2018-09-03T10:32:00Z" w:initials="CF">
    <w:p w14:paraId="657CDEA2" w14:textId="77777777" w:rsidR="00DF4F42" w:rsidRDefault="00DF4F42" w:rsidP="004709A6">
      <w:pPr>
        <w:pStyle w:val="CommentText"/>
      </w:pPr>
      <w:r>
        <w:rPr>
          <w:rStyle w:val="CommentReference"/>
        </w:rPr>
        <w:annotationRef/>
      </w:r>
      <w:r>
        <w:t>This will be bumped up for final run.</w:t>
      </w:r>
    </w:p>
  </w:comment>
  <w:comment w:id="12" w:author="Cameron Freshwater" w:date="2018-10-12T11:43:00Z" w:initials="CF">
    <w:p w14:paraId="23F4047A" w14:textId="13C66D88" w:rsidR="00DF4F42" w:rsidRDefault="00DF4F42" w:rsidP="00350F95">
      <w:pPr>
        <w:pStyle w:val="CommentText"/>
      </w:pPr>
      <w:r>
        <w:rPr>
          <w:rStyle w:val="CommentReference"/>
        </w:rPr>
        <w:annotationRef/>
      </w:r>
      <w:r>
        <w:t>Not sure whether to leave these CU-specific results in given how long the paper is already…</w:t>
      </w:r>
    </w:p>
  </w:comment>
  <w:comment w:id="13" w:author="Cameron Freshwater" w:date="2018-10-22T07:25:00Z" w:initials="CF">
    <w:p w14:paraId="3990D2A5" w14:textId="0FCD4B41" w:rsidR="00DF4F42" w:rsidRDefault="00DF4F42">
      <w:pPr>
        <w:pStyle w:val="CommentText"/>
      </w:pPr>
      <w:r>
        <w:rPr>
          <w:rStyle w:val="CommentReference"/>
        </w:rPr>
        <w:annotationRef/>
      </w:r>
      <w:r>
        <w:t>Consider moving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0F95"/>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755C"/>
    <w:rsid w:val="006068C0"/>
    <w:rsid w:val="006259E0"/>
    <w:rsid w:val="006301C5"/>
    <w:rsid w:val="00633411"/>
    <w:rsid w:val="00645D76"/>
    <w:rsid w:val="00662888"/>
    <w:rsid w:val="00697A59"/>
    <w:rsid w:val="006A3951"/>
    <w:rsid w:val="006A4872"/>
    <w:rsid w:val="006B31D1"/>
    <w:rsid w:val="006C114F"/>
    <w:rsid w:val="006C2754"/>
    <w:rsid w:val="006D1219"/>
    <w:rsid w:val="006D6CBB"/>
    <w:rsid w:val="00700737"/>
    <w:rsid w:val="007014D4"/>
    <w:rsid w:val="00703544"/>
    <w:rsid w:val="0070590B"/>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EB93B-F66D-0147-8A6A-D1F3949B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17</Pages>
  <Words>8691</Words>
  <Characters>49544</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24</cp:revision>
  <cp:lastPrinted>2018-05-03T17:52:00Z</cp:lastPrinted>
  <dcterms:created xsi:type="dcterms:W3CDTF">2018-10-06T16:58:00Z</dcterms:created>
  <dcterms:modified xsi:type="dcterms:W3CDTF">2018-10-22T14:30:00Z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