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8C78900" w14:textId="0757C669" w:rsidR="00FE2E7F" w:rsidRPr="00FE2E7F" w:rsidRDefault="00A95709" w:rsidP="00FE2E7F">
      <w:pPr>
        <w:tabs>
          <w:tab w:val="left" w:pos="5400"/>
        </w:tabs>
        <w:jc w:val="center"/>
        <w:rPr>
          <w:b/>
        </w:rPr>
      </w:pPr>
      <w:r>
        <w:rPr>
          <w:b/>
        </w:rPr>
        <w:t>Retrospective</w:t>
      </w:r>
      <w:r w:rsidR="00FE2E7F" w:rsidRPr="00FE2E7F">
        <w:rPr>
          <w:b/>
        </w:rPr>
        <w:t xml:space="preserve"> Summary</w:t>
      </w:r>
    </w:p>
    <w:p w14:paraId="59DF9B77" w14:textId="28CCB914" w:rsidR="00FE2E7F" w:rsidRDefault="00FE2E7F" w:rsidP="00A95709">
      <w:pPr>
        <w:tabs>
          <w:tab w:val="left" w:pos="709"/>
        </w:tabs>
      </w:pPr>
      <w:r>
        <w:tab/>
        <w:t>We examined temporal changes in</w:t>
      </w:r>
      <w:r w:rsidR="00C8522F">
        <w:t xml:space="preserve"> Fraser River sockeye salmon productivity (log(R/S)) using</w:t>
      </w:r>
      <w:r>
        <w:t xml:space="preserve"> three metrics of </w:t>
      </w:r>
      <w:proofErr w:type="spellStart"/>
      <w:r>
        <w:t>metapopulation</w:t>
      </w:r>
      <w:proofErr w:type="spellEnd"/>
      <w:r>
        <w:t xml:space="preserve"> variability: 1) the mean coefficient of variation of the components within in aggregate</w:t>
      </w:r>
      <w:r w:rsidR="00C8522F">
        <w:t xml:space="preserve"> (CV</w:t>
      </w:r>
      <w:r w:rsidR="00C8522F">
        <w:rPr>
          <w:vertAlign w:val="subscript"/>
        </w:rPr>
        <w:t>C</w:t>
      </w:r>
      <w:r w:rsidR="00C8522F">
        <w:t>)</w:t>
      </w:r>
      <w:r>
        <w:t xml:space="preserve">, 2) </w:t>
      </w:r>
      <w:r w:rsidR="00C8522F">
        <w:t xml:space="preserve">the </w:t>
      </w:r>
      <w:r>
        <w:t>synchrony</w:t>
      </w:r>
      <w:r w:rsidR="00C8522F">
        <w:t xml:space="preserve"> index (</w:t>
      </w:r>
      <m:oMath>
        <m:r>
          <w:rPr>
            <w:rFonts w:ascii="Cambria Math" w:hAnsi="Cambria Math"/>
          </w:rPr>
          <m:t>φ</m:t>
        </m:r>
      </m:oMath>
      <w:r w:rsidR="00C8522F">
        <w:t>)</w:t>
      </w:r>
      <w:r>
        <w:t xml:space="preserve">, which reflects the degree of similarity in the dynamics of an aggregate’s components, and 3) aggregate variability </w:t>
      </w:r>
      <w:r w:rsidR="00C8522F">
        <w:t>(CV</w:t>
      </w:r>
      <w:r w:rsidR="00C8522F">
        <w:rPr>
          <w:vertAlign w:val="subscript"/>
        </w:rPr>
        <w:t>A</w:t>
      </w:r>
      <w:r w:rsidR="00C8522F">
        <w:t xml:space="preserve">) </w:t>
      </w:r>
      <w:r>
        <w:t xml:space="preserve">which represents the cumulative effects of </w:t>
      </w:r>
      <w:proofErr w:type="spellStart"/>
      <w:r w:rsidR="00C8522F">
        <w:t>CV</w:t>
      </w:r>
      <w:r w:rsidR="00C8522F">
        <w:rPr>
          <w:vertAlign w:val="subscript"/>
        </w:rPr>
        <w:t>c</w:t>
      </w:r>
      <w:proofErr w:type="spellEnd"/>
      <w:r>
        <w:t xml:space="preserve"> and</w:t>
      </w:r>
      <w:r w:rsidR="00C8522F">
        <w:t xml:space="preserve"> </w:t>
      </w:r>
      <m:oMath>
        <m:r>
          <w:rPr>
            <w:rFonts w:ascii="Cambria Math" w:hAnsi="Cambria Math"/>
          </w:rPr>
          <m:t>φ</m:t>
        </m:r>
      </m:oMath>
      <w:r w:rsidR="00C8522F">
        <w:t xml:space="preserve"> on temporal variability. We used 10-year moving windows to </w:t>
      </w:r>
      <w:r w:rsidR="00A95709">
        <w:t xml:space="preserve">calculate trends in each metric for two Fraser River datasets. The first contained 11 CUs with time series of productivity extending to 1948, the second contained 18 CUs with time series extending to 1973. </w:t>
      </w:r>
    </w:p>
    <w:p w14:paraId="3492710D" w14:textId="3741893C" w:rsidR="00A95709" w:rsidRPr="00F1323B" w:rsidRDefault="00A95709" w:rsidP="00A95709">
      <w:pPr>
        <w:tabs>
          <w:tab w:val="left" w:pos="709"/>
        </w:tabs>
        <w:rPr>
          <w:i/>
        </w:rPr>
      </w:pPr>
      <w:r>
        <w:tab/>
      </w:r>
      <w:r w:rsidR="001440EB">
        <w:t xml:space="preserve">Mean Fraser River sockeye salmon productivity declined from the late 1980s </w:t>
      </w:r>
      <w:r w:rsidR="00602A75">
        <w:t>through</w:t>
      </w:r>
      <w:r w:rsidR="001440EB">
        <w:t xml:space="preserve"> 2005, the brood year </w:t>
      </w:r>
      <w:r w:rsidR="00602A75">
        <w:t>producing the</w:t>
      </w:r>
      <w:r w:rsidR="001440EB">
        <w:t xml:space="preserve"> </w:t>
      </w:r>
      <w:r w:rsidR="00602A75">
        <w:t>majority of the fish that returned in</w:t>
      </w:r>
      <w:r w:rsidR="001440EB">
        <w:t xml:space="preserve"> low </w:t>
      </w:r>
      <w:r w:rsidR="00602A75">
        <w:t>numbers</w:t>
      </w:r>
      <w:r w:rsidR="001440EB">
        <w:t xml:space="preserve"> in 2009. Subsequently the aggregate exhibited several years of higher productivity, but the trend </w:t>
      </w:r>
      <w:r w:rsidR="00602A75">
        <w:t>has remained</w:t>
      </w:r>
      <w:r w:rsidR="001440EB">
        <w:t xml:space="preserve"> variable </w:t>
      </w:r>
      <w:r w:rsidR="00602A75">
        <w:t>and</w:t>
      </w:r>
      <w:r w:rsidR="001440EB">
        <w:t xml:space="preserve"> productivity </w:t>
      </w:r>
      <w:r w:rsidR="00602A75">
        <w:t>has recently declined again</w:t>
      </w:r>
      <w:r w:rsidR="00A25F37">
        <w:t xml:space="preserve"> (Fig. 2a)</w:t>
      </w:r>
      <w:r w:rsidR="001440EB">
        <w:t>. Mean CV</w:t>
      </w:r>
      <w:r w:rsidR="001440EB">
        <w:rPr>
          <w:vertAlign w:val="subscript"/>
        </w:rPr>
        <w:t>C</w:t>
      </w:r>
      <w:r w:rsidR="001440EB">
        <w:t xml:space="preserve"> (i.e. the temporal variability of the “average” CU</w:t>
      </w:r>
      <w:r w:rsidR="00A25F37">
        <w:t>’s productivity</w:t>
      </w:r>
      <w:r w:rsidR="001440EB">
        <w:t xml:space="preserve">) was relatively stable for most of the time series before </w:t>
      </w:r>
      <w:r w:rsidR="00F1323B">
        <w:t xml:space="preserve">showing an </w:t>
      </w:r>
      <w:r w:rsidR="001440EB">
        <w:t>increas</w:t>
      </w:r>
      <w:r w:rsidR="00F1323B">
        <w:t>e</w:t>
      </w:r>
      <w:r w:rsidR="001440EB">
        <w:t xml:space="preserve"> in the </w:t>
      </w:r>
      <w:r w:rsidR="00F1323B">
        <w:t>1</w:t>
      </w:r>
      <w:r w:rsidR="001440EB">
        <w:t>99</w:t>
      </w:r>
      <w:r w:rsidR="00A25F37">
        <w:t>0s</w:t>
      </w:r>
      <w:r w:rsidR="00F1323B">
        <w:t xml:space="preserve"> that steepened over several years</w:t>
      </w:r>
      <w:r w:rsidR="00A25F37">
        <w:t xml:space="preserve"> (Fig. 2b). Productivity was highly synchronized in the first decade of the time series, followed by a variable, but generally asynchronous period. In the early 2000s, approximately when CV</w:t>
      </w:r>
      <w:r w:rsidR="00A25F37">
        <w:rPr>
          <w:vertAlign w:val="subscript"/>
        </w:rPr>
        <w:t>C</w:t>
      </w:r>
      <w:r w:rsidR="00A25F37">
        <w:t xml:space="preserve"> reached unusually high levels, synchrony increased again (Fig. 2c).</w:t>
      </w:r>
      <w:r w:rsidR="00F1323B">
        <w:t xml:space="preserve"> Changes in CV</w:t>
      </w:r>
      <w:r w:rsidR="00F1323B">
        <w:rPr>
          <w:vertAlign w:val="subscript"/>
        </w:rPr>
        <w:t>A</w:t>
      </w:r>
      <w:r w:rsidR="00F1323B">
        <w:t xml:space="preserve"> mirror these patterns, showing a dramatic increase in the early 2000s (Fig. 2d).</w:t>
      </w:r>
    </w:p>
    <w:p w14:paraId="5F1E789B" w14:textId="77777777" w:rsidR="004B1461" w:rsidRDefault="004B1461" w:rsidP="00FE2E7F">
      <w:pPr>
        <w:tabs>
          <w:tab w:val="left" w:pos="5400"/>
        </w:tabs>
        <w:jc w:val="center"/>
      </w:pPr>
      <w:r>
        <w:rPr>
          <w:noProof/>
          <w:lang w:val="en-CA" w:eastAsia="en-CA"/>
        </w:rPr>
        <w:drawing>
          <wp:inline distT="0" distB="0" distL="0" distR="0" wp14:anchorId="2D086BDA" wp14:editId="3B4D73EE">
            <wp:extent cx="4951828" cy="3713871"/>
            <wp:effectExtent l="0" t="0" r="0" b="1270"/>
            <wp:docPr id="1" name="Picture 1" descr="Macintosh HD:Users:cam:github:synchSalmon:figs:Fig1_RetroTrends.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cam:github:synchSalmon:figs:Fig1_RetroTrends.pd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51828" cy="3713871"/>
                    </a:xfrm>
                    <a:prstGeom prst="rect">
                      <a:avLst/>
                    </a:prstGeom>
                    <a:noFill/>
                    <a:ln>
                      <a:noFill/>
                    </a:ln>
                  </pic:spPr>
                </pic:pic>
              </a:graphicData>
            </a:graphic>
          </wp:inline>
        </w:drawing>
      </w:r>
    </w:p>
    <w:p w14:paraId="2F34324F" w14:textId="77777777" w:rsidR="002C7CB7" w:rsidRDefault="004B1461" w:rsidP="002C7CB7">
      <w:pPr>
        <w:tabs>
          <w:tab w:val="left" w:pos="5400"/>
        </w:tabs>
      </w:pPr>
      <w:r>
        <w:t xml:space="preserve">Figure 1. Temporal variation in Fraser River sockeye salmon productivity, log(recruits/spawner). (a) Trends in observed productivity for 18 CUs with time series </w:t>
      </w:r>
      <w:r>
        <w:lastRenderedPageBreak/>
        <w:t xml:space="preserve">beginning between 1948 and 1973; heavy black line represents the unweighted mean. 10-year moving windows of (b) the mean component coefficient of variation, weighted by abundance, (c) the synchrony index, and (d) the coefficient of variation of the aggregate. Solid blacks lines represent trends for 11 CUs with time series extending back to 1948, light red lines represent trends for 18 CUs beginning in 1973. </w:t>
      </w:r>
    </w:p>
    <w:p w14:paraId="12C1F25A" w14:textId="77777777" w:rsidR="00FB7D24" w:rsidRDefault="00FB7D24" w:rsidP="002C7CB7">
      <w:pPr>
        <w:tabs>
          <w:tab w:val="left" w:pos="5400"/>
        </w:tabs>
      </w:pPr>
    </w:p>
    <w:p w14:paraId="4B8B1C5D" w14:textId="77777777" w:rsidR="00FB7D24" w:rsidRDefault="00FB7D24" w:rsidP="002C7CB7">
      <w:pPr>
        <w:tabs>
          <w:tab w:val="left" w:pos="5400"/>
        </w:tabs>
      </w:pPr>
    </w:p>
    <w:p w14:paraId="5068477B" w14:textId="27F26400" w:rsidR="00FB7D24" w:rsidRPr="00FE2E7F" w:rsidRDefault="00FB7D24" w:rsidP="00FB7D24">
      <w:pPr>
        <w:tabs>
          <w:tab w:val="left" w:pos="5400"/>
        </w:tabs>
        <w:jc w:val="center"/>
        <w:rPr>
          <w:b/>
        </w:rPr>
      </w:pPr>
      <w:r>
        <w:rPr>
          <w:b/>
        </w:rPr>
        <w:t>Forward-Sim</w:t>
      </w:r>
      <w:r w:rsidR="00926926">
        <w:rPr>
          <w:b/>
        </w:rPr>
        <w:t>ulation</w:t>
      </w:r>
      <w:r w:rsidRPr="00FE2E7F">
        <w:rPr>
          <w:b/>
        </w:rPr>
        <w:t xml:space="preserve"> Summary</w:t>
      </w:r>
    </w:p>
    <w:p w14:paraId="357B25DC" w14:textId="19AA4706" w:rsidR="00FB7D24" w:rsidRDefault="00FB7D24" w:rsidP="002C7CB7">
      <w:pPr>
        <w:tabs>
          <w:tab w:val="left" w:pos="5400"/>
        </w:tabs>
        <w:rPr>
          <w:i/>
        </w:rPr>
      </w:pPr>
      <w:r>
        <w:rPr>
          <w:i/>
        </w:rPr>
        <w:t>Model specification</w:t>
      </w:r>
    </w:p>
    <w:p w14:paraId="23744446" w14:textId="5719ED4D" w:rsidR="00FB7D24" w:rsidRDefault="00FB7D24" w:rsidP="00FB7D24">
      <w:pPr>
        <w:tabs>
          <w:tab w:val="left" w:pos="851"/>
        </w:tabs>
      </w:pPr>
      <w:r>
        <w:tab/>
        <w:t xml:space="preserve">The closed-loop model forward simulates, with stochasticity, the dynamics of 19 Fraser River CUs. For CUs with evidence of </w:t>
      </w:r>
      <w:proofErr w:type="spellStart"/>
      <w:r>
        <w:t>cyclicity</w:t>
      </w:r>
      <w:proofErr w:type="spellEnd"/>
      <w:r>
        <w:t xml:space="preserve"> (based on the most recent WSP report), recruits are generated using a Larkin model; all other CUs use a Ricker model with </w:t>
      </w:r>
      <w:proofErr w:type="spellStart"/>
      <w:r>
        <w:t>autocorrelated</w:t>
      </w:r>
      <w:proofErr w:type="spellEnd"/>
      <w:r>
        <w:t xml:space="preserve"> process variance (correlation coefficient fixed at 0.2). To parameterize each CU’s stock-recruit relationship we used median </w:t>
      </w:r>
      <w:r w:rsidR="00602A75">
        <w:t>estimates</w:t>
      </w:r>
      <w:r>
        <w:t xml:space="preserve"> of </w:t>
      </w:r>
      <m:oMath>
        <m:r>
          <w:rPr>
            <w:rFonts w:ascii="Cambria Math" w:hAnsi="Cambria Math"/>
          </w:rPr>
          <m:t>α</m:t>
        </m:r>
      </m:oMath>
      <w:r>
        <w:t xml:space="preserve">, </w:t>
      </w:r>
      <m:oMath>
        <m:r>
          <w:rPr>
            <w:rFonts w:ascii="Cambria Math" w:hAnsi="Cambria Math"/>
          </w:rPr>
          <m:t>β</m:t>
        </m:r>
      </m:oMath>
      <w:r>
        <w:t xml:space="preserve">, and </w:t>
      </w:r>
      <m:oMath>
        <m:r>
          <w:rPr>
            <w:rFonts w:ascii="Cambria Math" w:hAnsi="Cambria Math"/>
          </w:rPr>
          <m:t>σ</m:t>
        </m:r>
      </m:oMath>
      <w:r>
        <w:rPr>
          <w:i/>
        </w:rPr>
        <w:t xml:space="preserve"> </w:t>
      </w:r>
      <w:r w:rsidR="00602A75">
        <w:t>from an independent analysis</w:t>
      </w:r>
      <w:r>
        <w:t>.</w:t>
      </w:r>
    </w:p>
    <w:p w14:paraId="75040544" w14:textId="77777777" w:rsidR="00CA3ABF" w:rsidRDefault="00FB7D24" w:rsidP="00FB7D24">
      <w:pPr>
        <w:tabs>
          <w:tab w:val="left" w:pos="851"/>
        </w:tabs>
      </w:pPr>
      <w:r>
        <w:tab/>
        <w:t xml:space="preserve">Within the model yearly recruitment deviations are drawn from a multivariate normal distribution with mean 0 and standard deviation described by the variance-covariance matrix </w:t>
      </w:r>
    </w:p>
    <w:p w14:paraId="0E1647BC" w14:textId="7AE5B845" w:rsidR="00CA3ABF" w:rsidRPr="004F6C38" w:rsidRDefault="00121341" w:rsidP="00CA3ABF">
      <w:pPr>
        <w:jc w:val="center"/>
      </w:pPr>
      <m:oMathPara>
        <m:oMath>
          <m:sSub>
            <m:sSubPr>
              <m:ctrlPr>
                <w:rPr>
                  <w:rFonts w:ascii="Cambria Math" w:hAnsi="Cambria Math"/>
                  <w:i/>
                </w:rPr>
              </m:ctrlPr>
            </m:sSubPr>
            <m:e>
              <m:r>
                <m:rPr>
                  <m:sty m:val="b"/>
                </m:rPr>
                <w:rPr>
                  <w:rFonts w:ascii="Cambria Math" w:hAnsi="Cambria Math" w:cs="Arial"/>
                  <w:color w:val="222222"/>
                  <w:sz w:val="21"/>
                  <w:szCs w:val="21"/>
                  <w:shd w:val="clear" w:color="auto" w:fill="FFFFFF"/>
                </w:rPr>
                <m:t>V</m:t>
              </m:r>
            </m:e>
            <m:sub>
              <m:r>
                <w:rPr>
                  <w:rFonts w:ascii="Cambria Math" w:hAnsi="Cambria Math"/>
                </w:rPr>
                <m:t>n</m:t>
              </m:r>
            </m:sub>
          </m:sSub>
          <m:r>
            <w:rPr>
              <w:rFonts w:ascii="Cambria Math" w:hAnsi="Cambria Math"/>
            </w:rPr>
            <m:t xml:space="preserve">= </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1</m:t>
                        </m:r>
                      </m:sub>
                    </m:sSub>
                  </m:e>
                  <m:e>
                    <m:r>
                      <w:rPr>
                        <w:rFonts w:ascii="Cambria Math" w:hAnsi="Cambria Math"/>
                      </w:rPr>
                      <m:t>⋯</m:t>
                    </m:r>
                  </m:e>
                  <m:e>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n</m:t>
                        </m:r>
                      </m:sub>
                    </m:sSub>
                    <m:r>
                      <w:rPr>
                        <w:rFonts w:ascii="Cambria Math" w:hAnsi="Cambria Math"/>
                      </w:rPr>
                      <m:t>ρ</m:t>
                    </m:r>
                  </m:e>
                </m:mr>
                <m:mr>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hAnsi="Cambria Math"/>
                            <w:i/>
                          </w:rPr>
                        </m:ctrlPr>
                      </m:sSubPr>
                      <m:e>
                        <m:r>
                          <w:rPr>
                            <w:rFonts w:ascii="Cambria Math" w:hAnsi="Cambria Math"/>
                          </w:rPr>
                          <m:t>σ</m:t>
                        </m:r>
                      </m:e>
                      <m:sub>
                        <m:r>
                          <w:rPr>
                            <w:rFonts w:ascii="Cambria Math" w:hAnsi="Cambria Math"/>
                          </w:rPr>
                          <m:t>n</m:t>
                        </m:r>
                      </m:sub>
                    </m:sSub>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ρ</m:t>
                    </m:r>
                  </m:e>
                  <m:e>
                    <m:r>
                      <w:rPr>
                        <w:rFonts w:ascii="Cambria Math" w:hAnsi="Cambria Math"/>
                      </w:rPr>
                      <m:t>⋯</m:t>
                    </m:r>
                  </m:e>
                  <m:e>
                    <m:sSub>
                      <m:sSubPr>
                        <m:ctrlPr>
                          <w:rPr>
                            <w:rFonts w:ascii="Cambria Math" w:hAnsi="Cambria Math"/>
                            <w:i/>
                          </w:rPr>
                        </m:ctrlPr>
                      </m:sSubPr>
                      <m:e>
                        <m:r>
                          <w:rPr>
                            <w:rFonts w:ascii="Cambria Math" w:hAnsi="Cambria Math"/>
                          </w:rPr>
                          <m:t>σ</m:t>
                        </m:r>
                      </m:e>
                      <m:sub>
                        <m:r>
                          <w:rPr>
                            <w:rFonts w:ascii="Cambria Math" w:hAnsi="Cambria Math"/>
                          </w:rPr>
                          <m:t>n</m:t>
                        </m:r>
                      </m:sub>
                    </m:sSub>
                    <m:sSub>
                      <m:sSubPr>
                        <m:ctrlPr>
                          <w:rPr>
                            <w:rFonts w:ascii="Cambria Math" w:hAnsi="Cambria Math"/>
                            <w:i/>
                          </w:rPr>
                        </m:ctrlPr>
                      </m:sSubPr>
                      <m:e>
                        <m:r>
                          <w:rPr>
                            <w:rFonts w:ascii="Cambria Math" w:hAnsi="Cambria Math"/>
                          </w:rPr>
                          <m:t>σ</m:t>
                        </m:r>
                      </m:e>
                      <m:sub>
                        <m:r>
                          <w:rPr>
                            <w:rFonts w:ascii="Cambria Math" w:hAnsi="Cambria Math"/>
                          </w:rPr>
                          <m:t>n</m:t>
                        </m:r>
                      </m:sub>
                    </m:sSub>
                  </m:e>
                </m:mr>
              </m:m>
            </m:e>
          </m:d>
        </m:oMath>
      </m:oMathPara>
    </w:p>
    <w:p w14:paraId="73EBB19A" w14:textId="2D275D96" w:rsidR="00CA3ABF" w:rsidRPr="00D652E5" w:rsidRDefault="00D652E5" w:rsidP="00CA3ABF">
      <w:pPr>
        <w:tabs>
          <w:tab w:val="left" w:pos="851"/>
        </w:tabs>
      </w:pPr>
      <w:r>
        <w:t>where</w:t>
      </w:r>
      <w:r w:rsidR="00CA3ABF">
        <w:t xml:space="preserve"> </w:t>
      </w:r>
      <m:oMath>
        <m:r>
          <w:rPr>
            <w:rFonts w:ascii="Cambria Math" w:hAnsi="Cambria Math"/>
          </w:rPr>
          <m:t>σ</m:t>
        </m:r>
      </m:oMath>
      <w:r w:rsidR="00CA3ABF">
        <w:t xml:space="preserve"> </w:t>
      </w:r>
      <w:r>
        <w:t xml:space="preserve">represents </w:t>
      </w:r>
      <w:r w:rsidR="00CA3ABF">
        <w:t xml:space="preserve">the variance </w:t>
      </w:r>
      <w:r>
        <w:t xml:space="preserve">parameters of </w:t>
      </w:r>
      <w:r>
        <w:rPr>
          <w:i/>
        </w:rPr>
        <w:t>n</w:t>
      </w:r>
      <w:r w:rsidR="00CA3ABF">
        <w:t xml:space="preserve"> CUs and </w:t>
      </w:r>
      <m:oMath>
        <m:r>
          <w:rPr>
            <w:rFonts w:ascii="Cambria Math" w:hAnsi="Cambria Math"/>
          </w:rPr>
          <m:t>ρ</m:t>
        </m:r>
      </m:oMath>
      <w:r w:rsidR="00CA3ABF">
        <w:t xml:space="preserve"> the correlation among variance parameters.</w:t>
      </w:r>
      <w:r w:rsidR="00926926">
        <w:t xml:space="preserve"> We generated a suite of operating models (Table 1) that varied </w:t>
      </w:r>
      <m:oMath>
        <m:r>
          <w:rPr>
            <w:rFonts w:ascii="Cambria Math" w:hAnsi="Cambria Math"/>
          </w:rPr>
          <m:t>σ</m:t>
        </m:r>
      </m:oMath>
      <w:r w:rsidR="00926926">
        <w:t xml:space="preserve"> </w:t>
      </w:r>
      <w:r w:rsidR="00D74015">
        <w:t>and/</w:t>
      </w:r>
      <w:r w:rsidR="00926926">
        <w:t xml:space="preserve">or </w:t>
      </w:r>
      <m:oMath>
        <m:r>
          <w:rPr>
            <w:rFonts w:ascii="Cambria Math" w:hAnsi="Cambria Math"/>
          </w:rPr>
          <m:t>ρ</m:t>
        </m:r>
      </m:oMath>
      <w:r w:rsidR="00926926">
        <w:t xml:space="preserve"> </w:t>
      </w:r>
      <w:r w:rsidR="00926926">
        <w:t xml:space="preserve">to assess the relative effect of different component variance </w:t>
      </w:r>
      <w:r w:rsidR="00D74015">
        <w:t>and</w:t>
      </w:r>
      <w:r w:rsidR="00926926">
        <w:t xml:space="preserve"> synchrony regimes on sockeye salmon population trajectories. </w:t>
      </w:r>
      <w:r w:rsidR="00602A75">
        <w:t>To manipulate</w:t>
      </w:r>
      <w:r w:rsidR="00926926">
        <w:t xml:space="preserve"> component variance,</w:t>
      </w:r>
      <w:r w:rsidR="00602A75">
        <w:t xml:space="preserve"> we adjusted</w:t>
      </w:r>
      <w:r w:rsidR="00926926">
        <w:t xml:space="preserve"> CU-specific estimates of </w:t>
      </w:r>
      <m:oMath>
        <m:r>
          <w:rPr>
            <w:rFonts w:ascii="Cambria Math" w:hAnsi="Cambria Math"/>
          </w:rPr>
          <m:t>σ</m:t>
        </m:r>
      </m:oMath>
      <w:r w:rsidR="00926926">
        <w:t xml:space="preserve"> </w:t>
      </w:r>
      <w:r w:rsidR="00602A75">
        <w:t>u</w:t>
      </w:r>
      <w:r w:rsidR="00926926">
        <w:t>pwards or downwards</w:t>
      </w:r>
      <w:r>
        <w:t xml:space="preserve"> with a fixed multiplier</w:t>
      </w:r>
      <w:r w:rsidR="00926926">
        <w:t>, while</w:t>
      </w:r>
      <w:r w:rsidR="00602A75">
        <w:t xml:space="preserve"> we created</w:t>
      </w:r>
      <w:r w:rsidR="00926926">
        <w:t xml:space="preserve"> synchrony treatments by setting </w:t>
      </w:r>
      <m:oMath>
        <m:r>
          <w:rPr>
            <w:rFonts w:ascii="Cambria Math" w:hAnsi="Cambria Math"/>
          </w:rPr>
          <m:t>ρ</m:t>
        </m:r>
      </m:oMath>
      <w:r w:rsidR="00926926">
        <w:t xml:space="preserve"> to specific values (Table 1).</w:t>
      </w:r>
      <w:r w:rsidR="00D74015">
        <w:t xml:space="preserve"> A third set of treatments</w:t>
      </w:r>
      <w:r>
        <w:t xml:space="preserve"> (‘Interaction’)</w:t>
      </w:r>
      <w:r w:rsidR="00D74015">
        <w:t xml:space="preserve"> represented scenarios where both parameters were adjusted simultaneously.</w:t>
      </w:r>
      <w:r>
        <w:t xml:space="preserve"> These parameter specifications resulted in appropriate shifts in CV</w:t>
      </w:r>
      <w:r>
        <w:rPr>
          <w:vertAlign w:val="subscript"/>
        </w:rPr>
        <w:t>C</w:t>
      </w:r>
      <w:r>
        <w:t xml:space="preserve"> and </w:t>
      </w:r>
      <m:oMath>
        <m:r>
          <w:rPr>
            <w:rFonts w:ascii="Cambria Math" w:hAnsi="Cambria Math"/>
          </w:rPr>
          <m:t>φ</m:t>
        </m:r>
      </m:oMath>
      <w:r>
        <w:t xml:space="preserve"> relative to observed trends (Fig. 2, 3).</w:t>
      </w:r>
    </w:p>
    <w:p w14:paraId="6C85395F" w14:textId="77777777" w:rsidR="00926926" w:rsidRDefault="00926926" w:rsidP="00CA3ABF">
      <w:pPr>
        <w:tabs>
          <w:tab w:val="left" w:pos="851"/>
        </w:tabs>
      </w:pPr>
    </w:p>
    <w:p w14:paraId="2E3C78F5" w14:textId="73ECAE3E" w:rsidR="00926926" w:rsidRDefault="00926926" w:rsidP="00CA3ABF">
      <w:pPr>
        <w:tabs>
          <w:tab w:val="left" w:pos="851"/>
        </w:tabs>
      </w:pPr>
      <w:commentRangeStart w:id="0"/>
      <w:r>
        <w:t xml:space="preserve">Table </w:t>
      </w:r>
      <w:commentRangeEnd w:id="0"/>
      <w:r>
        <w:rPr>
          <w:rStyle w:val="CommentReference"/>
        </w:rPr>
        <w:commentReference w:id="0"/>
      </w:r>
      <w:r>
        <w:t>1. Operating models used to explore the relative effect of component variance and synchrony regimes on population trajectories.</w:t>
      </w:r>
    </w:p>
    <w:tbl>
      <w:tblPr>
        <w:tblStyle w:val="TableGrid"/>
        <w:tblW w:w="0" w:type="auto"/>
        <w:tblLook w:val="04A0" w:firstRow="1" w:lastRow="0" w:firstColumn="1" w:lastColumn="0" w:noHBand="0" w:noVBand="1"/>
      </w:tblPr>
      <w:tblGrid>
        <w:gridCol w:w="2214"/>
        <w:gridCol w:w="2214"/>
        <w:gridCol w:w="2214"/>
        <w:gridCol w:w="2214"/>
      </w:tblGrid>
      <w:tr w:rsidR="00926926" w14:paraId="37EC264D" w14:textId="77777777" w:rsidTr="00926926">
        <w:tc>
          <w:tcPr>
            <w:tcW w:w="2214" w:type="dxa"/>
          </w:tcPr>
          <w:p w14:paraId="6300B8D0" w14:textId="5089B002" w:rsidR="00926926" w:rsidRDefault="00926926" w:rsidP="00D74015">
            <w:pPr>
              <w:tabs>
                <w:tab w:val="left" w:pos="851"/>
              </w:tabs>
              <w:jc w:val="center"/>
            </w:pPr>
            <w:r>
              <w:t>Scenario</w:t>
            </w:r>
          </w:p>
        </w:tc>
        <w:tc>
          <w:tcPr>
            <w:tcW w:w="2214" w:type="dxa"/>
          </w:tcPr>
          <w:p w14:paraId="2DBEFADA" w14:textId="19EC150F" w:rsidR="00926926" w:rsidRDefault="00926926" w:rsidP="00D74015">
            <w:pPr>
              <w:tabs>
                <w:tab w:val="left" w:pos="851"/>
              </w:tabs>
              <w:jc w:val="center"/>
            </w:pPr>
            <w:r>
              <w:t>Low</w:t>
            </w:r>
          </w:p>
        </w:tc>
        <w:tc>
          <w:tcPr>
            <w:tcW w:w="2214" w:type="dxa"/>
          </w:tcPr>
          <w:p w14:paraId="12AA3745" w14:textId="2E79B1F5" w:rsidR="00926926" w:rsidRDefault="00926926" w:rsidP="00D74015">
            <w:pPr>
              <w:tabs>
                <w:tab w:val="left" w:pos="851"/>
              </w:tabs>
              <w:jc w:val="center"/>
            </w:pPr>
            <w:r>
              <w:t>Moderate</w:t>
            </w:r>
          </w:p>
        </w:tc>
        <w:tc>
          <w:tcPr>
            <w:tcW w:w="2214" w:type="dxa"/>
          </w:tcPr>
          <w:p w14:paraId="2716FCC7" w14:textId="7950924A" w:rsidR="00926926" w:rsidRDefault="00926926" w:rsidP="00D74015">
            <w:pPr>
              <w:tabs>
                <w:tab w:val="left" w:pos="851"/>
              </w:tabs>
              <w:jc w:val="center"/>
            </w:pPr>
            <w:r>
              <w:t>High</w:t>
            </w:r>
          </w:p>
        </w:tc>
      </w:tr>
      <w:tr w:rsidR="00926926" w14:paraId="04951AA5" w14:textId="77777777" w:rsidTr="00926926">
        <w:tc>
          <w:tcPr>
            <w:tcW w:w="2214" w:type="dxa"/>
          </w:tcPr>
          <w:p w14:paraId="798620CD" w14:textId="31EDA7A8" w:rsidR="00926926" w:rsidRPr="00926926" w:rsidRDefault="00926926" w:rsidP="00CA3ABF">
            <w:pPr>
              <w:tabs>
                <w:tab w:val="left" w:pos="851"/>
              </w:tabs>
              <w:rPr>
                <w:vertAlign w:val="subscript"/>
              </w:rPr>
            </w:pPr>
            <w:r>
              <w:t>CV</w:t>
            </w:r>
            <w:r>
              <w:rPr>
                <w:vertAlign w:val="subscript"/>
              </w:rPr>
              <w:t>C</w:t>
            </w:r>
          </w:p>
        </w:tc>
        <w:tc>
          <w:tcPr>
            <w:tcW w:w="2214" w:type="dxa"/>
          </w:tcPr>
          <w:p w14:paraId="29A54798" w14:textId="50BE3592" w:rsidR="00926926" w:rsidRDefault="00926926" w:rsidP="00D74015">
            <w:pPr>
              <w:tabs>
                <w:tab w:val="left" w:pos="851"/>
              </w:tabs>
            </w:pPr>
            <m:oMathPara>
              <m:oMath>
                <m:r>
                  <w:rPr>
                    <w:rFonts w:ascii="Cambria Math" w:hAnsi="Cambria Math"/>
                  </w:rPr>
                  <m:t>0.5</m:t>
                </m:r>
                <m:r>
                  <w:rPr>
                    <w:rFonts w:ascii="Cambria Math" w:hAnsi="Cambria Math"/>
                  </w:rPr>
                  <m:t>σ</m:t>
                </m:r>
                <m:r>
                  <w:rPr>
                    <w:rFonts w:ascii="Cambria Math" w:hAnsi="Cambria Math"/>
                  </w:rPr>
                  <m:t xml:space="preserve">; </m:t>
                </m:r>
                <m:r>
                  <w:rPr>
                    <w:rFonts w:ascii="Cambria Math" w:hAnsi="Cambria Math"/>
                  </w:rPr>
                  <m:t>ρ</m:t>
                </m:r>
                <m:r>
                  <w:rPr>
                    <w:rFonts w:ascii="Cambria Math" w:hAnsi="Cambria Math"/>
                  </w:rPr>
                  <m:t>=</m:t>
                </m:r>
                <m:r>
                  <w:rPr>
                    <w:rFonts w:ascii="Cambria Math" w:hAnsi="Cambria Math"/>
                  </w:rPr>
                  <m:t>0</m:t>
                </m:r>
              </m:oMath>
            </m:oMathPara>
          </w:p>
        </w:tc>
        <w:tc>
          <w:tcPr>
            <w:tcW w:w="2214" w:type="dxa"/>
          </w:tcPr>
          <w:p w14:paraId="44B85415" w14:textId="7E8719E3" w:rsidR="00926926" w:rsidRDefault="00926926" w:rsidP="00D74015">
            <w:pPr>
              <w:tabs>
                <w:tab w:val="left" w:pos="851"/>
              </w:tabs>
            </w:pPr>
            <m:oMathPara>
              <m:oMath>
                <m:r>
                  <w:rPr>
                    <w:rFonts w:ascii="Cambria Math" w:hAnsi="Cambria Math"/>
                  </w:rPr>
                  <m:t>σ; ρ=</m:t>
                </m:r>
                <m:r>
                  <w:rPr>
                    <w:rFonts w:ascii="Cambria Math" w:hAnsi="Cambria Math"/>
                  </w:rPr>
                  <m:t>0</m:t>
                </m:r>
              </m:oMath>
            </m:oMathPara>
          </w:p>
        </w:tc>
        <w:tc>
          <w:tcPr>
            <w:tcW w:w="2214" w:type="dxa"/>
          </w:tcPr>
          <w:p w14:paraId="6E7E7681" w14:textId="3043DEEC" w:rsidR="00926926" w:rsidRDefault="00926926" w:rsidP="00D74015">
            <w:pPr>
              <w:tabs>
                <w:tab w:val="left" w:pos="851"/>
              </w:tabs>
            </w:pPr>
            <m:oMathPara>
              <m:oMath>
                <m:r>
                  <w:rPr>
                    <w:rFonts w:ascii="Cambria Math" w:hAnsi="Cambria Math"/>
                  </w:rPr>
                  <m:t>1.5</m:t>
                </m:r>
                <m:r>
                  <w:rPr>
                    <w:rFonts w:ascii="Cambria Math" w:hAnsi="Cambria Math"/>
                  </w:rPr>
                  <m:t>σ; ρ=</m:t>
                </m:r>
                <m:r>
                  <w:rPr>
                    <w:rFonts w:ascii="Cambria Math" w:hAnsi="Cambria Math"/>
                  </w:rPr>
                  <m:t>0</m:t>
                </m:r>
              </m:oMath>
            </m:oMathPara>
          </w:p>
        </w:tc>
      </w:tr>
      <w:tr w:rsidR="00926926" w14:paraId="07F25B9E" w14:textId="77777777" w:rsidTr="00926926">
        <w:tc>
          <w:tcPr>
            <w:tcW w:w="2214" w:type="dxa"/>
          </w:tcPr>
          <w:p w14:paraId="672BCF15" w14:textId="7452FCC3" w:rsidR="00926926" w:rsidRDefault="00926926" w:rsidP="00CA3ABF">
            <w:pPr>
              <w:tabs>
                <w:tab w:val="left" w:pos="851"/>
              </w:tabs>
            </w:pPr>
            <m:oMathPara>
              <m:oMath>
                <m:r>
                  <w:rPr>
                    <w:rFonts w:ascii="Cambria Math" w:hAnsi="Cambria Math"/>
                  </w:rPr>
                  <m:t>φ</m:t>
                </m:r>
              </m:oMath>
            </m:oMathPara>
          </w:p>
        </w:tc>
        <w:tc>
          <w:tcPr>
            <w:tcW w:w="2214" w:type="dxa"/>
          </w:tcPr>
          <w:p w14:paraId="16B439BD" w14:textId="564976A2" w:rsidR="00926926" w:rsidRDefault="00926926" w:rsidP="00CA3ABF">
            <w:pPr>
              <w:tabs>
                <w:tab w:val="left" w:pos="851"/>
              </w:tabs>
            </w:pPr>
            <m:oMathPara>
              <m:oMath>
                <m:r>
                  <w:rPr>
                    <w:rFonts w:ascii="Cambria Math" w:hAnsi="Cambria Math"/>
                  </w:rPr>
                  <m:t>σ; ρ=0.05</m:t>
                </m:r>
              </m:oMath>
            </m:oMathPara>
          </w:p>
        </w:tc>
        <w:tc>
          <w:tcPr>
            <w:tcW w:w="2214" w:type="dxa"/>
          </w:tcPr>
          <w:p w14:paraId="1B17CAB9" w14:textId="48731C39" w:rsidR="00926926" w:rsidRDefault="00926926" w:rsidP="00CA3ABF">
            <w:pPr>
              <w:tabs>
                <w:tab w:val="left" w:pos="851"/>
              </w:tabs>
            </w:pPr>
            <m:oMathPara>
              <m:oMath>
                <m:r>
                  <w:rPr>
                    <w:rFonts w:ascii="Cambria Math" w:hAnsi="Cambria Math"/>
                  </w:rPr>
                  <m:t>σ; ρ=0</m:t>
                </m:r>
                <m:r>
                  <w:rPr>
                    <w:rFonts w:ascii="Cambria Math" w:hAnsi="Cambria Math"/>
                  </w:rPr>
                  <m:t>.5</m:t>
                </m:r>
              </m:oMath>
            </m:oMathPara>
          </w:p>
        </w:tc>
        <w:tc>
          <w:tcPr>
            <w:tcW w:w="2214" w:type="dxa"/>
          </w:tcPr>
          <w:p w14:paraId="7AC8E47C" w14:textId="04217532" w:rsidR="00926926" w:rsidRDefault="00926926" w:rsidP="00CA3ABF">
            <w:pPr>
              <w:tabs>
                <w:tab w:val="left" w:pos="851"/>
              </w:tabs>
            </w:pPr>
            <m:oMathPara>
              <m:oMath>
                <m:r>
                  <w:rPr>
                    <w:rFonts w:ascii="Cambria Math" w:hAnsi="Cambria Math"/>
                  </w:rPr>
                  <m:t>σ; ρ=0.</m:t>
                </m:r>
                <m:r>
                  <w:rPr>
                    <w:rFonts w:ascii="Cambria Math" w:hAnsi="Cambria Math"/>
                  </w:rPr>
                  <m:t>7</m:t>
                </m:r>
                <m:r>
                  <w:rPr>
                    <w:rFonts w:ascii="Cambria Math" w:hAnsi="Cambria Math"/>
                  </w:rPr>
                  <m:t>5</m:t>
                </m:r>
              </m:oMath>
            </m:oMathPara>
          </w:p>
        </w:tc>
      </w:tr>
      <w:tr w:rsidR="00926926" w14:paraId="15828B86" w14:textId="77777777" w:rsidTr="00926926">
        <w:tc>
          <w:tcPr>
            <w:tcW w:w="2214" w:type="dxa"/>
          </w:tcPr>
          <w:p w14:paraId="77B16588" w14:textId="5DA8F942" w:rsidR="00926926" w:rsidRPr="00926926" w:rsidRDefault="00D652E5" w:rsidP="00CA3ABF">
            <w:pPr>
              <w:tabs>
                <w:tab w:val="left" w:pos="851"/>
              </w:tabs>
              <w:rPr>
                <w:vertAlign w:val="subscript"/>
              </w:rPr>
            </w:pPr>
            <w:r>
              <w:t>Interaction</w:t>
            </w:r>
          </w:p>
        </w:tc>
        <w:tc>
          <w:tcPr>
            <w:tcW w:w="2214" w:type="dxa"/>
          </w:tcPr>
          <w:p w14:paraId="6B9107E4" w14:textId="236B0427" w:rsidR="00926926" w:rsidRDefault="00926926" w:rsidP="00CA3ABF">
            <w:pPr>
              <w:tabs>
                <w:tab w:val="left" w:pos="851"/>
              </w:tabs>
            </w:pPr>
            <m:oMathPara>
              <m:oMath>
                <m:r>
                  <w:rPr>
                    <w:rFonts w:ascii="Cambria Math" w:hAnsi="Cambria Math"/>
                  </w:rPr>
                  <m:t>0.5</m:t>
                </m:r>
                <m:r>
                  <w:rPr>
                    <w:rFonts w:ascii="Cambria Math" w:hAnsi="Cambria Math"/>
                  </w:rPr>
                  <m:t>σ</m:t>
                </m:r>
                <m:r>
                  <w:rPr>
                    <w:rFonts w:ascii="Cambria Math" w:hAnsi="Cambria Math"/>
                  </w:rPr>
                  <m:t xml:space="preserve">; </m:t>
                </m:r>
                <m:r>
                  <w:rPr>
                    <w:rFonts w:ascii="Cambria Math" w:hAnsi="Cambria Math"/>
                  </w:rPr>
                  <m:t>ρ</m:t>
                </m:r>
                <m:r>
                  <w:rPr>
                    <w:rFonts w:ascii="Cambria Math" w:hAnsi="Cambria Math"/>
                  </w:rPr>
                  <m:t>=0.05</m:t>
                </m:r>
              </m:oMath>
            </m:oMathPara>
          </w:p>
        </w:tc>
        <w:tc>
          <w:tcPr>
            <w:tcW w:w="2214" w:type="dxa"/>
          </w:tcPr>
          <w:p w14:paraId="35E8AED7" w14:textId="4ACBEEDA" w:rsidR="00926926" w:rsidRDefault="00926926" w:rsidP="00CA3ABF">
            <w:pPr>
              <w:tabs>
                <w:tab w:val="left" w:pos="851"/>
              </w:tabs>
            </w:pPr>
            <m:oMathPara>
              <m:oMath>
                <m:r>
                  <w:rPr>
                    <w:rFonts w:ascii="Cambria Math" w:hAnsi="Cambria Math"/>
                  </w:rPr>
                  <m:t>σ; ρ=0</m:t>
                </m:r>
                <m:r>
                  <w:rPr>
                    <w:rFonts w:ascii="Cambria Math" w:hAnsi="Cambria Math"/>
                  </w:rPr>
                  <m:t>.</m:t>
                </m:r>
                <m:r>
                  <w:rPr>
                    <w:rFonts w:ascii="Cambria Math" w:hAnsi="Cambria Math"/>
                  </w:rPr>
                  <m:t>5</m:t>
                </m:r>
              </m:oMath>
            </m:oMathPara>
          </w:p>
        </w:tc>
        <w:tc>
          <w:tcPr>
            <w:tcW w:w="2214" w:type="dxa"/>
          </w:tcPr>
          <w:p w14:paraId="3A882F12" w14:textId="0A6F91B4" w:rsidR="00926926" w:rsidRDefault="00926926" w:rsidP="00CA3ABF">
            <w:pPr>
              <w:tabs>
                <w:tab w:val="left" w:pos="851"/>
              </w:tabs>
            </w:pPr>
            <m:oMathPara>
              <m:oMath>
                <m:r>
                  <w:rPr>
                    <w:rFonts w:ascii="Cambria Math" w:hAnsi="Cambria Math"/>
                  </w:rPr>
                  <m:t>1.5</m:t>
                </m:r>
                <m:r>
                  <w:rPr>
                    <w:rFonts w:ascii="Cambria Math" w:hAnsi="Cambria Math"/>
                  </w:rPr>
                  <m:t>σ; ρ=0</m:t>
                </m:r>
                <m:r>
                  <w:rPr>
                    <w:rFonts w:ascii="Cambria Math" w:hAnsi="Cambria Math"/>
                  </w:rPr>
                  <m:t>.7</m:t>
                </m:r>
                <m:r>
                  <w:rPr>
                    <w:rFonts w:ascii="Cambria Math" w:hAnsi="Cambria Math"/>
                  </w:rPr>
                  <m:t>5</m:t>
                </m:r>
              </m:oMath>
            </m:oMathPara>
          </w:p>
        </w:tc>
      </w:tr>
    </w:tbl>
    <w:p w14:paraId="256542FC" w14:textId="77777777" w:rsidR="00FE2E7F" w:rsidRDefault="00FE2E7F" w:rsidP="002C7CB7">
      <w:pPr>
        <w:tabs>
          <w:tab w:val="left" w:pos="5400"/>
        </w:tabs>
      </w:pPr>
    </w:p>
    <w:p w14:paraId="503598C5" w14:textId="007AE003" w:rsidR="002C7CB7" w:rsidRDefault="00BE120F" w:rsidP="002C7CB7">
      <w:pPr>
        <w:tabs>
          <w:tab w:val="left" w:pos="5400"/>
        </w:tabs>
        <w:jc w:val="center"/>
      </w:pPr>
      <w:r>
        <w:rPr>
          <w:noProof/>
          <w:lang w:val="en-CA" w:eastAsia="en-CA"/>
        </w:rPr>
        <w:lastRenderedPageBreak/>
        <w:drawing>
          <wp:inline distT="0" distB="0" distL="0" distR="0" wp14:anchorId="202D8A45" wp14:editId="5558FA7A">
            <wp:extent cx="3199413" cy="2743200"/>
            <wp:effectExtent l="0" t="0" r="1270" b="0"/>
            <wp:docPr id="10" name="Picture 10" descr="Macintosh HD:Users:cam:github:salmon-sim:outputs:miscSensitivity:synchTests:focalTimeSeries (dragged).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intosh HD:Users:cam:github:salmon-sim:outputs:miscSensitivity:synchTests:focalTimeSeries (dragged).pd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99412" cy="2743199"/>
                    </a:xfrm>
                    <a:prstGeom prst="rect">
                      <a:avLst/>
                    </a:prstGeom>
                    <a:noFill/>
                    <a:ln>
                      <a:noFill/>
                    </a:ln>
                  </pic:spPr>
                </pic:pic>
              </a:graphicData>
            </a:graphic>
          </wp:inline>
        </w:drawing>
      </w:r>
    </w:p>
    <w:p w14:paraId="39A782C5" w14:textId="4E852821" w:rsidR="002C7CB7" w:rsidRDefault="002C7CB7" w:rsidP="002C7CB7">
      <w:pPr>
        <w:tabs>
          <w:tab w:val="left" w:pos="5400"/>
        </w:tabs>
      </w:pPr>
      <w:r>
        <w:t xml:space="preserve">Figure 2. Trends in mean component CV of productivity simulated with low, reference or high values of </w:t>
      </w:r>
      <m:oMath>
        <m:r>
          <w:rPr>
            <w:rFonts w:ascii="Cambria Math" w:hAnsi="Cambria Math"/>
          </w:rPr>
          <m:t>σ</m:t>
        </m:r>
      </m:oMath>
      <w:r>
        <w:t>. Black line represents observed trend and vertical dotted line the beginning of the simulation period. Colored lines represent median values across 1000 trials.</w:t>
      </w:r>
    </w:p>
    <w:p w14:paraId="6A508CBE" w14:textId="77777777" w:rsidR="002C7CB7" w:rsidRDefault="002C7CB7" w:rsidP="002C7CB7">
      <w:pPr>
        <w:tabs>
          <w:tab w:val="left" w:pos="5400"/>
        </w:tabs>
      </w:pPr>
    </w:p>
    <w:p w14:paraId="2F05B1B2" w14:textId="3332A9C4" w:rsidR="004B1461" w:rsidRDefault="00BE120F" w:rsidP="002C7CB7">
      <w:pPr>
        <w:tabs>
          <w:tab w:val="left" w:pos="5400"/>
        </w:tabs>
        <w:jc w:val="center"/>
      </w:pPr>
      <w:r>
        <w:rPr>
          <w:noProof/>
          <w:lang w:val="en-CA" w:eastAsia="en-CA"/>
        </w:rPr>
        <w:drawing>
          <wp:inline distT="0" distB="0" distL="0" distR="0" wp14:anchorId="367A43DA" wp14:editId="32A29543">
            <wp:extent cx="3151163" cy="2701830"/>
            <wp:effectExtent l="0" t="0" r="0" b="3810"/>
            <wp:docPr id="8" name="Picture 8" descr="Macintosh HD:Users:cam:github:salmon-sim:outputs:miscSensitivity:synchTests:focalTimeSeries.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cam:github:salmon-sim:outputs:miscSensitivity:synchTests:focalTimeSeries.pd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52971" cy="2703380"/>
                    </a:xfrm>
                    <a:prstGeom prst="rect">
                      <a:avLst/>
                    </a:prstGeom>
                    <a:noFill/>
                    <a:ln>
                      <a:noFill/>
                    </a:ln>
                  </pic:spPr>
                </pic:pic>
              </a:graphicData>
            </a:graphic>
          </wp:inline>
        </w:drawing>
      </w:r>
    </w:p>
    <w:p w14:paraId="35FA1F4B" w14:textId="067924B2" w:rsidR="002C7CB7" w:rsidRDefault="002C7CB7" w:rsidP="002C7CB7">
      <w:pPr>
        <w:tabs>
          <w:tab w:val="left" w:pos="5400"/>
        </w:tabs>
      </w:pPr>
      <w:r>
        <w:t xml:space="preserve">Figure 3. Trends in synchrony of productivity simulated with low, reference or high values of </w:t>
      </w:r>
      <m:oMath>
        <m:r>
          <w:rPr>
            <w:rFonts w:ascii="Cambria Math" w:hAnsi="Cambria Math"/>
          </w:rPr>
          <m:t>ρ</m:t>
        </m:r>
      </m:oMath>
      <w:r>
        <w:t>. Black line represents observed trend and vertical dotted line the beginning of the simulation period. Colored lines represent median values across 1000 trials.</w:t>
      </w:r>
    </w:p>
    <w:p w14:paraId="57971D70" w14:textId="33912F3D" w:rsidR="001C3383" w:rsidRDefault="00D652E5" w:rsidP="00D652E5">
      <w:pPr>
        <w:tabs>
          <w:tab w:val="left" w:pos="851"/>
        </w:tabs>
      </w:pPr>
      <w:r>
        <w:tab/>
      </w:r>
      <w:r w:rsidR="00741857">
        <w:t>To adequately represent the framework used to manage Fraser River sockeye salmon w</w:t>
      </w:r>
      <w:commentRangeStart w:id="1"/>
      <w:r w:rsidR="00741857">
        <w:t>e modeled four sequential sources of mortality</w:t>
      </w:r>
      <w:commentRangeEnd w:id="1"/>
      <w:r w:rsidR="00741857">
        <w:rPr>
          <w:rStyle w:val="CommentReference"/>
        </w:rPr>
        <w:commentReference w:id="1"/>
      </w:r>
      <w:r w:rsidR="00741857">
        <w:t xml:space="preserve">: American fisheries, Canadian mixed-stock fisheries, </w:t>
      </w:r>
      <w:proofErr w:type="spellStart"/>
      <w:r w:rsidR="00741857">
        <w:t>en</w:t>
      </w:r>
      <w:proofErr w:type="spellEnd"/>
      <w:r w:rsidR="00741857">
        <w:t xml:space="preserve"> route mortality during freshwater migration, and terminal Canadian single-stock fisheries. Total allowable catches in both American and Canadian </w:t>
      </w:r>
      <w:r w:rsidR="00741857">
        <w:lastRenderedPageBreak/>
        <w:t xml:space="preserve">fisheries were calculated using a harvest control rule (HCR) that replicates the Total Allowable Mortality framework currently in use. </w:t>
      </w:r>
      <w:r w:rsidR="001C3383">
        <w:t xml:space="preserve">In reality, </w:t>
      </w:r>
      <w:r w:rsidR="00741857">
        <w:t>this HCR uses in-season estimates of recruitment derived from test fisheries to adjust target exploitation rates and meet escapement goals specific to each management unit (MU). If in-season recruitment estimates exceed escapement goals, the HCR switches to a fixed maximum target mortality rate. Escapement goals vary among years due to the cycles present in several CUs and are typically adjusted downwards to account for mortality during upstream migration.</w:t>
      </w:r>
      <w:r w:rsidR="001C3383">
        <w:t xml:space="preserve"> </w:t>
      </w:r>
      <w:commentRangeStart w:id="2"/>
      <w:r w:rsidR="001C3383">
        <w:t>This process was replicated in the simulation by generating a forecasted estimate of abundance using true return abundance plus normally distributed error</w:t>
      </w:r>
      <w:commentRangeEnd w:id="2"/>
      <w:r w:rsidR="001C3383">
        <w:rPr>
          <w:rStyle w:val="CommentReference"/>
        </w:rPr>
        <w:commentReference w:id="2"/>
      </w:r>
      <w:r w:rsidR="001C3383">
        <w:t>.</w:t>
      </w:r>
      <w:r w:rsidR="00741857">
        <w:t xml:space="preserve"> </w:t>
      </w:r>
      <w:r w:rsidR="001C3383">
        <w:t xml:space="preserve">We introduced additional </w:t>
      </w:r>
      <w:proofErr w:type="spellStart"/>
      <w:r w:rsidR="001C3383">
        <w:t>interannual</w:t>
      </w:r>
      <w:proofErr w:type="spellEnd"/>
      <w:r w:rsidR="001C3383">
        <w:t xml:space="preserve"> stochasticity into the model via variation in age at maturity, </w:t>
      </w:r>
      <w:proofErr w:type="spellStart"/>
      <w:r w:rsidR="001C3383">
        <w:t>en</w:t>
      </w:r>
      <w:proofErr w:type="spellEnd"/>
      <w:r w:rsidR="001C3383">
        <w:t xml:space="preserve"> route mortality, and outcome uncertainty.</w:t>
      </w:r>
    </w:p>
    <w:p w14:paraId="6C75C30D" w14:textId="7CC8B83D" w:rsidR="001C3383" w:rsidRPr="001C3383" w:rsidRDefault="001C3383" w:rsidP="00D652E5">
      <w:pPr>
        <w:tabs>
          <w:tab w:val="left" w:pos="851"/>
        </w:tabs>
        <w:rPr>
          <w:i/>
        </w:rPr>
      </w:pPr>
      <w:commentRangeStart w:id="3"/>
      <w:r>
        <w:rPr>
          <w:i/>
        </w:rPr>
        <w:t>Performance measures</w:t>
      </w:r>
      <w:commentRangeEnd w:id="3"/>
      <w:r w:rsidR="005C1F91">
        <w:rPr>
          <w:rStyle w:val="CommentReference"/>
        </w:rPr>
        <w:commentReference w:id="3"/>
      </w:r>
    </w:p>
    <w:p w14:paraId="1CD8BCD8" w14:textId="690CC2D6" w:rsidR="00D652E5" w:rsidRDefault="001C3383" w:rsidP="00D652E5">
      <w:pPr>
        <w:tabs>
          <w:tab w:val="left" w:pos="851"/>
        </w:tabs>
      </w:pPr>
      <w:r>
        <w:tab/>
      </w:r>
      <w:r w:rsidR="00D652E5">
        <w:t xml:space="preserve">We evaluated the relative impact of different operating models on population trajectories using a </w:t>
      </w:r>
      <w:r w:rsidR="00121341">
        <w:t>suite</w:t>
      </w:r>
      <w:r w:rsidR="00D652E5">
        <w:t xml:space="preserve"> of aggregate performance </w:t>
      </w:r>
      <w:r w:rsidR="00741857">
        <w:t>measures</w:t>
      </w:r>
      <w:r w:rsidR="00D652E5">
        <w:t xml:space="preserve"> (PMs; Table 2). </w:t>
      </w:r>
      <w:r w:rsidR="00741857">
        <w:t>The</w:t>
      </w:r>
      <w:r w:rsidR="00D652E5">
        <w:t xml:space="preserve"> selected PMs </w:t>
      </w:r>
      <w:r w:rsidR="00741857">
        <w:t xml:space="preserve">reflect a mixture of long-term conservation and socio-economic goals using trends in raw abundance, as well as benchmark based targets. </w:t>
      </w:r>
      <w:r w:rsidR="00D652E5">
        <w:t xml:space="preserve"> </w:t>
      </w:r>
    </w:p>
    <w:p w14:paraId="769BFF6E" w14:textId="2E1203AA" w:rsidR="00741857" w:rsidRDefault="00741857" w:rsidP="00D652E5">
      <w:pPr>
        <w:tabs>
          <w:tab w:val="left" w:pos="851"/>
        </w:tabs>
      </w:pPr>
      <w:r>
        <w:t>Table 2. Definition of focal performance measures.</w:t>
      </w:r>
    </w:p>
    <w:tbl>
      <w:tblPr>
        <w:tblStyle w:val="TableGrid"/>
        <w:tblW w:w="0" w:type="auto"/>
        <w:tblLook w:val="04A0" w:firstRow="1" w:lastRow="0" w:firstColumn="1" w:lastColumn="0" w:noHBand="0" w:noVBand="1"/>
      </w:tblPr>
      <w:tblGrid>
        <w:gridCol w:w="2235"/>
        <w:gridCol w:w="5670"/>
      </w:tblGrid>
      <w:tr w:rsidR="00741857" w14:paraId="3C614FCE" w14:textId="77777777" w:rsidTr="00B64E4A">
        <w:tc>
          <w:tcPr>
            <w:tcW w:w="2235" w:type="dxa"/>
          </w:tcPr>
          <w:p w14:paraId="1B00D5AF" w14:textId="593386A8" w:rsidR="00741857" w:rsidRPr="00741857" w:rsidRDefault="00741857" w:rsidP="00D652E5">
            <w:pPr>
              <w:tabs>
                <w:tab w:val="left" w:pos="851"/>
              </w:tabs>
              <w:rPr>
                <w:b/>
              </w:rPr>
            </w:pPr>
            <w:r w:rsidRPr="00741857">
              <w:rPr>
                <w:b/>
              </w:rPr>
              <w:t>PM</w:t>
            </w:r>
          </w:p>
        </w:tc>
        <w:tc>
          <w:tcPr>
            <w:tcW w:w="5670" w:type="dxa"/>
          </w:tcPr>
          <w:p w14:paraId="7C574E3C" w14:textId="2DE7F6C9" w:rsidR="00741857" w:rsidRPr="00741857" w:rsidRDefault="00741857" w:rsidP="00D652E5">
            <w:pPr>
              <w:tabs>
                <w:tab w:val="left" w:pos="851"/>
              </w:tabs>
              <w:rPr>
                <w:b/>
              </w:rPr>
            </w:pPr>
            <w:r w:rsidRPr="00741857">
              <w:rPr>
                <w:b/>
              </w:rPr>
              <w:t>Definition</w:t>
            </w:r>
          </w:p>
        </w:tc>
      </w:tr>
      <w:tr w:rsidR="00741857" w14:paraId="24B3163D" w14:textId="77777777" w:rsidTr="00B64E4A">
        <w:tc>
          <w:tcPr>
            <w:tcW w:w="2235" w:type="dxa"/>
          </w:tcPr>
          <w:p w14:paraId="7C3F5CFC" w14:textId="36F3378A" w:rsidR="00741857" w:rsidRDefault="00741857" w:rsidP="00D652E5">
            <w:pPr>
              <w:tabs>
                <w:tab w:val="left" w:pos="851"/>
              </w:tabs>
            </w:pPr>
            <w:r>
              <w:t>Spawner abundance</w:t>
            </w:r>
          </w:p>
        </w:tc>
        <w:tc>
          <w:tcPr>
            <w:tcW w:w="5670" w:type="dxa"/>
          </w:tcPr>
          <w:p w14:paraId="7F48BE22" w14:textId="3DB6A167" w:rsidR="00741857" w:rsidRDefault="00741857" w:rsidP="00D652E5">
            <w:pPr>
              <w:tabs>
                <w:tab w:val="left" w:pos="851"/>
              </w:tabs>
            </w:pPr>
            <w:r>
              <w:t xml:space="preserve">Median number of </w:t>
            </w:r>
            <w:proofErr w:type="spellStart"/>
            <w:r>
              <w:t>spawners</w:t>
            </w:r>
            <w:proofErr w:type="spellEnd"/>
            <w:r>
              <w:t>, across all CUs, per year over simulation period</w:t>
            </w:r>
          </w:p>
        </w:tc>
      </w:tr>
      <w:tr w:rsidR="00741857" w14:paraId="30DE00AC" w14:textId="77777777" w:rsidTr="00B64E4A">
        <w:tc>
          <w:tcPr>
            <w:tcW w:w="2235" w:type="dxa"/>
          </w:tcPr>
          <w:p w14:paraId="0568ED9E" w14:textId="36AD6A81" w:rsidR="00741857" w:rsidRDefault="00741857" w:rsidP="00D652E5">
            <w:pPr>
              <w:tabs>
                <w:tab w:val="left" w:pos="851"/>
              </w:tabs>
            </w:pPr>
            <w:commentRangeStart w:id="4"/>
            <w:r>
              <w:t>Recruit abundance</w:t>
            </w:r>
            <w:commentRangeEnd w:id="4"/>
            <w:r>
              <w:rPr>
                <w:rStyle w:val="CommentReference"/>
              </w:rPr>
              <w:commentReference w:id="4"/>
            </w:r>
          </w:p>
        </w:tc>
        <w:tc>
          <w:tcPr>
            <w:tcW w:w="5670" w:type="dxa"/>
          </w:tcPr>
          <w:p w14:paraId="667EFDDD" w14:textId="225ABD7E" w:rsidR="00741857" w:rsidRDefault="00741857" w:rsidP="00741857">
            <w:pPr>
              <w:tabs>
                <w:tab w:val="left" w:pos="851"/>
              </w:tabs>
            </w:pPr>
            <w:r>
              <w:t xml:space="preserve">Median number of </w:t>
            </w:r>
            <w:r>
              <w:t>recruits, across all CUs,</w:t>
            </w:r>
            <w:r>
              <w:t xml:space="preserve"> per year over simulation period</w:t>
            </w:r>
          </w:p>
        </w:tc>
      </w:tr>
      <w:tr w:rsidR="00741857" w14:paraId="658F283E" w14:textId="77777777" w:rsidTr="00B64E4A">
        <w:tc>
          <w:tcPr>
            <w:tcW w:w="2235" w:type="dxa"/>
          </w:tcPr>
          <w:p w14:paraId="4FCC83DA" w14:textId="1366C6D2" w:rsidR="00741857" w:rsidRDefault="00741857" w:rsidP="00D652E5">
            <w:pPr>
              <w:tabs>
                <w:tab w:val="left" w:pos="851"/>
              </w:tabs>
            </w:pPr>
            <w:r>
              <w:t>Catch</w:t>
            </w:r>
          </w:p>
        </w:tc>
        <w:tc>
          <w:tcPr>
            <w:tcW w:w="5670" w:type="dxa"/>
          </w:tcPr>
          <w:p w14:paraId="1C438698" w14:textId="06847DDF" w:rsidR="00741857" w:rsidRDefault="00741857" w:rsidP="00B64E4A">
            <w:pPr>
              <w:tabs>
                <w:tab w:val="left" w:pos="851"/>
              </w:tabs>
            </w:pPr>
            <w:r>
              <w:t xml:space="preserve">Median </w:t>
            </w:r>
            <w:r w:rsidR="00B64E4A">
              <w:t xml:space="preserve">total </w:t>
            </w:r>
            <w:r>
              <w:t xml:space="preserve">catch </w:t>
            </w:r>
            <w:r w:rsidR="00B64E4A">
              <w:t xml:space="preserve">(i.e. summed across all </w:t>
            </w:r>
            <w:r>
              <w:t>fisheries</w:t>
            </w:r>
            <w:r w:rsidR="00B64E4A">
              <w:t>), per year over simulation period</w:t>
            </w:r>
          </w:p>
        </w:tc>
      </w:tr>
      <w:tr w:rsidR="00741857" w14:paraId="1B0F19CF" w14:textId="77777777" w:rsidTr="00B64E4A">
        <w:tc>
          <w:tcPr>
            <w:tcW w:w="2235" w:type="dxa"/>
          </w:tcPr>
          <w:p w14:paraId="4007C71D" w14:textId="234EB5F1" w:rsidR="00741857" w:rsidRDefault="00B64E4A" w:rsidP="00B64E4A">
            <w:pPr>
              <w:tabs>
                <w:tab w:val="left" w:pos="851"/>
              </w:tabs>
            </w:pPr>
            <w:commentRangeStart w:id="5"/>
            <w:r>
              <w:t>CUs above lower BM</w:t>
            </w:r>
            <w:commentRangeEnd w:id="5"/>
            <w:r>
              <w:rPr>
                <w:rStyle w:val="CommentReference"/>
              </w:rPr>
              <w:commentReference w:id="5"/>
            </w:r>
          </w:p>
        </w:tc>
        <w:tc>
          <w:tcPr>
            <w:tcW w:w="5670" w:type="dxa"/>
          </w:tcPr>
          <w:p w14:paraId="78B035DB" w14:textId="0475F41D" w:rsidR="00741857" w:rsidRPr="00B64E4A" w:rsidRDefault="00B64E4A" w:rsidP="00B64E4A">
            <w:pPr>
              <w:tabs>
                <w:tab w:val="left" w:pos="851"/>
              </w:tabs>
            </w:pPr>
            <w:r>
              <w:t xml:space="preserve">Mean proportion of CUs above </w:t>
            </w:r>
            <w:proofErr w:type="spellStart"/>
            <w:r>
              <w:t>S</w:t>
            </w:r>
            <w:r>
              <w:rPr>
                <w:vertAlign w:val="subscript"/>
              </w:rPr>
              <w:t>gen</w:t>
            </w:r>
            <w:proofErr w:type="spellEnd"/>
            <w:r>
              <w:t xml:space="preserve"> every year during last generation of simulation period</w:t>
            </w:r>
          </w:p>
        </w:tc>
      </w:tr>
      <w:tr w:rsidR="00B64E4A" w14:paraId="3C6A79CA" w14:textId="77777777" w:rsidTr="00B64E4A">
        <w:tc>
          <w:tcPr>
            <w:tcW w:w="2235" w:type="dxa"/>
          </w:tcPr>
          <w:p w14:paraId="2D5DC86E" w14:textId="059B9B6C" w:rsidR="00B64E4A" w:rsidRDefault="00B64E4A" w:rsidP="00B64E4A">
            <w:pPr>
              <w:tabs>
                <w:tab w:val="left" w:pos="851"/>
              </w:tabs>
            </w:pPr>
            <w:r>
              <w:t>CUs above upper BM</w:t>
            </w:r>
          </w:p>
        </w:tc>
        <w:tc>
          <w:tcPr>
            <w:tcW w:w="5670" w:type="dxa"/>
          </w:tcPr>
          <w:p w14:paraId="6325CE5C" w14:textId="74E2003B" w:rsidR="00B64E4A" w:rsidRDefault="00B64E4A" w:rsidP="00B64E4A">
            <w:pPr>
              <w:tabs>
                <w:tab w:val="left" w:pos="851"/>
              </w:tabs>
            </w:pPr>
            <w:r>
              <w:t>Mean proportion of CUs above S</w:t>
            </w:r>
            <w:r>
              <w:rPr>
                <w:vertAlign w:val="subscript"/>
              </w:rPr>
              <w:t>MSY</w:t>
            </w:r>
            <w:r>
              <w:t xml:space="preserve"> every year during last generation of simulation period</w:t>
            </w:r>
          </w:p>
        </w:tc>
      </w:tr>
      <w:tr w:rsidR="00B64E4A" w14:paraId="7ED5553A" w14:textId="77777777" w:rsidTr="00B64E4A">
        <w:tc>
          <w:tcPr>
            <w:tcW w:w="2235" w:type="dxa"/>
          </w:tcPr>
          <w:p w14:paraId="5BCF071C" w14:textId="186E57A5" w:rsidR="00B64E4A" w:rsidRDefault="00847BD3" w:rsidP="00D652E5">
            <w:pPr>
              <w:tabs>
                <w:tab w:val="left" w:pos="851"/>
              </w:tabs>
            </w:pPr>
            <w:commentRangeStart w:id="6"/>
            <w:r>
              <w:t>Years all fisheries open</w:t>
            </w:r>
            <w:commentRangeEnd w:id="6"/>
            <w:r>
              <w:rPr>
                <w:rStyle w:val="CommentReference"/>
              </w:rPr>
              <w:commentReference w:id="6"/>
            </w:r>
          </w:p>
        </w:tc>
        <w:tc>
          <w:tcPr>
            <w:tcW w:w="5670" w:type="dxa"/>
          </w:tcPr>
          <w:p w14:paraId="1EBE1FC4" w14:textId="0CE84909" w:rsidR="00B64E4A" w:rsidRDefault="00847BD3" w:rsidP="00D652E5">
            <w:pPr>
              <w:tabs>
                <w:tab w:val="left" w:pos="851"/>
              </w:tabs>
            </w:pPr>
            <w:r>
              <w:t>Proportion of years all MUs are above their lower fishery reference point during the simulation period</w:t>
            </w:r>
          </w:p>
        </w:tc>
      </w:tr>
      <w:tr w:rsidR="00847BD3" w14:paraId="07ACF9B2" w14:textId="77777777" w:rsidTr="00B64E4A">
        <w:tc>
          <w:tcPr>
            <w:tcW w:w="2235" w:type="dxa"/>
          </w:tcPr>
          <w:p w14:paraId="19558B14" w14:textId="52A66A58" w:rsidR="00847BD3" w:rsidRDefault="00847BD3" w:rsidP="00D652E5">
            <w:pPr>
              <w:tabs>
                <w:tab w:val="left" w:pos="851"/>
              </w:tabs>
            </w:pPr>
            <w:r>
              <w:t>CUs extant</w:t>
            </w:r>
          </w:p>
        </w:tc>
        <w:tc>
          <w:tcPr>
            <w:tcW w:w="5670" w:type="dxa"/>
          </w:tcPr>
          <w:p w14:paraId="01C54321" w14:textId="1A5554F4" w:rsidR="00847BD3" w:rsidRDefault="00847BD3" w:rsidP="00D652E5">
            <w:pPr>
              <w:tabs>
                <w:tab w:val="left" w:pos="851"/>
              </w:tabs>
            </w:pPr>
            <w:r>
              <w:t>Proportion of CUs above extinction threshold at the end of simulation period</w:t>
            </w:r>
          </w:p>
        </w:tc>
      </w:tr>
    </w:tbl>
    <w:p w14:paraId="0C82D7C3" w14:textId="77777777" w:rsidR="00741857" w:rsidRDefault="00741857" w:rsidP="00D652E5">
      <w:pPr>
        <w:tabs>
          <w:tab w:val="left" w:pos="851"/>
        </w:tabs>
      </w:pPr>
    </w:p>
    <w:p w14:paraId="79CAFF0F" w14:textId="733EABF2" w:rsidR="00FE2E7F" w:rsidRDefault="004B1461" w:rsidP="00FE2E7F">
      <w:pPr>
        <w:tabs>
          <w:tab w:val="left" w:pos="5400"/>
        </w:tabs>
        <w:jc w:val="center"/>
      </w:pPr>
      <w:r>
        <w:rPr>
          <w:noProof/>
          <w:lang w:val="en-CA" w:eastAsia="en-CA"/>
        </w:rPr>
        <w:lastRenderedPageBreak/>
        <w:drawing>
          <wp:inline distT="0" distB="0" distL="0" distR="0" wp14:anchorId="3F419FAE" wp14:editId="5883CCC1">
            <wp:extent cx="3411415" cy="2924972"/>
            <wp:effectExtent l="0" t="0" r="0" b="8890"/>
            <wp:docPr id="7" name="Picture 7" descr="Macintosh HD:Users:cam:github:salmon-sim:outputs:summaryFigs:synchTrials:groupedDotPlots (dragged).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cam:github:salmon-sim:outputs:summaryFigs:synchTrials:groupedDotPlots (dragged).pd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15887" cy="2928807"/>
                    </a:xfrm>
                    <a:prstGeom prst="rect">
                      <a:avLst/>
                    </a:prstGeom>
                    <a:noFill/>
                    <a:ln>
                      <a:noFill/>
                    </a:ln>
                  </pic:spPr>
                </pic:pic>
              </a:graphicData>
            </a:graphic>
          </wp:inline>
        </w:drawing>
      </w:r>
    </w:p>
    <w:p w14:paraId="087EB5E9" w14:textId="10DBBF97" w:rsidR="004B1461" w:rsidRDefault="002C7CB7" w:rsidP="004B1461">
      <w:pPr>
        <w:tabs>
          <w:tab w:val="left" w:pos="5400"/>
        </w:tabs>
      </w:pPr>
      <w:r>
        <w:t>Figure 4</w:t>
      </w:r>
      <w:r w:rsidR="004B1461">
        <w:t xml:space="preserve">. </w:t>
      </w:r>
      <w:r>
        <w:t>S</w:t>
      </w:r>
      <w:r w:rsidR="004B1461">
        <w:t>tatus of the Fraser River aggregate relative to three abundance-based performance metrics</w:t>
      </w:r>
      <w:r w:rsidR="00FE2E7F">
        <w:t xml:space="preserve"> at the end of 60-year simulation period</w:t>
      </w:r>
      <w:r w:rsidR="004B1461">
        <w:t>.</w:t>
      </w:r>
      <w:r w:rsidR="00244FC4">
        <w:t xml:space="preserve"> Points represent the median </w:t>
      </w:r>
      <w:r w:rsidR="00FE2E7F">
        <w:t xml:space="preserve">value of the </w:t>
      </w:r>
      <w:r w:rsidR="00244FC4">
        <w:t xml:space="preserve">performance metric </w:t>
      </w:r>
      <w:r w:rsidR="00FE2E7F">
        <w:t>during</w:t>
      </w:r>
      <w:r w:rsidR="00244FC4">
        <w:t xml:space="preserve"> the simulation, then the median among 1000 trials with</w:t>
      </w:r>
      <w:r w:rsidR="004B1461">
        <w:t xml:space="preserve"> whiskers </w:t>
      </w:r>
      <w:r w:rsidR="00244FC4">
        <w:t xml:space="preserve">representing </w:t>
      </w:r>
      <w:r w:rsidR="004B1461">
        <w:t xml:space="preserve">90% posterior intervals. </w:t>
      </w:r>
    </w:p>
    <w:p w14:paraId="001560A0" w14:textId="77777777" w:rsidR="004B1461" w:rsidRDefault="004B1461" w:rsidP="004B1461">
      <w:pPr>
        <w:tabs>
          <w:tab w:val="left" w:pos="5400"/>
        </w:tabs>
      </w:pPr>
    </w:p>
    <w:p w14:paraId="4F287759" w14:textId="77777777" w:rsidR="007F44B3" w:rsidRDefault="004B1461" w:rsidP="00FE2E7F">
      <w:pPr>
        <w:tabs>
          <w:tab w:val="left" w:pos="5400"/>
        </w:tabs>
        <w:jc w:val="center"/>
      </w:pPr>
      <w:r w:rsidRPr="004B1461">
        <w:rPr>
          <w:noProof/>
          <w:lang w:val="en-CA" w:eastAsia="en-CA"/>
        </w:rPr>
        <w:drawing>
          <wp:inline distT="0" distB="0" distL="0" distR="0" wp14:anchorId="7C49DFE7" wp14:editId="360CF355">
            <wp:extent cx="3587262" cy="3075746"/>
            <wp:effectExtent l="0" t="0" r="0" b="0"/>
            <wp:docPr id="2" name="Picture 2" descr="Macintosh HD:Users:cam:github:salmon-sim:outputs:summaryFigs:synchTrials:groupedDotPlots.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cam:github:salmon-sim:outputs:summaryFigs:synchTrials:groupedDotPlots.pd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91929" cy="3079748"/>
                    </a:xfrm>
                    <a:prstGeom prst="rect">
                      <a:avLst/>
                    </a:prstGeom>
                    <a:noFill/>
                    <a:ln>
                      <a:noFill/>
                    </a:ln>
                  </pic:spPr>
                </pic:pic>
              </a:graphicData>
            </a:graphic>
          </wp:inline>
        </w:drawing>
      </w:r>
    </w:p>
    <w:p w14:paraId="5E776507" w14:textId="03E14F5E" w:rsidR="004B1461" w:rsidRDefault="004B1461" w:rsidP="004B1461">
      <w:pPr>
        <w:tabs>
          <w:tab w:val="left" w:pos="5400"/>
        </w:tabs>
      </w:pPr>
      <w:r>
        <w:t xml:space="preserve">Figure </w:t>
      </w:r>
      <w:r w:rsidR="00FE2E7F">
        <w:t>5</w:t>
      </w:r>
      <w:r>
        <w:t xml:space="preserve">. </w:t>
      </w:r>
      <w:r w:rsidR="00FE2E7F">
        <w:t>S</w:t>
      </w:r>
      <w:r>
        <w:t>tatus of the Fraser River aggregate relat</w:t>
      </w:r>
      <w:bookmarkStart w:id="7" w:name="_GoBack"/>
      <w:bookmarkEnd w:id="7"/>
      <w:r>
        <w:t>ive to four benchmark-based performance metrics</w:t>
      </w:r>
      <w:r w:rsidR="00FE2E7F">
        <w:t xml:space="preserve"> at the end of 60-year simulation period</w:t>
      </w:r>
      <w:r>
        <w:t>. CU proportions reflect status at the end of the 60 year simulation period. Points represent medians</w:t>
      </w:r>
      <w:r w:rsidR="00244FC4">
        <w:t xml:space="preserve"> across 1000 trials</w:t>
      </w:r>
      <w:r>
        <w:t xml:space="preserve"> and whiskers 90% posterior intervals. </w:t>
      </w:r>
    </w:p>
    <w:p w14:paraId="256BA0E6" w14:textId="77777777" w:rsidR="004B1461" w:rsidRDefault="004B1461" w:rsidP="004B1461">
      <w:pPr>
        <w:tabs>
          <w:tab w:val="left" w:pos="5400"/>
        </w:tabs>
      </w:pPr>
    </w:p>
    <w:sectPr w:rsidR="004B1461" w:rsidSect="00B64706">
      <w:pgSz w:w="12240" w:h="15840"/>
      <w:pgMar w:top="1440" w:right="1800" w:bottom="1440" w:left="1800" w:header="720" w:footer="720"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DFO-MPO" w:date="2018-08-09T14:50:00Z" w:initials="D">
    <w:p w14:paraId="2EB7C98A" w14:textId="10415B50" w:rsidR="00926926" w:rsidRDefault="00926926">
      <w:pPr>
        <w:pStyle w:val="CommentText"/>
      </w:pPr>
      <w:r>
        <w:rPr>
          <w:rStyle w:val="CommentReference"/>
        </w:rPr>
        <w:annotationRef/>
      </w:r>
      <w:r>
        <w:t xml:space="preserve">Some </w:t>
      </w:r>
      <w:r w:rsidR="00D74015">
        <w:t>very similar treatments, but I figured it made more sense to present them as balanced so that readers wouldn’t be confused by gaps in the table</w:t>
      </w:r>
    </w:p>
  </w:comment>
  <w:comment w:id="1" w:author="DFO-MPO" w:date="2018-08-09T15:20:00Z" w:initials="D">
    <w:p w14:paraId="359B6FCE" w14:textId="2FECA3D1" w:rsidR="00741857" w:rsidRDefault="00741857" w:rsidP="00741857">
      <w:pPr>
        <w:pStyle w:val="CommentText"/>
      </w:pPr>
      <w:r>
        <w:rPr>
          <w:rStyle w:val="CommentReference"/>
        </w:rPr>
        <w:annotationRef/>
      </w:r>
      <w:r>
        <w:t xml:space="preserve">I’ve left the distinct sources of mortality in because </w:t>
      </w:r>
      <w:r>
        <w:t>they don’t strongly influence the results and it increases the realism of the model.</w:t>
      </w:r>
      <w:r>
        <w:t xml:space="preserve"> </w:t>
      </w:r>
      <w:proofErr w:type="spellStart"/>
      <w:r>
        <w:t>En</w:t>
      </w:r>
      <w:proofErr w:type="spellEnd"/>
      <w:r>
        <w:t xml:space="preserve">-route mortality also </w:t>
      </w:r>
      <w:r>
        <w:t>interact</w:t>
      </w:r>
      <w:r>
        <w:t>s</w:t>
      </w:r>
      <w:r>
        <w:t xml:space="preserve"> with the TAM rule. However does this lead to unnecessary complexity?</w:t>
      </w:r>
    </w:p>
  </w:comment>
  <w:comment w:id="2" w:author="DFO-MPO" w:date="2018-08-09T15:23:00Z" w:initials="D">
    <w:p w14:paraId="23541591" w14:textId="1F5B74A9" w:rsidR="001C3383" w:rsidRDefault="001C3383">
      <w:pPr>
        <w:pStyle w:val="CommentText"/>
      </w:pPr>
      <w:r>
        <w:rPr>
          <w:rStyle w:val="CommentReference"/>
        </w:rPr>
        <w:annotationRef/>
      </w:r>
      <w:r>
        <w:t>Of course in an actual manuscript I’ll provide some additional detail in the main text and model/parameter specifications in an appendix.</w:t>
      </w:r>
    </w:p>
  </w:comment>
  <w:comment w:id="3" w:author="DFO-MPO" w:date="2018-08-09T15:51:00Z" w:initials="D">
    <w:p w14:paraId="339986CA" w14:textId="08D53227" w:rsidR="005C1F91" w:rsidRDefault="005C1F91">
      <w:pPr>
        <w:pStyle w:val="CommentText"/>
      </w:pPr>
      <w:r>
        <w:rPr>
          <w:rStyle w:val="CommentReference"/>
        </w:rPr>
        <w:annotationRef/>
      </w:r>
      <w:r>
        <w:t>Two additional PMs I have considered:</w:t>
      </w:r>
    </w:p>
    <w:p w14:paraId="36FFA7CD" w14:textId="77777777" w:rsidR="005C1F91" w:rsidRDefault="005C1F91">
      <w:pPr>
        <w:pStyle w:val="CommentText"/>
      </w:pPr>
    </w:p>
    <w:p w14:paraId="75F1AB00" w14:textId="2419EB19" w:rsidR="005C1F91" w:rsidRDefault="005C1F91" w:rsidP="005C1F91">
      <w:pPr>
        <w:pStyle w:val="CommentText"/>
        <w:numPr>
          <w:ilvl w:val="0"/>
          <w:numId w:val="1"/>
        </w:numPr>
      </w:pPr>
      <w:r>
        <w:t xml:space="preserve"> A recovery potential PM – proportion of CUs that improve in status (not sure if this is feasible since many CUs currently have a mixed rating depending on the metric used)</w:t>
      </w:r>
    </w:p>
    <w:p w14:paraId="393045AD" w14:textId="6256643A" w:rsidR="005C1F91" w:rsidRDefault="005C1F91" w:rsidP="005C1F91">
      <w:pPr>
        <w:pStyle w:val="CommentText"/>
        <w:numPr>
          <w:ilvl w:val="0"/>
          <w:numId w:val="1"/>
        </w:numPr>
      </w:pPr>
      <w:r>
        <w:t xml:space="preserve"> A forecast accuracy PM – mean error between the abundance predicted in the observation model (using simple </w:t>
      </w:r>
      <w:proofErr w:type="spellStart"/>
      <w:r>
        <w:t>ricker</w:t>
      </w:r>
      <w:proofErr w:type="spellEnd"/>
      <w:r>
        <w:t xml:space="preserve"> model) and true abundance. </w:t>
      </w:r>
    </w:p>
    <w:p w14:paraId="0BEDBE5D" w14:textId="77777777" w:rsidR="005C1F91" w:rsidRDefault="005C1F91" w:rsidP="005C1F91">
      <w:pPr>
        <w:pStyle w:val="CommentText"/>
      </w:pPr>
    </w:p>
    <w:p w14:paraId="48EC1622" w14:textId="65974290" w:rsidR="005C1F91" w:rsidRDefault="005C1F91" w:rsidP="005C1F91">
      <w:pPr>
        <w:pStyle w:val="CommentText"/>
      </w:pPr>
      <w:r>
        <w:t>I think this would be a good way to highlight the risk to managers of highly synchronized and unpredictable dynamics. However it would be difficult to replicate since some are modeled with Larkin SRs and it doesn’t really mesh with reality for Fraser sockeye where test fisheries rather than forecasts strongly determine effort.</w:t>
      </w:r>
    </w:p>
  </w:comment>
  <w:comment w:id="4" w:author="DFO-MPO" w:date="2018-08-09T15:16:00Z" w:initials="D">
    <w:p w14:paraId="0E2452C8" w14:textId="1F94329F" w:rsidR="00741857" w:rsidRDefault="00741857">
      <w:pPr>
        <w:pStyle w:val="CommentText"/>
      </w:pPr>
      <w:r>
        <w:rPr>
          <w:rStyle w:val="CommentReference"/>
        </w:rPr>
        <w:annotationRef/>
      </w:r>
      <w:r>
        <w:t xml:space="preserve">Is this redundant given </w:t>
      </w:r>
      <w:proofErr w:type="spellStart"/>
      <w:r>
        <w:t>spawners</w:t>
      </w:r>
      <w:proofErr w:type="spellEnd"/>
      <w:r>
        <w:t xml:space="preserve"> is already in there?</w:t>
      </w:r>
    </w:p>
  </w:comment>
  <w:comment w:id="5" w:author="DFO-MPO" w:date="2018-08-09T15:40:00Z" w:initials="D">
    <w:p w14:paraId="3C22B9C1" w14:textId="0A01BC05" w:rsidR="00B64E4A" w:rsidRDefault="00B64E4A">
      <w:pPr>
        <w:pStyle w:val="CommentText"/>
      </w:pPr>
      <w:r>
        <w:rPr>
          <w:rStyle w:val="CommentReference"/>
        </w:rPr>
        <w:annotationRef/>
      </w:r>
      <w:r>
        <w:t>Is this an appropriate target? If not, how should it be adjusted?</w:t>
      </w:r>
    </w:p>
  </w:comment>
  <w:comment w:id="6" w:author="DFO-MPO" w:date="2018-08-09T15:44:00Z" w:initials="D">
    <w:p w14:paraId="0C390E73" w14:textId="68873B54" w:rsidR="00847BD3" w:rsidRDefault="00847BD3">
      <w:pPr>
        <w:pStyle w:val="CommentText"/>
      </w:pPr>
      <w:r>
        <w:rPr>
          <w:rStyle w:val="CommentReference"/>
        </w:rPr>
        <w:annotationRef/>
      </w:r>
      <w:r>
        <w:t>Note that this is based on true recruit abundance so it does not represent forecast or observation model accuracy</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Lucida Grande">
    <w:charset w:val="00"/>
    <w:family w:val="auto"/>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797CA6"/>
    <w:multiLevelType w:val="hybridMultilevel"/>
    <w:tmpl w:val="753E544C"/>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defaultTabStop w:val="720"/>
  <w:displayHorizontalDrawingGridEvery w:val="0"/>
  <w:displayVerticalDrawingGridEvery w:val="0"/>
  <w:doNotUseMarginsForDrawingGridOrigin/>
  <w:noPunctuationKerning/>
  <w:characterSpacingControl w:val="doNotCompress"/>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1461"/>
    <w:rsid w:val="00121341"/>
    <w:rsid w:val="001440EB"/>
    <w:rsid w:val="001A1C87"/>
    <w:rsid w:val="001C3383"/>
    <w:rsid w:val="00244FC4"/>
    <w:rsid w:val="002C7CB7"/>
    <w:rsid w:val="004B1461"/>
    <w:rsid w:val="005C1F91"/>
    <w:rsid w:val="00602A75"/>
    <w:rsid w:val="00741857"/>
    <w:rsid w:val="007F44B3"/>
    <w:rsid w:val="00847BD3"/>
    <w:rsid w:val="00926926"/>
    <w:rsid w:val="009C426E"/>
    <w:rsid w:val="00A25F37"/>
    <w:rsid w:val="00A95709"/>
    <w:rsid w:val="00B64706"/>
    <w:rsid w:val="00B64E4A"/>
    <w:rsid w:val="00BE120F"/>
    <w:rsid w:val="00C8522F"/>
    <w:rsid w:val="00CA3ABF"/>
    <w:rsid w:val="00D652E5"/>
    <w:rsid w:val="00D74015"/>
    <w:rsid w:val="00F1323B"/>
    <w:rsid w:val="00FB7D24"/>
    <w:rsid w:val="00FE2E7F"/>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593564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426E"/>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B1461"/>
    <w:pPr>
      <w:spacing w:after="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4B1461"/>
    <w:rPr>
      <w:rFonts w:ascii="Lucida Grande" w:hAnsi="Lucida Grande"/>
      <w:sz w:val="18"/>
      <w:szCs w:val="18"/>
    </w:rPr>
  </w:style>
  <w:style w:type="character" w:styleId="PlaceholderText">
    <w:name w:val="Placeholder Text"/>
    <w:basedOn w:val="DefaultParagraphFont"/>
    <w:uiPriority w:val="99"/>
    <w:semiHidden/>
    <w:rsid w:val="00A25F37"/>
    <w:rPr>
      <w:color w:val="808080"/>
    </w:rPr>
  </w:style>
  <w:style w:type="character" w:styleId="CommentReference">
    <w:name w:val="annotation reference"/>
    <w:basedOn w:val="DefaultParagraphFont"/>
    <w:uiPriority w:val="99"/>
    <w:semiHidden/>
    <w:unhideWhenUsed/>
    <w:rsid w:val="00926926"/>
    <w:rPr>
      <w:sz w:val="16"/>
      <w:szCs w:val="16"/>
    </w:rPr>
  </w:style>
  <w:style w:type="paragraph" w:styleId="CommentText">
    <w:name w:val="annotation text"/>
    <w:basedOn w:val="Normal"/>
    <w:link w:val="CommentTextChar"/>
    <w:uiPriority w:val="99"/>
    <w:semiHidden/>
    <w:unhideWhenUsed/>
    <w:rsid w:val="00926926"/>
    <w:rPr>
      <w:sz w:val="20"/>
      <w:szCs w:val="20"/>
    </w:rPr>
  </w:style>
  <w:style w:type="character" w:customStyle="1" w:styleId="CommentTextChar">
    <w:name w:val="Comment Text Char"/>
    <w:basedOn w:val="DefaultParagraphFont"/>
    <w:link w:val="CommentText"/>
    <w:uiPriority w:val="99"/>
    <w:semiHidden/>
    <w:rsid w:val="00926926"/>
    <w:rPr>
      <w:rFonts w:ascii="Times New Roman" w:hAnsi="Times New Roman"/>
    </w:rPr>
  </w:style>
  <w:style w:type="paragraph" w:styleId="CommentSubject">
    <w:name w:val="annotation subject"/>
    <w:basedOn w:val="CommentText"/>
    <w:next w:val="CommentText"/>
    <w:link w:val="CommentSubjectChar"/>
    <w:uiPriority w:val="99"/>
    <w:semiHidden/>
    <w:unhideWhenUsed/>
    <w:rsid w:val="00926926"/>
    <w:rPr>
      <w:b/>
      <w:bCs/>
    </w:rPr>
  </w:style>
  <w:style w:type="character" w:customStyle="1" w:styleId="CommentSubjectChar">
    <w:name w:val="Comment Subject Char"/>
    <w:basedOn w:val="CommentTextChar"/>
    <w:link w:val="CommentSubject"/>
    <w:uiPriority w:val="99"/>
    <w:semiHidden/>
    <w:rsid w:val="00926926"/>
    <w:rPr>
      <w:rFonts w:ascii="Times New Roman" w:hAnsi="Times New Roman"/>
      <w:b/>
      <w:bCs/>
    </w:rPr>
  </w:style>
  <w:style w:type="table" w:styleId="TableGrid">
    <w:name w:val="Table Grid"/>
    <w:basedOn w:val="TableNormal"/>
    <w:uiPriority w:val="59"/>
    <w:rsid w:val="00926926"/>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426E"/>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B1461"/>
    <w:pPr>
      <w:spacing w:after="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4B1461"/>
    <w:rPr>
      <w:rFonts w:ascii="Lucida Grande" w:hAnsi="Lucida Grande"/>
      <w:sz w:val="18"/>
      <w:szCs w:val="18"/>
    </w:rPr>
  </w:style>
  <w:style w:type="character" w:styleId="PlaceholderText">
    <w:name w:val="Placeholder Text"/>
    <w:basedOn w:val="DefaultParagraphFont"/>
    <w:uiPriority w:val="99"/>
    <w:semiHidden/>
    <w:rsid w:val="00A25F37"/>
    <w:rPr>
      <w:color w:val="808080"/>
    </w:rPr>
  </w:style>
  <w:style w:type="character" w:styleId="CommentReference">
    <w:name w:val="annotation reference"/>
    <w:basedOn w:val="DefaultParagraphFont"/>
    <w:uiPriority w:val="99"/>
    <w:semiHidden/>
    <w:unhideWhenUsed/>
    <w:rsid w:val="00926926"/>
    <w:rPr>
      <w:sz w:val="16"/>
      <w:szCs w:val="16"/>
    </w:rPr>
  </w:style>
  <w:style w:type="paragraph" w:styleId="CommentText">
    <w:name w:val="annotation text"/>
    <w:basedOn w:val="Normal"/>
    <w:link w:val="CommentTextChar"/>
    <w:uiPriority w:val="99"/>
    <w:semiHidden/>
    <w:unhideWhenUsed/>
    <w:rsid w:val="00926926"/>
    <w:rPr>
      <w:sz w:val="20"/>
      <w:szCs w:val="20"/>
    </w:rPr>
  </w:style>
  <w:style w:type="character" w:customStyle="1" w:styleId="CommentTextChar">
    <w:name w:val="Comment Text Char"/>
    <w:basedOn w:val="DefaultParagraphFont"/>
    <w:link w:val="CommentText"/>
    <w:uiPriority w:val="99"/>
    <w:semiHidden/>
    <w:rsid w:val="00926926"/>
    <w:rPr>
      <w:rFonts w:ascii="Times New Roman" w:hAnsi="Times New Roman"/>
    </w:rPr>
  </w:style>
  <w:style w:type="paragraph" w:styleId="CommentSubject">
    <w:name w:val="annotation subject"/>
    <w:basedOn w:val="CommentText"/>
    <w:next w:val="CommentText"/>
    <w:link w:val="CommentSubjectChar"/>
    <w:uiPriority w:val="99"/>
    <w:semiHidden/>
    <w:unhideWhenUsed/>
    <w:rsid w:val="00926926"/>
    <w:rPr>
      <w:b/>
      <w:bCs/>
    </w:rPr>
  </w:style>
  <w:style w:type="character" w:customStyle="1" w:styleId="CommentSubjectChar">
    <w:name w:val="Comment Subject Char"/>
    <w:basedOn w:val="CommentTextChar"/>
    <w:link w:val="CommentSubject"/>
    <w:uiPriority w:val="99"/>
    <w:semiHidden/>
    <w:rsid w:val="00926926"/>
    <w:rPr>
      <w:rFonts w:ascii="Times New Roman" w:hAnsi="Times New Roman"/>
      <w:b/>
      <w:bCs/>
    </w:rPr>
  </w:style>
  <w:style w:type="table" w:styleId="TableGrid">
    <w:name w:val="Table Grid"/>
    <w:basedOn w:val="TableNormal"/>
    <w:uiPriority w:val="59"/>
    <w:rsid w:val="00926926"/>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image" Target="media/image5.emf"/><Relationship Id="rId5" Type="http://schemas.openxmlformats.org/officeDocument/2006/relationships/webSettings" Target="webSettings.xml"/><Relationship Id="rId10" Type="http://schemas.openxmlformats.org/officeDocument/2006/relationships/image" Target="media/image4.emf"/><Relationship Id="rId4" Type="http://schemas.openxmlformats.org/officeDocument/2006/relationships/settings" Target="settings.xml"/><Relationship Id="rId9"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201</TotalTime>
  <Pages>6</Pages>
  <Words>1118</Words>
  <Characters>6375</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Freshwater</dc:creator>
  <cp:keywords/>
  <dc:description/>
  <cp:lastModifiedBy>DFO-MPO</cp:lastModifiedBy>
  <cp:revision>6</cp:revision>
  <dcterms:created xsi:type="dcterms:W3CDTF">2018-08-09T04:43:00Z</dcterms:created>
  <dcterms:modified xsi:type="dcterms:W3CDTF">2018-08-09T22:54:00Z</dcterms:modified>
</cp:coreProperties>
</file>