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44A99" w14:textId="77777777" w:rsidR="000835A0" w:rsidRPr="000835A0" w:rsidRDefault="000835A0" w:rsidP="00507319">
      <w:pPr>
        <w:jc w:val="center"/>
        <w:rPr>
          <w:b/>
        </w:rPr>
      </w:pPr>
      <w:bookmarkStart w:id="0" w:name="_GoBack"/>
      <w:bookmarkEnd w:id="0"/>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w:t>
      </w:r>
      <w:proofErr w:type="spellStart"/>
      <w:r w:rsidR="00E06BE2">
        <w:t>nearshore</w:t>
      </w:r>
      <w:proofErr w:type="spellEnd"/>
      <w:r w:rsidR="00E06BE2">
        <w:t xml:space="preserv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 xml:space="preserve">Table 1. </w:t>
      </w:r>
      <w:proofErr w:type="gramStart"/>
      <w:r>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1"/>
            <w:r>
              <w:t>Status</w:t>
            </w:r>
            <w:commentRangeEnd w:id="1"/>
            <w:r w:rsidR="0093048D">
              <w:rPr>
                <w:rStyle w:val="CommentReference"/>
              </w:rPr>
              <w:commentReference w:id="1"/>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 xml:space="preserve">Early </w:t>
            </w:r>
            <w:r>
              <w:lastRenderedPageBreak/>
              <w:t>Stuart</w:t>
            </w:r>
          </w:p>
        </w:tc>
        <w:tc>
          <w:tcPr>
            <w:tcW w:w="1707" w:type="dxa"/>
          </w:tcPr>
          <w:p w14:paraId="0CBB3F32" w14:textId="37DB703D" w:rsidR="00FC666B" w:rsidRDefault="00FC666B" w:rsidP="00FC666B">
            <w:proofErr w:type="spellStart"/>
            <w:r>
              <w:lastRenderedPageBreak/>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lastRenderedPageBreak/>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proofErr w:type="spellStart"/>
            <w:r>
              <w:t>Shuswap</w:t>
            </w:r>
            <w:proofErr w:type="spellEnd"/>
            <w:r>
              <w:t>-ES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proofErr w:type="spellStart"/>
            <w:r>
              <w:t>Quesnel</w:t>
            </w:r>
            <w:proofErr w:type="spellEnd"/>
          </w:p>
        </w:tc>
        <w:tc>
          <w:tcPr>
            <w:tcW w:w="1707" w:type="dxa"/>
          </w:tcPr>
          <w:p w14:paraId="330CD1AC" w14:textId="1D868A12" w:rsidR="004526B1" w:rsidRDefault="004526B1" w:rsidP="001B700F">
            <w:proofErr w:type="spellStart"/>
            <w:r>
              <w:t>Quesnel</w:t>
            </w:r>
            <w:proofErr w:type="spellEnd"/>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proofErr w:type="spellStart"/>
            <w:r>
              <w:t>Shuswap</w:t>
            </w:r>
            <w:proofErr w:type="spellEnd"/>
            <w:r>
              <w:t>-L</w:t>
            </w:r>
          </w:p>
        </w:tc>
        <w:tc>
          <w:tcPr>
            <w:tcW w:w="1707" w:type="dxa"/>
          </w:tcPr>
          <w:p w14:paraId="263C3984" w14:textId="4250731D" w:rsidR="004526B1" w:rsidRDefault="004526B1" w:rsidP="001B700F">
            <w:r>
              <w:t xml:space="preserve">Late </w:t>
            </w:r>
            <w:proofErr w:type="spellStart"/>
            <w:r>
              <w:t>Shuswap</w:t>
            </w:r>
            <w:proofErr w:type="spellEnd"/>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A846FC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w:t>
      </w:r>
      <w:proofErr w:type="spellStart"/>
      <w:r w:rsidR="00FF04FF">
        <w:t>Dorner</w:t>
      </w:r>
      <w:proofErr w:type="spellEnd"/>
      <w:r w:rsidR="00FF04FF">
        <w:t xml:space="preserve">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 xml:space="preserve">of per capita productivity, </w:t>
      </w:r>
      <w:proofErr w:type="gramStart"/>
      <w:r w:rsidR="009D23BD">
        <w:t>log(</w:t>
      </w:r>
      <w:proofErr w:type="gramEnd"/>
      <w:r w:rsidR="009D23BD">
        <w:t>recruits/</w:t>
      </w:r>
      <w:proofErr w:type="spellStart"/>
      <w:r w:rsidR="009D23BD">
        <w:t>spawner</w:t>
      </w:r>
      <w:proofErr w:type="spellEnd"/>
      <w:r w:rsidR="009D23BD">
        <w:t xml:space="preserve">). Since Fraser River CUs vary in the length of their </w:t>
      </w:r>
      <w:proofErr w:type="spellStart"/>
      <w:r w:rsidR="009D23BD">
        <w:t>spawner</w:t>
      </w:r>
      <w:proofErr w:type="spellEnd"/>
      <w:r w:rsidR="009D23BD">
        <w:t>-recruit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w:t>
      </w:r>
      <w:proofErr w:type="spellStart"/>
      <w:r w:rsidR="00BB46A3">
        <w:t>spawner</w:t>
      </w:r>
      <w:proofErr w:type="spellEnd"/>
      <w:r w:rsidR="00BB46A3">
        <w:t xml:space="preserve">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3"/>
      <w:r w:rsidR="0094700F">
        <w:t xml:space="preserve">DFO </w:t>
      </w:r>
      <w:r w:rsidR="0094700F">
        <w:rPr>
          <w:i/>
        </w:rPr>
        <w:t>in press</w:t>
      </w:r>
      <w:commentRangeEnd w:id="3"/>
      <w:r w:rsidR="0094700F">
        <w:rPr>
          <w:rStyle w:val="CommentReference"/>
        </w:rPr>
        <w:commentReference w:id="3"/>
      </w:r>
      <w:r w:rsidR="00320A6C">
        <w:t>; Table 1</w:t>
      </w:r>
      <w:r>
        <w:t>).</w:t>
      </w:r>
    </w:p>
    <w:p w14:paraId="6B170D9E" w14:textId="7E3F5B5F" w:rsidR="00CE0781" w:rsidRDefault="009D23BD" w:rsidP="005B527F">
      <w:pPr>
        <w:tabs>
          <w:tab w:val="left" w:pos="709"/>
        </w:tabs>
      </w:pPr>
      <w:r>
        <w:tab/>
      </w:r>
      <w:commentRangeStart w:id="4"/>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4"/>
      <w:r w:rsidR="00D31645">
        <w:rPr>
          <w:rStyle w:val="CommentReference"/>
        </w:rPr>
        <w:commentReference w:id="4"/>
      </w:r>
      <w:r w:rsidR="00B40124">
        <w:t xml:space="preserve">). </w:t>
      </w:r>
      <w:r w:rsidR="00EB655E">
        <w:t xml:space="preserve">To account for autocorrelation </w:t>
      </w:r>
      <w:r w:rsidR="00B40124">
        <w:t xml:space="preserve">and incorporate </w:t>
      </w:r>
      <w:proofErr w:type="spellStart"/>
      <w:r w:rsidR="00B40124">
        <w:t>covariation</w:t>
      </w:r>
      <w:proofErr w:type="spellEnd"/>
      <w:r w:rsidR="00B40124">
        <w:t xml:space="preserve">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106349"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106349"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proofErr w:type="gramStart"/>
      <w:r>
        <w:rPr>
          <w:rFonts w:eastAsiaTheme="minorEastAsia"/>
        </w:rPr>
        <w:t>w</w:t>
      </w:r>
      <w:r w:rsidR="004F6C38">
        <w:rPr>
          <w:rFonts w:eastAsiaTheme="minorEastAsia"/>
        </w:rPr>
        <w:t>here</w:t>
      </w:r>
      <w:proofErr w:type="gramEnd"/>
      <w:r w:rsidR="004F6C3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15BC49C6" w:rsidR="00D20FCD" w:rsidRDefault="0051250B" w:rsidP="002800A9">
      <w:pPr>
        <w:ind w:firstLine="720"/>
        <w:rPr>
          <w:rFonts w:eastAsiaTheme="minorEastAsia"/>
        </w:rPr>
      </w:pPr>
      <w:r>
        <w:t xml:space="preserve">We also incorporated a second productivity scenario in our analysis intended to represent a period of broadly </w:t>
      </w:r>
      <w:proofErr w:type="spellStart"/>
      <w:r>
        <w:t>unfavorable</w:t>
      </w:r>
      <w:proofErr w:type="spellEnd"/>
      <w:r>
        <w:t xml:space="preserv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 xml:space="preserve">(e.g. </w:t>
      </w:r>
      <w:proofErr w:type="spellStart"/>
      <w:r w:rsidR="0094700F">
        <w:rPr>
          <w:rFonts w:eastAsiaTheme="minorEastAsia"/>
        </w:rPr>
        <w:t>Dorner</w:t>
      </w:r>
      <w:proofErr w:type="spellEnd"/>
      <w:r w:rsidR="0094700F">
        <w:rPr>
          <w:rFonts w:eastAsiaTheme="minorEastAsia"/>
        </w:rPr>
        <w:t xml:space="preserve"> et al. 2009</w:t>
      </w:r>
      <w:r w:rsidR="00EA7F86">
        <w:rPr>
          <w:rFonts w:eastAsiaTheme="minorEastAsia"/>
        </w:rPr>
        <w:t xml:space="preserve">, Holt &amp; </w:t>
      </w:r>
      <w:proofErr w:type="spellStart"/>
      <w:r w:rsidR="00EA7F86">
        <w:rPr>
          <w:rFonts w:eastAsiaTheme="minorEastAsia"/>
        </w:rPr>
        <w:t>Folkes</w:t>
      </w:r>
      <w:proofErr w:type="spellEnd"/>
      <w:r w:rsidR="00EA7F86">
        <w:rPr>
          <w:rFonts w:eastAsiaTheme="minorEastAsia"/>
        </w:rPr>
        <w:t xml:space="preserve"> 2015</w:t>
      </w:r>
      <w:r w:rsidR="00EA7F86">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106349">
        <w:rPr>
          <w:rFonts w:eastAsiaTheme="minorEastAsia"/>
        </w:rPr>
        <w:instrText xml:space="preserve"> ADDIN EN.CITE </w:instrText>
      </w:r>
      <w:r w:rsidR="00106349">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106349">
        <w:rPr>
          <w:rFonts w:eastAsiaTheme="minorEastAsia"/>
        </w:rPr>
        <w:instrText xml:space="preserve"> ADDIN EN.CITE.DATA </w:instrText>
      </w:r>
      <w:r w:rsidR="00106349">
        <w:rPr>
          <w:rFonts w:eastAsiaTheme="minorEastAsia"/>
        </w:rPr>
      </w:r>
      <w:r w:rsidR="00106349">
        <w:rPr>
          <w:rFonts w:eastAsiaTheme="minorEastAsia"/>
        </w:rPr>
        <w:fldChar w:fldCharType="end"/>
      </w:r>
      <w:r w:rsidR="00EA7F86">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 </w:instrText>
      </w:r>
      <w:r w:rsidR="00DC6BB2">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EN.CITE.DATA </w:instrText>
      </w:r>
      <w:r w:rsidR="00DC6BB2">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5"/>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w:t>
      </w:r>
      <w:proofErr w:type="spellStart"/>
      <w:r w:rsidR="003B3742">
        <w:rPr>
          <w:rFonts w:eastAsiaTheme="minorEastAsia"/>
        </w:rPr>
        <w:t>skewness</w:t>
      </w:r>
      <w:proofErr w:type="spellEnd"/>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5"/>
      <w:r>
        <w:rPr>
          <w:rStyle w:val="CommentReference"/>
        </w:rPr>
        <w:commentReference w:id="5"/>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w:t>
      </w:r>
      <w:commentRangeStart w:id="6"/>
      <w:r w:rsidR="008518AD">
        <w:rPr>
          <w:rFonts w:eastAsiaTheme="minorEastAsia"/>
        </w:rPr>
        <w:t>mean frequency of 0.3</w:t>
      </w:r>
      <w:r w:rsidR="005B527F">
        <w:rPr>
          <w:rFonts w:eastAsiaTheme="minorEastAsia"/>
        </w:rPr>
        <w:t xml:space="preserve"> </w:t>
      </w:r>
      <w:commentRangeEnd w:id="6"/>
      <w:r w:rsidR="00896814">
        <w:rPr>
          <w:rStyle w:val="CommentReference"/>
        </w:rPr>
        <w:commentReference w:id="6"/>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7"/>
      <w:r w:rsidR="00063326">
        <w:rPr>
          <w:rFonts w:eastAsiaTheme="minorEastAsia"/>
        </w:rPr>
        <w:t>Appendix</w:t>
      </w:r>
      <w:commentRangeEnd w:id="7"/>
      <w:r w:rsidR="00D31645">
        <w:rPr>
          <w:rStyle w:val="CommentReference"/>
        </w:rPr>
        <w:commentReference w:id="7"/>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8"/>
      <w:r w:rsidR="007B4FA6">
        <w:t>Details of the harvest control rule, mortality calculations, and parameter specificati</w:t>
      </w:r>
      <w:r w:rsidR="002E71CA">
        <w:t>ons are described in the Appendix</w:t>
      </w:r>
      <w:r w:rsidR="007B4FA6">
        <w:t>.</w:t>
      </w:r>
      <w:commentRangeEnd w:id="8"/>
      <w:r w:rsidR="007B4FA6">
        <w:rPr>
          <w:rStyle w:val="CommentReference"/>
        </w:rPr>
        <w:commentReference w:id="8"/>
      </w:r>
    </w:p>
    <w:p w14:paraId="3CAB5E2F" w14:textId="3D8B4E65" w:rsidR="00B5638E" w:rsidRDefault="00B5638E" w:rsidP="00B5638E">
      <w:pPr>
        <w:ind w:firstLine="720"/>
      </w:pPr>
      <w:r>
        <w:t xml:space="preserve">We introduced additional </w:t>
      </w:r>
      <w:proofErr w:type="spellStart"/>
      <w:r>
        <w:t>stochasticity</w:t>
      </w:r>
      <w:proofErr w:type="spellEnd"/>
      <w:r>
        <w:t xml:space="preserve">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The results we present in the main text are based on simulations with the reference value for each parameter only;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2CFFAD29"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9"/>
      <w:r>
        <w:rPr>
          <w:i/>
        </w:rPr>
        <w:t>Evaluating model performance</w:t>
      </w:r>
      <w:commentRangeEnd w:id="9"/>
      <w:r w:rsidR="003113FB">
        <w:rPr>
          <w:rStyle w:val="CommentReference"/>
        </w:rPr>
        <w:commentReference w:id="9"/>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w:t>
      </w:r>
      <w:proofErr w:type="spellStart"/>
      <w:r w:rsidR="000F2E0D">
        <w:rPr>
          <w:rFonts w:ascii="Calibri" w:hAnsi="Calibri"/>
        </w:rPr>
        <w:t>spawner</w:t>
      </w:r>
      <w:proofErr w:type="spellEnd"/>
      <w:r w:rsidR="000F2E0D">
        <w:rPr>
          <w:rFonts w:ascii="Calibri" w:hAnsi="Calibri"/>
        </w:rPr>
        <w:t xml:space="preserve">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w:t>
      </w:r>
      <w:proofErr w:type="spellStart"/>
      <w:r w:rsidR="000F2E0D">
        <w:t>spawner</w:t>
      </w:r>
      <w:proofErr w:type="spellEnd"/>
      <w:r w:rsidR="000F2E0D">
        <w:t xml:space="preserve">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10"/>
      <w:r w:rsidR="000F2E0D">
        <w:t>Finally, we calculated the proportion of CUs extirpated at the end of the simulation period</w:t>
      </w:r>
      <w:r w:rsidR="009D3206">
        <w:t xml:space="preserve"> based on a quasi-extinction threshold of 100 individuals</w:t>
      </w:r>
      <w:r w:rsidR="000F2E0D">
        <w:t>.</w:t>
      </w:r>
      <w:commentRangeEnd w:id="10"/>
      <w:r w:rsidR="00F07325">
        <w:rPr>
          <w:rStyle w:val="CommentReference"/>
        </w:rPr>
        <w:commentReference w:id="10"/>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11"/>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11"/>
      <w:r>
        <w:rPr>
          <w:rStyle w:val="CommentReference"/>
        </w:rPr>
        <w:commentReference w:id="11"/>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12"/>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12"/>
      <w:r w:rsidR="00283AFA">
        <w:rPr>
          <w:rStyle w:val="CommentReference"/>
        </w:rPr>
        <w:commentReference w:id="12"/>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w:t>
      </w:r>
      <w:proofErr w:type="spellStart"/>
      <w:r w:rsidR="00194792">
        <w:rPr>
          <w:rFonts w:eastAsiaTheme="minorEastAsia"/>
        </w:rPr>
        <w:t>spawner</w:t>
      </w:r>
      <w:proofErr w:type="spellEnd"/>
      <w:r w:rsidR="00194792">
        <w:rPr>
          <w:rFonts w:eastAsiaTheme="minorEastAsia"/>
        </w:rPr>
        <w:t xml:space="preserve">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49D75CC"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 xml:space="preserve">time series of recruit and </w:t>
      </w:r>
      <w:proofErr w:type="spellStart"/>
      <w:r w:rsidR="00207CE4">
        <w:rPr>
          <w:rFonts w:ascii="Calibri" w:hAnsi="Calibri"/>
        </w:rPr>
        <w:t>spawner</w:t>
      </w:r>
      <w:proofErr w:type="spellEnd"/>
      <w:r w:rsidR="00207CE4">
        <w:rPr>
          <w:rFonts w:ascii="Calibri" w:hAnsi="Calibri"/>
        </w:rPr>
        <w:t xml:space="preserve">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t>
      </w:r>
      <w:r w:rsidR="009F5D9C">
        <w:rPr>
          <w:rFonts w:ascii="Calibri" w:hAnsi="Calibri"/>
        </w:rPr>
        <w:t xml:space="preserve">(i.e. those simulated with a Larkin model) </w:t>
      </w:r>
      <w:r w:rsidR="00207CE4">
        <w:rPr>
          <w:rFonts w:ascii="Calibri" w:hAnsi="Calibri"/>
        </w:rPr>
        <w:t xml:space="preserve">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13"/>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13"/>
      <w:r w:rsidR="00FB63BF">
        <w:rPr>
          <w:rStyle w:val="CommentReference"/>
        </w:rPr>
        <w:commentReference w:id="13"/>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w:t>
      </w:r>
      <w:proofErr w:type="spellStart"/>
      <w:r w:rsidR="00D31645">
        <w:t>spawner</w:t>
      </w:r>
      <w:proofErr w:type="spellEnd"/>
      <w:r w:rsidR="00D31645">
        <w:t>))</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w:t>
      </w:r>
      <w:proofErr w:type="spellStart"/>
      <w:r w:rsidR="005C2371">
        <w:t>spawner</w:t>
      </w:r>
      <w:proofErr w:type="spellEnd"/>
      <w:r w:rsidR="005C2371">
        <w:t xml:space="preserve">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w:t>
      </w:r>
      <w:proofErr w:type="spellStart"/>
      <w:r w:rsidR="00D663FC">
        <w:t>spawner</w:t>
      </w:r>
      <w:proofErr w:type="spellEnd"/>
      <w:r w:rsidR="00D663FC">
        <w:t xml:space="preserve"> abundance, catch, and variability metrics were robust to time series length and the number of CUs incorporated.</w:t>
      </w:r>
    </w:p>
    <w:p w14:paraId="60769AE2" w14:textId="0E113DC9" w:rsidR="00525C83" w:rsidRDefault="00C84D7E" w:rsidP="00A91A4F">
      <w:r>
        <w:rPr>
          <w:noProof/>
          <w:lang w:val="en-US"/>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14"/>
      <w:r>
        <w:t xml:space="preserve">Figure </w:t>
      </w:r>
      <w:commentRangeEnd w:id="14"/>
      <w:r>
        <w:rPr>
          <w:rStyle w:val="CommentReference"/>
        </w:rPr>
        <w:commentReference w:id="14"/>
      </w:r>
      <w:r>
        <w:t xml:space="preserve">1. Observed trends in Fraser River sockeye salmon productivity (log (recruits per </w:t>
      </w:r>
      <w:proofErr w:type="spellStart"/>
      <w:r>
        <w:t>spawner</w:t>
      </w:r>
      <w:proofErr w:type="spellEnd"/>
      <w:r>
        <w:t xml:space="preserve">)), aggregate </w:t>
      </w:r>
      <w:proofErr w:type="spellStart"/>
      <w:r>
        <w:t>spawner</w:t>
      </w:r>
      <w:proofErr w:type="spellEnd"/>
      <w:r>
        <w:t xml:space="preserve">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655310C4" w14:textId="77777777" w:rsidR="0093252F" w:rsidRDefault="005B527F" w:rsidP="00A91A4F">
      <w:pPr>
        <w:rPr>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These patterns were not strongly influenced by the productivity regime in the model (Figure 2)</w:t>
      </w:r>
      <w:r w:rsidR="0093252F">
        <w:rPr>
          <w:rFonts w:eastAsiaTheme="minorEastAsia"/>
        </w:rPr>
        <w:t>.</w:t>
      </w:r>
    </w:p>
    <w:p w14:paraId="245C62D7" w14:textId="5F04B15B" w:rsidR="005B527F" w:rsidRDefault="00511A34" w:rsidP="0093252F">
      <w:pPr>
        <w:jc w:val="center"/>
        <w:rPr>
          <w:rFonts w:eastAsiaTheme="minorEastAsia"/>
        </w:rPr>
      </w:pPr>
      <w:r>
        <w:rPr>
          <w:rFonts w:eastAsiaTheme="minorEastAsia"/>
          <w:noProof/>
          <w:lang w:val="en-US"/>
        </w:rPr>
        <w:drawing>
          <wp:inline distT="0" distB="0" distL="0" distR="0" wp14:anchorId="4986B27E" wp14:editId="087BB0D4">
            <wp:extent cx="5943600" cy="5146040"/>
            <wp:effectExtent l="0" t="0" r="0" b="1016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xml:space="preserve">, respectively. Trends in the observed stock-recruitment dataset are shown in black, the dashed line represents the beginning of the simulation period, and </w:t>
      </w:r>
      <w:proofErr w:type="spellStart"/>
      <w:r w:rsidR="00511A34">
        <w:rPr>
          <w:rFonts w:eastAsiaTheme="minorEastAsia"/>
        </w:rPr>
        <w:t>colored</w:t>
      </w:r>
      <w:proofErr w:type="spellEnd"/>
      <w:r w:rsidR="00511A34">
        <w:rPr>
          <w:rFonts w:eastAsiaTheme="minorEastAsia"/>
        </w:rPr>
        <w:t xml:space="preserve">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15"/>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15"/>
      <w:r w:rsidR="002A7AB5">
        <w:rPr>
          <w:rStyle w:val="CommentReference"/>
        </w:rPr>
        <w:commentReference w:id="15"/>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16"/>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16"/>
      <w:r w:rsidR="00F8390D">
        <w:rPr>
          <w:rStyle w:val="CommentReference"/>
        </w:rPr>
        <w:commentReference w:id="16"/>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w:t>
      </w:r>
      <w:proofErr w:type="gramStart"/>
      <w:r w:rsidR="003C1C7D">
        <w:rPr>
          <w:rFonts w:eastAsiaTheme="minorEastAsia"/>
        </w:rPr>
        <w:t>,g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17"/>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7"/>
      <w:r>
        <w:rPr>
          <w:rStyle w:val="CommentReference"/>
        </w:rPr>
        <w:commentReference w:id="17"/>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18"/>
      <w:r>
        <w:rPr>
          <w:rFonts w:eastAsiaTheme="minorEastAsia"/>
        </w:rPr>
        <w:t xml:space="preserve">250 </w:t>
      </w:r>
      <w:commentRangeEnd w:id="18"/>
      <w:r>
        <w:rPr>
          <w:rStyle w:val="CommentReference"/>
        </w:rPr>
        <w:commentReference w:id="18"/>
      </w:r>
      <w:r>
        <w:rPr>
          <w:rFonts w:eastAsiaTheme="minorEastAsia"/>
        </w:rPr>
        <w:t>simulation runs.</w:t>
      </w:r>
    </w:p>
    <w:p w14:paraId="7E015955" w14:textId="1E300DD1" w:rsidR="004709A6" w:rsidRPr="004709A6" w:rsidRDefault="004709A6" w:rsidP="00A43A81">
      <w:pPr>
        <w:rPr>
          <w:rFonts w:eastAsiaTheme="minorEastAsia"/>
        </w:rPr>
      </w:pPr>
    </w:p>
    <w:p w14:paraId="10001BF2" w14:textId="77777777"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severe </w:t>
      </w:r>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he proportion of years where aggregate TAC was below a critical threshold (</w:t>
      </w:r>
      <w:r w:rsidR="009F7091">
        <w:rPr>
          <w:rFonts w:eastAsiaTheme="minorEastAsia"/>
        </w:rPr>
        <w:t>1,0</w:t>
      </w:r>
      <w:r w:rsidR="00B01A4C">
        <w:rPr>
          <w:rFonts w:eastAsiaTheme="minorEastAsia"/>
        </w:rPr>
        <w:t xml:space="preserve">00,000) increased 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19"/>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9"/>
      <w:r w:rsidR="00B32293">
        <w:rPr>
          <w:rStyle w:val="CommentReference"/>
        </w:rPr>
        <w:commentReference w:id="19"/>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20"/>
      <w:r>
        <w:rPr>
          <w:rFonts w:eastAsiaTheme="minorEastAsia"/>
        </w:rPr>
        <w:t xml:space="preserve">250 </w:t>
      </w:r>
      <w:commentRangeEnd w:id="20"/>
      <w:r>
        <w:rPr>
          <w:rStyle w:val="CommentReference"/>
        </w:rPr>
        <w:commentReference w:id="20"/>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w:t>
      </w:r>
      <w:proofErr w:type="spellStart"/>
      <w:r>
        <w:rPr>
          <w:rFonts w:eastAsiaTheme="minorEastAsia"/>
        </w:rPr>
        <w:t>spawner</w:t>
      </w:r>
      <w:proofErr w:type="spellEnd"/>
      <w:r>
        <w:rPr>
          <w:rFonts w:eastAsiaTheme="minorEastAsia"/>
        </w:rPr>
        <w:t xml:space="preserve">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w:t>
      </w:r>
      <w:proofErr w:type="spellStart"/>
      <w:r w:rsidR="00F8390D">
        <w:rPr>
          <w:rFonts w:eastAsiaTheme="minorEastAsia"/>
        </w:rPr>
        <w:t>spawner</w:t>
      </w:r>
      <w:proofErr w:type="spellEnd"/>
      <w:r w:rsidR="00F8390D">
        <w:rPr>
          <w:rFonts w:eastAsiaTheme="minorEastAsia"/>
        </w:rPr>
        <w:t xml:space="preserve">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8E6657">
      <w:pPr>
        <w:jc w:val="center"/>
      </w:pPr>
      <w:r>
        <w:rPr>
          <w:rStyle w:val="CommentReference"/>
        </w:rPr>
        <w:commentReference w:id="21"/>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w:t>
      </w:r>
      <w:proofErr w:type="gramStart"/>
      <w:r>
        <w:t xml:space="preserve">Distributions of CU-specific median </w:t>
      </w:r>
      <w:proofErr w:type="spellStart"/>
      <w:r>
        <w:t>spawner</w:t>
      </w:r>
      <w:proofErr w:type="spellEnd"/>
      <w:r>
        <w:t xml:space="preserve">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8E6657">
      <w:commentRangeStart w:id="22"/>
      <w:r>
        <w:rPr>
          <w:noProof/>
          <w:lang w:val="en-US"/>
        </w:rPr>
        <w:drawing>
          <wp:inline distT="0" distB="0" distL="0" distR="0" wp14:anchorId="19CEA052" wp14:editId="45321C65">
            <wp:extent cx="5943600" cy="4540250"/>
            <wp:effectExtent l="0" t="0" r="0" b="635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0250"/>
                    </a:xfrm>
                    <a:prstGeom prst="rect">
                      <a:avLst/>
                    </a:prstGeom>
                    <a:noFill/>
                    <a:ln>
                      <a:noFill/>
                    </a:ln>
                  </pic:spPr>
                </pic:pic>
              </a:graphicData>
            </a:graphic>
          </wp:inline>
        </w:drawing>
      </w:r>
      <w:commentRangeEnd w:id="22"/>
      <w:r>
        <w:rPr>
          <w:rStyle w:val="CommentReference"/>
        </w:rPr>
        <w:commentReference w:id="22"/>
      </w:r>
    </w:p>
    <w:p w14:paraId="670FE2F0" w14:textId="167BFA5C" w:rsidR="00F8390D" w:rsidRDefault="00F8390D" w:rsidP="00F8390D">
      <w:r>
        <w:t xml:space="preserve">Figure S1. </w:t>
      </w:r>
      <w:proofErr w:type="gramStart"/>
      <w:r>
        <w:t xml:space="preserve">Distributions of CU-specific median </w:t>
      </w:r>
      <w:proofErr w:type="spellStart"/>
      <w:r>
        <w:t>spawner</w:t>
      </w:r>
      <w:proofErr w:type="spellEnd"/>
      <w:r>
        <w:t xml:space="preserve">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6207159B" w14:textId="77777777" w:rsidR="00DE0F7B" w:rsidRDefault="00DE0F7B" w:rsidP="00A91A4F"/>
    <w:p w14:paraId="51E0FA65" w14:textId="77777777" w:rsidR="00106349" w:rsidRPr="00106349" w:rsidRDefault="00DE0F7B" w:rsidP="00106349">
      <w:pPr>
        <w:pStyle w:val="EndNoteBibliography"/>
        <w:spacing w:after="0"/>
        <w:ind w:left="720" w:hanging="720"/>
        <w:rPr>
          <w:noProof/>
        </w:rPr>
      </w:pPr>
      <w:r>
        <w:fldChar w:fldCharType="begin"/>
      </w:r>
      <w:r>
        <w:instrText xml:space="preserve"> ADDIN EN.REFLIST </w:instrText>
      </w:r>
      <w:r>
        <w:fldChar w:fldCharType="separate"/>
      </w:r>
      <w:r w:rsidR="00106349" w:rsidRPr="00106349">
        <w:rPr>
          <w:noProof/>
        </w:rPr>
        <w:t xml:space="preserve">Anderson, S.C., Branch, T.A., Cooper, A.B. &amp; Dulvy, N.K. (2017) Black-swan events in animal populations. </w:t>
      </w:r>
      <w:r w:rsidR="00106349" w:rsidRPr="00106349">
        <w:rPr>
          <w:i/>
          <w:noProof/>
        </w:rPr>
        <w:t>Proceedings of the National Academy of Sciences</w:t>
      </w:r>
      <w:r w:rsidR="00106349" w:rsidRPr="00106349">
        <w:rPr>
          <w:noProof/>
        </w:rPr>
        <w:t>.</w:t>
      </w:r>
    </w:p>
    <w:p w14:paraId="7F4C8C2C" w14:textId="77777777" w:rsidR="00106349" w:rsidRPr="00106349" w:rsidRDefault="00106349" w:rsidP="00106349">
      <w:pPr>
        <w:pStyle w:val="EndNoteBibliography"/>
        <w:spacing w:after="0"/>
        <w:ind w:left="720" w:hanging="720"/>
        <w:rPr>
          <w:noProof/>
        </w:rPr>
      </w:pPr>
      <w:r w:rsidRPr="00106349">
        <w:rPr>
          <w:noProof/>
        </w:rPr>
        <w:t>Burgner, R.L. (1991) Life history of Sockeye Salmon (</w:t>
      </w:r>
      <w:r w:rsidRPr="00106349">
        <w:rPr>
          <w:i/>
          <w:noProof/>
        </w:rPr>
        <w:t>Oncorhynchus nerka</w:t>
      </w:r>
      <w:r w:rsidRPr="00106349">
        <w:rPr>
          <w:noProof/>
        </w:rPr>
        <w:t xml:space="preserve">). </w:t>
      </w:r>
      <w:r w:rsidRPr="00106349">
        <w:rPr>
          <w:i/>
          <w:noProof/>
        </w:rPr>
        <w:t xml:space="preserve">Pacific Salmon Life Histories </w:t>
      </w:r>
      <w:r w:rsidRPr="00106349">
        <w:rPr>
          <w:noProof/>
        </w:rPr>
        <w:t>(eds C. Groot &amp; L. Margolis).</w:t>
      </w:r>
      <w:r w:rsidRPr="00106349">
        <w:rPr>
          <w:i/>
          <w:noProof/>
        </w:rPr>
        <w:t xml:space="preserve"> </w:t>
      </w:r>
      <w:r w:rsidRPr="00106349">
        <w:rPr>
          <w:noProof/>
        </w:rPr>
        <w:t>University of British Columbia Press, Vancouver, B.C.</w:t>
      </w:r>
    </w:p>
    <w:p w14:paraId="0E3559F6" w14:textId="77777777" w:rsidR="00106349" w:rsidRPr="00106349" w:rsidRDefault="00106349" w:rsidP="00106349">
      <w:pPr>
        <w:pStyle w:val="EndNoteBibliography"/>
        <w:spacing w:after="0"/>
        <w:ind w:left="720" w:hanging="720"/>
        <w:rPr>
          <w:noProof/>
        </w:rPr>
      </w:pPr>
      <w:r w:rsidRPr="00106349">
        <w:rPr>
          <w:noProof/>
        </w:rPr>
        <w:t xml:space="preserve">Carlson, S.M. &amp; Satterthwaite, W.H. (2011) Weakened portfolio effect in a collapsed salmon population complex. </w:t>
      </w:r>
      <w:r w:rsidRPr="00106349">
        <w:rPr>
          <w:i/>
          <w:noProof/>
        </w:rPr>
        <w:t>Canadian Journal of Fisheries and Aquatic Sciences,</w:t>
      </w:r>
      <w:r w:rsidRPr="00106349">
        <w:rPr>
          <w:noProof/>
        </w:rPr>
        <w:t xml:space="preserve"> </w:t>
      </w:r>
      <w:r w:rsidRPr="00106349">
        <w:rPr>
          <w:b/>
          <w:noProof/>
        </w:rPr>
        <w:t>68,</w:t>
      </w:r>
      <w:r w:rsidRPr="00106349">
        <w:rPr>
          <w:noProof/>
        </w:rPr>
        <w:t xml:space="preserve"> 1579-1589.</w:t>
      </w:r>
    </w:p>
    <w:p w14:paraId="2D048019" w14:textId="77777777" w:rsidR="00106349" w:rsidRPr="00106349" w:rsidRDefault="00106349" w:rsidP="00106349">
      <w:pPr>
        <w:pStyle w:val="EndNoteBibliography"/>
        <w:spacing w:after="0"/>
        <w:ind w:left="720" w:hanging="720"/>
        <w:rPr>
          <w:noProof/>
        </w:rPr>
      </w:pPr>
      <w:r w:rsidRPr="00106349">
        <w:rPr>
          <w:noProof/>
        </w:rPr>
        <w:t xml:space="preserve">Cooke, S.J., Hinch, S.G., Farrell, A.P., Lapointe, M.F., Jones, S.R.M., Macdonald, J.S., Patterson, D.A., Healey, M.C. &amp; van der Kraak, G. (2004) Abnormal migration timing and high en route mortality of sockeye salmon in the Fraser River, British Columbia. </w:t>
      </w:r>
      <w:r w:rsidRPr="00106349">
        <w:rPr>
          <w:i/>
          <w:noProof/>
        </w:rPr>
        <w:t>Fisheries Research,</w:t>
      </w:r>
      <w:r w:rsidRPr="00106349">
        <w:rPr>
          <w:noProof/>
        </w:rPr>
        <w:t xml:space="preserve"> </w:t>
      </w:r>
      <w:r w:rsidRPr="00106349">
        <w:rPr>
          <w:b/>
          <w:noProof/>
        </w:rPr>
        <w:t>29,</w:t>
      </w:r>
      <w:r w:rsidRPr="00106349">
        <w:rPr>
          <w:noProof/>
        </w:rPr>
        <w:t xml:space="preserve"> 22-33.</w:t>
      </w:r>
    </w:p>
    <w:p w14:paraId="1D7E8C3F" w14:textId="77777777" w:rsidR="00106349" w:rsidRPr="00106349" w:rsidRDefault="00106349" w:rsidP="00106349">
      <w:pPr>
        <w:pStyle w:val="EndNoteBibliography"/>
        <w:spacing w:after="0"/>
        <w:ind w:left="720" w:hanging="720"/>
        <w:rPr>
          <w:noProof/>
        </w:rPr>
      </w:pPr>
      <w:r w:rsidRPr="00106349">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106349">
        <w:rPr>
          <w:i/>
          <w:noProof/>
        </w:rPr>
        <w:t>Canadian Journal of Zoology,</w:t>
      </w:r>
      <w:r w:rsidRPr="00106349">
        <w:rPr>
          <w:noProof/>
        </w:rPr>
        <w:t xml:space="preserve"> </w:t>
      </w:r>
      <w:r w:rsidRPr="00106349">
        <w:rPr>
          <w:b/>
          <w:noProof/>
        </w:rPr>
        <w:t>86,</w:t>
      </w:r>
      <w:r w:rsidRPr="00106349">
        <w:rPr>
          <w:noProof/>
        </w:rPr>
        <w:t xml:space="preserve"> 127-140.</w:t>
      </w:r>
    </w:p>
    <w:p w14:paraId="7326EC3D" w14:textId="77777777" w:rsidR="00106349" w:rsidRPr="00106349" w:rsidRDefault="00106349" w:rsidP="00106349">
      <w:pPr>
        <w:pStyle w:val="EndNoteBibliography"/>
        <w:spacing w:after="0"/>
        <w:ind w:left="720" w:hanging="720"/>
        <w:rPr>
          <w:noProof/>
        </w:rPr>
      </w:pPr>
      <w:r w:rsidRPr="00106349">
        <w:rPr>
          <w:noProof/>
        </w:rPr>
        <w:t xml:space="preserve">Doak, D.F., Bigger, D., Harding, E.K., Marvier, M.A., Malley, R.E.O. &amp; Thomson, D. (1998) The statistical inevitability of stability-diversity relationships in community ecology. </w:t>
      </w:r>
      <w:r w:rsidRPr="00106349">
        <w:rPr>
          <w:i/>
          <w:noProof/>
        </w:rPr>
        <w:t>American Naturalist,</w:t>
      </w:r>
      <w:r w:rsidRPr="00106349">
        <w:rPr>
          <w:noProof/>
        </w:rPr>
        <w:t xml:space="preserve"> </w:t>
      </w:r>
      <w:r w:rsidRPr="00106349">
        <w:rPr>
          <w:b/>
          <w:noProof/>
        </w:rPr>
        <w:t>151,</w:t>
      </w:r>
      <w:r w:rsidRPr="00106349">
        <w:rPr>
          <w:noProof/>
        </w:rPr>
        <w:t xml:space="preserve"> 264-276.</w:t>
      </w:r>
    </w:p>
    <w:p w14:paraId="5C6E5C4E" w14:textId="77777777" w:rsidR="00106349" w:rsidRPr="00106349" w:rsidRDefault="00106349" w:rsidP="00106349">
      <w:pPr>
        <w:pStyle w:val="EndNoteBibliography"/>
        <w:spacing w:after="0"/>
        <w:ind w:left="720" w:hanging="720"/>
        <w:rPr>
          <w:noProof/>
        </w:rPr>
      </w:pPr>
      <w:r w:rsidRPr="00106349">
        <w:rPr>
          <w:noProof/>
        </w:rPr>
        <w:t>Dorner, B., Peterman, R.M. &amp; Su, Z. (2009) Evaluation of performance of alternative management models of Pacific salmon (</w:t>
      </w:r>
      <w:r w:rsidRPr="00106349">
        <w:rPr>
          <w:i/>
          <w:noProof/>
        </w:rPr>
        <w:t>Oncorhynchus</w:t>
      </w:r>
      <w:r w:rsidRPr="00106349">
        <w:rPr>
          <w:noProof/>
        </w:rPr>
        <w:t xml:space="preserve"> spp.) in the presence of climatic change and outcome uncertainty using Monte Carlo simulations. </w:t>
      </w:r>
      <w:r w:rsidRPr="00106349">
        <w:rPr>
          <w:i/>
          <w:noProof/>
        </w:rPr>
        <w:t>Canadian Journal of Fisheries and Aquatic Sciences,</w:t>
      </w:r>
      <w:r w:rsidRPr="00106349">
        <w:rPr>
          <w:noProof/>
        </w:rPr>
        <w:t xml:space="preserve"> </w:t>
      </w:r>
      <w:r w:rsidRPr="00106349">
        <w:rPr>
          <w:b/>
          <w:noProof/>
        </w:rPr>
        <w:t>66,</w:t>
      </w:r>
      <w:r w:rsidRPr="00106349">
        <w:rPr>
          <w:noProof/>
        </w:rPr>
        <w:t xml:space="preserve"> 2199-2221.</w:t>
      </w:r>
    </w:p>
    <w:p w14:paraId="45544257" w14:textId="77777777" w:rsidR="00106349" w:rsidRPr="00106349" w:rsidRDefault="00106349" w:rsidP="00106349">
      <w:pPr>
        <w:pStyle w:val="EndNoteBibliography"/>
        <w:spacing w:after="0"/>
        <w:ind w:left="720" w:hanging="720"/>
        <w:rPr>
          <w:noProof/>
        </w:rPr>
      </w:pPr>
      <w:r w:rsidRPr="00106349">
        <w:rPr>
          <w:noProof/>
        </w:rPr>
        <w:t>Grant, S.C.H., MacDonald, B.L., Cone, T.E., Holt, C.A., Cass, A., Porszt, E.J., Hume, J.M.B. &amp; Pon, L.B. (2011) Evaluation of uncertainty in Fraser Sockeye (</w:t>
      </w:r>
      <w:r w:rsidRPr="00106349">
        <w:rPr>
          <w:i/>
          <w:noProof/>
        </w:rPr>
        <w:t>Oncorhynchus nerka</w:t>
      </w:r>
      <w:r w:rsidRPr="00106349">
        <w:rPr>
          <w:noProof/>
        </w:rPr>
        <w:t xml:space="preserve">) wild salmon policy status using abundance and trends in abundance metrics. </w:t>
      </w:r>
      <w:r w:rsidRPr="00106349">
        <w:rPr>
          <w:i/>
          <w:noProof/>
        </w:rPr>
        <w:t>Candian Science Advisory Secretariat Research Document,</w:t>
      </w:r>
      <w:r w:rsidRPr="00106349">
        <w:rPr>
          <w:noProof/>
        </w:rPr>
        <w:t xml:space="preserve"> </w:t>
      </w:r>
      <w:r w:rsidRPr="00106349">
        <w:rPr>
          <w:b/>
          <w:noProof/>
        </w:rPr>
        <w:t>2011/087</w:t>
      </w:r>
      <w:r w:rsidRPr="00106349">
        <w:rPr>
          <w:noProof/>
        </w:rPr>
        <w:t>.</w:t>
      </w:r>
    </w:p>
    <w:p w14:paraId="771EE7F6" w14:textId="77777777" w:rsidR="00106349" w:rsidRPr="00106349" w:rsidRDefault="00106349" w:rsidP="00106349">
      <w:pPr>
        <w:pStyle w:val="EndNoteBibliography"/>
        <w:spacing w:after="0"/>
        <w:ind w:left="720" w:hanging="720"/>
        <w:rPr>
          <w:noProof/>
        </w:rPr>
      </w:pPr>
      <w:r w:rsidRPr="00106349">
        <w:rPr>
          <w:noProof/>
        </w:rPr>
        <w:t xml:space="preserve">Griffiths, J.R., Schindler, D.E., Armstrong, J.B., Scheuerell, M.D., Whited, D.C., Clark, R.A., Hilborn, R., Holt, C.A., Lindley, S.T., Stanford, J.A. &amp; Volk, E.C. (2014) Performance of salmon fishery portfolios across western North America. </w:t>
      </w:r>
      <w:r w:rsidRPr="00106349">
        <w:rPr>
          <w:i/>
          <w:noProof/>
        </w:rPr>
        <w:t>Journal of Applied Ecology,</w:t>
      </w:r>
      <w:r w:rsidRPr="00106349">
        <w:rPr>
          <w:noProof/>
        </w:rPr>
        <w:t xml:space="preserve"> </w:t>
      </w:r>
      <w:r w:rsidRPr="00106349">
        <w:rPr>
          <w:b/>
          <w:noProof/>
        </w:rPr>
        <w:t>51,</w:t>
      </w:r>
      <w:r w:rsidRPr="00106349">
        <w:rPr>
          <w:noProof/>
        </w:rPr>
        <w:t xml:space="preserve"> 1554-1563.</w:t>
      </w:r>
    </w:p>
    <w:p w14:paraId="6607694C" w14:textId="77777777" w:rsidR="00106349" w:rsidRPr="00106349" w:rsidRDefault="00106349" w:rsidP="00106349">
      <w:pPr>
        <w:pStyle w:val="EndNoteBibliography"/>
        <w:spacing w:after="0"/>
        <w:ind w:left="720" w:hanging="720"/>
        <w:rPr>
          <w:noProof/>
        </w:rPr>
      </w:pPr>
      <w:r w:rsidRPr="00106349">
        <w:rPr>
          <w:noProof/>
        </w:rPr>
        <w:t xml:space="preserve">Holt, C.A. (2009) Evaluation of benchmarks for conservation units in Canada's Wild Salmon Policy: Technical Documentation. </w:t>
      </w:r>
      <w:r w:rsidRPr="00106349">
        <w:rPr>
          <w:i/>
          <w:noProof/>
        </w:rPr>
        <w:t>Canadian Science Advisory Secretariat Research Document 2009/059</w:t>
      </w:r>
      <w:r w:rsidRPr="00106349">
        <w:rPr>
          <w:b/>
          <w:noProof/>
        </w:rPr>
        <w:t>,</w:t>
      </w:r>
      <w:r w:rsidRPr="00106349">
        <w:rPr>
          <w:noProof/>
        </w:rPr>
        <w:t xml:space="preserve"> 50 p.</w:t>
      </w:r>
    </w:p>
    <w:p w14:paraId="5E48F22F" w14:textId="77777777" w:rsidR="00106349" w:rsidRPr="00106349" w:rsidRDefault="00106349" w:rsidP="00106349">
      <w:pPr>
        <w:pStyle w:val="EndNoteBibliography"/>
        <w:spacing w:after="0"/>
        <w:ind w:left="720" w:hanging="720"/>
        <w:rPr>
          <w:noProof/>
        </w:rPr>
      </w:pPr>
      <w:r w:rsidRPr="00106349">
        <w:rPr>
          <w:noProof/>
        </w:rPr>
        <w:t xml:space="preserve">Holt, C.A. &amp; Folkes, M.J.P. (2015) Cautions on using percentile-based benchmarks of status for data-limited populations of Pacific salmon under persistent trends in productivity and uncertain outcomes from harvest management. </w:t>
      </w:r>
      <w:r w:rsidRPr="00106349">
        <w:rPr>
          <w:i/>
          <w:noProof/>
        </w:rPr>
        <w:t>Fisheries Research,</w:t>
      </w:r>
      <w:r w:rsidRPr="00106349">
        <w:rPr>
          <w:noProof/>
        </w:rPr>
        <w:t xml:space="preserve"> </w:t>
      </w:r>
      <w:r w:rsidRPr="00106349">
        <w:rPr>
          <w:b/>
          <w:noProof/>
        </w:rPr>
        <w:t>171,</w:t>
      </w:r>
      <w:r w:rsidRPr="00106349">
        <w:rPr>
          <w:noProof/>
        </w:rPr>
        <w:t xml:space="preserve"> 188-200.</w:t>
      </w:r>
    </w:p>
    <w:p w14:paraId="41D6756C" w14:textId="77777777" w:rsidR="00106349" w:rsidRPr="00106349" w:rsidRDefault="00106349" w:rsidP="00106349">
      <w:pPr>
        <w:pStyle w:val="EndNoteBibliography"/>
        <w:spacing w:after="0"/>
        <w:ind w:left="720" w:hanging="720"/>
        <w:rPr>
          <w:noProof/>
        </w:rPr>
      </w:pPr>
      <w:r w:rsidRPr="00106349">
        <w:rPr>
          <w:noProof/>
        </w:rPr>
        <w:t xml:space="preserve">Holtby, L.B. &amp; Ciruna, K.A. (2007) Conservation units for Pacific salmon under the Wild Salmon Policy. </w:t>
      </w:r>
      <w:r w:rsidRPr="00106349">
        <w:rPr>
          <w:i/>
          <w:noProof/>
        </w:rPr>
        <w:t>Canadian Service Advisory Secretariat Research Document,</w:t>
      </w:r>
      <w:r w:rsidRPr="00106349">
        <w:rPr>
          <w:noProof/>
        </w:rPr>
        <w:t xml:space="preserve"> </w:t>
      </w:r>
      <w:r w:rsidRPr="00106349">
        <w:rPr>
          <w:b/>
          <w:noProof/>
        </w:rPr>
        <w:t>2007/070,</w:t>
      </w:r>
      <w:r w:rsidRPr="00106349">
        <w:rPr>
          <w:noProof/>
        </w:rPr>
        <w:t xml:space="preserve"> 358 p.</w:t>
      </w:r>
    </w:p>
    <w:p w14:paraId="135EBBF8" w14:textId="77777777" w:rsidR="00106349" w:rsidRPr="00106349" w:rsidRDefault="00106349" w:rsidP="00106349">
      <w:pPr>
        <w:pStyle w:val="EndNoteBibliography"/>
        <w:spacing w:after="0"/>
        <w:ind w:left="720" w:hanging="720"/>
        <w:rPr>
          <w:noProof/>
        </w:rPr>
      </w:pPr>
      <w:r w:rsidRPr="00106349">
        <w:rPr>
          <w:noProof/>
        </w:rPr>
        <w:t>Larkin, P.A. (1971) Simulation studies of Adams River sockeye salmon (</w:t>
      </w:r>
      <w:r w:rsidRPr="00106349">
        <w:rPr>
          <w:i/>
          <w:noProof/>
        </w:rPr>
        <w:t>Oncorhynchus nerka</w:t>
      </w:r>
      <w:r w:rsidRPr="00106349">
        <w:rPr>
          <w:noProof/>
        </w:rPr>
        <w:t xml:space="preserve">). </w:t>
      </w:r>
      <w:r w:rsidRPr="00106349">
        <w:rPr>
          <w:i/>
          <w:noProof/>
        </w:rPr>
        <w:t>Journal Fisheries Research Board of Canada,</w:t>
      </w:r>
      <w:r w:rsidRPr="00106349">
        <w:rPr>
          <w:noProof/>
        </w:rPr>
        <w:t xml:space="preserve"> </w:t>
      </w:r>
      <w:r w:rsidRPr="00106349">
        <w:rPr>
          <w:b/>
          <w:noProof/>
        </w:rPr>
        <w:t>28,</w:t>
      </w:r>
      <w:r w:rsidRPr="00106349">
        <w:rPr>
          <w:noProof/>
        </w:rPr>
        <w:t xml:space="preserve"> 1493-1502.</w:t>
      </w:r>
    </w:p>
    <w:p w14:paraId="4841904D" w14:textId="77777777" w:rsidR="00106349" w:rsidRPr="00106349" w:rsidRDefault="00106349" w:rsidP="00106349">
      <w:pPr>
        <w:pStyle w:val="EndNoteBibliography"/>
        <w:spacing w:after="0"/>
        <w:ind w:left="720" w:hanging="720"/>
        <w:rPr>
          <w:noProof/>
        </w:rPr>
      </w:pPr>
      <w:r w:rsidRPr="00106349">
        <w:rPr>
          <w:noProof/>
        </w:rPr>
        <w:t xml:space="preserve">Link, J.S. (2018) System-level optimal yield: increased value, less risk, improved stability, and better fisheries. </w:t>
      </w:r>
      <w:r w:rsidRPr="00106349">
        <w:rPr>
          <w:i/>
          <w:noProof/>
        </w:rPr>
        <w:t>Canadian Journal of Fisheries and Aquatic Sciences,</w:t>
      </w:r>
      <w:r w:rsidRPr="00106349">
        <w:rPr>
          <w:noProof/>
        </w:rPr>
        <w:t xml:space="preserve"> </w:t>
      </w:r>
      <w:r w:rsidRPr="00106349">
        <w:rPr>
          <w:b/>
          <w:noProof/>
        </w:rPr>
        <w:t>75,</w:t>
      </w:r>
      <w:r w:rsidRPr="00106349">
        <w:rPr>
          <w:noProof/>
        </w:rPr>
        <w:t xml:space="preserve"> 1-16.</w:t>
      </w:r>
    </w:p>
    <w:p w14:paraId="40ECFC1E" w14:textId="77777777" w:rsidR="00106349" w:rsidRPr="00106349" w:rsidRDefault="00106349" w:rsidP="00106349">
      <w:pPr>
        <w:pStyle w:val="EndNoteBibliography"/>
        <w:spacing w:after="0"/>
        <w:ind w:left="720" w:hanging="720"/>
        <w:rPr>
          <w:noProof/>
        </w:rPr>
      </w:pPr>
      <w:r w:rsidRPr="00106349">
        <w:rPr>
          <w:noProof/>
        </w:rPr>
        <w:t xml:space="preserve">Loreau, M. &amp; de Mazancourt, C. (2008) Species synchrony and its drivers: neutral and nonneutral community dynamics in fluctuating environments </w:t>
      </w:r>
      <w:r w:rsidRPr="00106349">
        <w:rPr>
          <w:i/>
          <w:noProof/>
        </w:rPr>
        <w:t>The American Naturalist,</w:t>
      </w:r>
      <w:r w:rsidRPr="00106349">
        <w:rPr>
          <w:noProof/>
        </w:rPr>
        <w:t xml:space="preserve"> </w:t>
      </w:r>
      <w:r w:rsidRPr="00106349">
        <w:rPr>
          <w:b/>
          <w:noProof/>
        </w:rPr>
        <w:t>172,</w:t>
      </w:r>
      <w:r w:rsidRPr="00106349">
        <w:rPr>
          <w:noProof/>
        </w:rPr>
        <w:t xml:space="preserve"> E48-E66.</w:t>
      </w:r>
    </w:p>
    <w:p w14:paraId="2BF095E6" w14:textId="77777777" w:rsidR="00106349" w:rsidRPr="00106349" w:rsidRDefault="00106349" w:rsidP="00106349">
      <w:pPr>
        <w:pStyle w:val="EndNoteBibliography"/>
        <w:spacing w:after="0"/>
        <w:ind w:left="720" w:hanging="720"/>
        <w:rPr>
          <w:noProof/>
        </w:rPr>
      </w:pPr>
      <w:r w:rsidRPr="00106349">
        <w:rPr>
          <w:noProof/>
        </w:rPr>
        <w:t>Macdonald, J.S. (2000) Mortality during the migration of Fraser River sockeye salmon (</w:t>
      </w:r>
      <w:r w:rsidRPr="00106349">
        <w:rPr>
          <w:i/>
          <w:noProof/>
        </w:rPr>
        <w:t>Oncorhynchus nerka</w:t>
      </w:r>
      <w:r w:rsidRPr="00106349">
        <w:rPr>
          <w:noProof/>
        </w:rPr>
        <w:t xml:space="preserve">): a study of the effect of ocean and river environmental conditions in 1997. </w:t>
      </w:r>
      <w:r w:rsidRPr="00106349">
        <w:rPr>
          <w:i/>
          <w:noProof/>
        </w:rPr>
        <w:t>Canadian Technical Report of Fisheries and Aquatic Sciences,</w:t>
      </w:r>
      <w:r w:rsidRPr="00106349">
        <w:rPr>
          <w:noProof/>
        </w:rPr>
        <w:t xml:space="preserve"> </w:t>
      </w:r>
      <w:r w:rsidRPr="00106349">
        <w:rPr>
          <w:b/>
          <w:noProof/>
        </w:rPr>
        <w:t>2315,</w:t>
      </w:r>
      <w:r w:rsidRPr="00106349">
        <w:rPr>
          <w:noProof/>
        </w:rPr>
        <w:t xml:space="preserve"> 120 p.</w:t>
      </w:r>
    </w:p>
    <w:p w14:paraId="7F3C841C" w14:textId="77777777" w:rsidR="00106349" w:rsidRPr="00106349" w:rsidRDefault="00106349" w:rsidP="00106349">
      <w:pPr>
        <w:pStyle w:val="EndNoteBibliography"/>
        <w:spacing w:after="0"/>
        <w:ind w:left="720" w:hanging="720"/>
        <w:rPr>
          <w:noProof/>
        </w:rPr>
      </w:pPr>
      <w:r w:rsidRPr="00106349">
        <w:rPr>
          <w:noProof/>
        </w:rPr>
        <w:t xml:space="preserve">Mueter, F.J., Pyper, B.J. &amp; Peterman, R.M. (2005) Relationships between Coastal Ocean Conditions and Survival Rates of Northeast Pacific Salmon at Multiple Lags. </w:t>
      </w:r>
      <w:r w:rsidRPr="00106349">
        <w:rPr>
          <w:i/>
          <w:noProof/>
        </w:rPr>
        <w:t>Transactions of the American Fisheries Society,</w:t>
      </w:r>
      <w:r w:rsidRPr="00106349">
        <w:rPr>
          <w:noProof/>
        </w:rPr>
        <w:t xml:space="preserve"> </w:t>
      </w:r>
      <w:r w:rsidRPr="00106349">
        <w:rPr>
          <w:b/>
          <w:noProof/>
        </w:rPr>
        <w:t>134,</w:t>
      </w:r>
      <w:r w:rsidRPr="00106349">
        <w:rPr>
          <w:noProof/>
        </w:rPr>
        <w:t xml:space="preserve"> 105-119.</w:t>
      </w:r>
    </w:p>
    <w:p w14:paraId="575459E3" w14:textId="77777777" w:rsidR="00106349" w:rsidRPr="00106349" w:rsidRDefault="00106349" w:rsidP="00106349">
      <w:pPr>
        <w:pStyle w:val="EndNoteBibliography"/>
        <w:spacing w:after="0"/>
        <w:ind w:left="720" w:hanging="720"/>
        <w:rPr>
          <w:noProof/>
        </w:rPr>
      </w:pPr>
      <w:r w:rsidRPr="00106349">
        <w:rPr>
          <w:noProof/>
        </w:rPr>
        <w:t>Pestal, G., Huang, A.-M. &amp; Cass, A. (2011) Updated methods for assessing harvest rules for Fraser River sockeye salmon (</w:t>
      </w:r>
      <w:r w:rsidRPr="00106349">
        <w:rPr>
          <w:i/>
          <w:noProof/>
        </w:rPr>
        <w:t>Oncorhynchus nerka</w:t>
      </w:r>
      <w:r w:rsidRPr="00106349">
        <w:rPr>
          <w:noProof/>
        </w:rPr>
        <w:t xml:space="preserve">). </w:t>
      </w:r>
      <w:r w:rsidRPr="00106349">
        <w:rPr>
          <w:i/>
          <w:noProof/>
        </w:rPr>
        <w:t>Canadian Science Advisory Secretariat Research Document 2011/133</w:t>
      </w:r>
      <w:r w:rsidRPr="00106349">
        <w:rPr>
          <w:b/>
          <w:noProof/>
        </w:rPr>
        <w:t>,</w:t>
      </w:r>
      <w:r w:rsidRPr="00106349">
        <w:rPr>
          <w:noProof/>
        </w:rPr>
        <w:t xml:space="preserve"> 175 p.</w:t>
      </w:r>
    </w:p>
    <w:p w14:paraId="312CA48A" w14:textId="77777777" w:rsidR="00106349" w:rsidRPr="00106349" w:rsidRDefault="00106349" w:rsidP="00106349">
      <w:pPr>
        <w:pStyle w:val="EndNoteBibliography"/>
        <w:spacing w:after="0"/>
        <w:ind w:left="720" w:hanging="720"/>
        <w:rPr>
          <w:noProof/>
        </w:rPr>
      </w:pPr>
      <w:r w:rsidRPr="00106349">
        <w:rPr>
          <w:noProof/>
        </w:rPr>
        <w:t>Peterman, Randall M. &amp; Dorner, B. (2012) A widespread decrease in productivity of Sockeye Salmon (</w:t>
      </w:r>
      <w:r w:rsidRPr="00106349">
        <w:rPr>
          <w:i/>
          <w:noProof/>
        </w:rPr>
        <w:t>Oncorhynchus nerka</w:t>
      </w:r>
      <w:r w:rsidRPr="00106349">
        <w:rPr>
          <w:noProof/>
        </w:rPr>
        <w:t xml:space="preserve">) populations in western North America. </w:t>
      </w:r>
      <w:r w:rsidRPr="00106349">
        <w:rPr>
          <w:i/>
          <w:noProof/>
        </w:rPr>
        <w:t>Canadian Journal of Fisheries and Aquatic Sciences,</w:t>
      </w:r>
      <w:r w:rsidRPr="00106349">
        <w:rPr>
          <w:noProof/>
        </w:rPr>
        <w:t xml:space="preserve"> </w:t>
      </w:r>
      <w:r w:rsidRPr="00106349">
        <w:rPr>
          <w:b/>
          <w:noProof/>
        </w:rPr>
        <w:t>69,</w:t>
      </w:r>
      <w:r w:rsidRPr="00106349">
        <w:rPr>
          <w:noProof/>
        </w:rPr>
        <w:t xml:space="preserve"> 1255-1260.</w:t>
      </w:r>
    </w:p>
    <w:p w14:paraId="0368D170" w14:textId="77777777" w:rsidR="00106349" w:rsidRPr="00106349" w:rsidRDefault="00106349" w:rsidP="00106349">
      <w:pPr>
        <w:pStyle w:val="EndNoteBibliography"/>
        <w:spacing w:after="0"/>
        <w:ind w:left="720" w:hanging="720"/>
        <w:rPr>
          <w:noProof/>
        </w:rPr>
      </w:pPr>
      <w:r w:rsidRPr="00106349">
        <w:rPr>
          <w:noProof/>
        </w:rPr>
        <w:t xml:space="preserve">Ricker, W.E. (1975) Computation and interpretation of biological statistics of fish populations. </w:t>
      </w:r>
      <w:r w:rsidRPr="00106349">
        <w:rPr>
          <w:i/>
          <w:noProof/>
        </w:rPr>
        <w:t>Fisheries Research Board of Canada Bulletin,</w:t>
      </w:r>
      <w:r w:rsidRPr="00106349">
        <w:rPr>
          <w:noProof/>
        </w:rPr>
        <w:t xml:space="preserve"> </w:t>
      </w:r>
      <w:r w:rsidRPr="00106349">
        <w:rPr>
          <w:b/>
          <w:noProof/>
        </w:rPr>
        <w:t>191</w:t>
      </w:r>
      <w:r w:rsidRPr="00106349">
        <w:rPr>
          <w:noProof/>
        </w:rPr>
        <w:t>.</w:t>
      </w:r>
    </w:p>
    <w:p w14:paraId="67CAF11E" w14:textId="77777777" w:rsidR="00106349" w:rsidRPr="00106349" w:rsidRDefault="00106349" w:rsidP="00106349">
      <w:pPr>
        <w:pStyle w:val="EndNoteBibliography"/>
        <w:spacing w:after="0"/>
        <w:ind w:left="720" w:hanging="720"/>
        <w:rPr>
          <w:noProof/>
        </w:rPr>
      </w:pPr>
      <w:r w:rsidRPr="00106349">
        <w:rPr>
          <w:noProof/>
        </w:rPr>
        <w:t xml:space="preserve">Satterthwaite, W.H. &amp; Carlson, S.M. (2015) Weakening portfolio effect strength in a hatchery-supplemented Chinook salmon population complex. </w:t>
      </w:r>
      <w:r w:rsidRPr="00106349">
        <w:rPr>
          <w:i/>
          <w:noProof/>
        </w:rPr>
        <w:t>Canadian Journal of Fisheries and Aquatic Sciences,</w:t>
      </w:r>
      <w:r w:rsidRPr="00106349">
        <w:rPr>
          <w:noProof/>
        </w:rPr>
        <w:t xml:space="preserve"> </w:t>
      </w:r>
      <w:r w:rsidRPr="00106349">
        <w:rPr>
          <w:b/>
          <w:noProof/>
        </w:rPr>
        <w:t>72,</w:t>
      </w:r>
      <w:r w:rsidRPr="00106349">
        <w:rPr>
          <w:noProof/>
        </w:rPr>
        <w:t xml:space="preserve"> 1860-1875.</w:t>
      </w:r>
    </w:p>
    <w:p w14:paraId="280BEFD4" w14:textId="77777777" w:rsidR="00106349" w:rsidRPr="00106349" w:rsidRDefault="00106349" w:rsidP="00106349">
      <w:pPr>
        <w:pStyle w:val="EndNoteBibliography"/>
        <w:spacing w:after="0"/>
        <w:ind w:left="720" w:hanging="720"/>
        <w:rPr>
          <w:noProof/>
        </w:rPr>
      </w:pPr>
      <w:r w:rsidRPr="00106349">
        <w:rPr>
          <w:noProof/>
        </w:rPr>
        <w:t xml:space="preserve">Schindler, D.E., Armstrong, J.B. &amp; Reed, T.E. (2015) The portfolio concept in ecology and evolution. </w:t>
      </w:r>
      <w:r w:rsidRPr="00106349">
        <w:rPr>
          <w:i/>
          <w:noProof/>
        </w:rPr>
        <w:t>Frontiers in Ecology and the Environment,</w:t>
      </w:r>
      <w:r w:rsidRPr="00106349">
        <w:rPr>
          <w:noProof/>
        </w:rPr>
        <w:t xml:space="preserve"> </w:t>
      </w:r>
      <w:r w:rsidRPr="00106349">
        <w:rPr>
          <w:b/>
          <w:noProof/>
        </w:rPr>
        <w:t>13,</w:t>
      </w:r>
      <w:r w:rsidRPr="00106349">
        <w:rPr>
          <w:noProof/>
        </w:rPr>
        <w:t xml:space="preserve"> 257-263.</w:t>
      </w:r>
    </w:p>
    <w:p w14:paraId="2AB73B18" w14:textId="77777777" w:rsidR="00106349" w:rsidRPr="00106349" w:rsidRDefault="00106349" w:rsidP="00106349">
      <w:pPr>
        <w:pStyle w:val="EndNoteBibliography"/>
        <w:spacing w:after="0"/>
        <w:ind w:left="720" w:hanging="720"/>
        <w:rPr>
          <w:noProof/>
        </w:rPr>
      </w:pPr>
      <w:r w:rsidRPr="00106349">
        <w:rPr>
          <w:noProof/>
        </w:rPr>
        <w:t xml:space="preserve">Schindler, D.E., Hilborn, R., Chasco, B., Boatright, C.P., Quinn, T.P., Rogers, L.A. &amp; Webster, M.S. (2010) Population diversity and the portfolio effect in an exploited species. </w:t>
      </w:r>
      <w:r w:rsidRPr="00106349">
        <w:rPr>
          <w:i/>
          <w:noProof/>
        </w:rPr>
        <w:t>Nature,</w:t>
      </w:r>
      <w:r w:rsidRPr="00106349">
        <w:rPr>
          <w:noProof/>
        </w:rPr>
        <w:t xml:space="preserve"> </w:t>
      </w:r>
      <w:r w:rsidRPr="00106349">
        <w:rPr>
          <w:b/>
          <w:noProof/>
        </w:rPr>
        <w:t>465,</w:t>
      </w:r>
      <w:r w:rsidRPr="00106349">
        <w:rPr>
          <w:noProof/>
        </w:rPr>
        <w:t xml:space="preserve"> 609-612.</w:t>
      </w:r>
    </w:p>
    <w:p w14:paraId="0CE28848" w14:textId="77777777" w:rsidR="00106349" w:rsidRPr="00106349" w:rsidRDefault="00106349" w:rsidP="00106349">
      <w:pPr>
        <w:pStyle w:val="EndNoteBibliography"/>
        <w:spacing w:after="0"/>
        <w:ind w:left="720" w:hanging="720"/>
        <w:rPr>
          <w:noProof/>
        </w:rPr>
      </w:pPr>
      <w:r w:rsidRPr="00106349">
        <w:rPr>
          <w:noProof/>
        </w:rPr>
        <w:t xml:space="preserve">Thibaut, L.M. &amp; Connolly, S.R. (2013) Understanding diversity-stability relationships: towards a unified model of portfolio effects. </w:t>
      </w:r>
      <w:r w:rsidRPr="00106349">
        <w:rPr>
          <w:i/>
          <w:noProof/>
        </w:rPr>
        <w:t>Ecology Letters,</w:t>
      </w:r>
      <w:r w:rsidRPr="00106349">
        <w:rPr>
          <w:noProof/>
        </w:rPr>
        <w:t xml:space="preserve"> </w:t>
      </w:r>
      <w:r w:rsidRPr="00106349">
        <w:rPr>
          <w:b/>
          <w:noProof/>
        </w:rPr>
        <w:t>16,</w:t>
      </w:r>
      <w:r w:rsidRPr="00106349">
        <w:rPr>
          <w:noProof/>
        </w:rPr>
        <w:t xml:space="preserve"> 140-150.</w:t>
      </w:r>
    </w:p>
    <w:p w14:paraId="21EFE1A5" w14:textId="77777777" w:rsidR="00106349" w:rsidRPr="00106349" w:rsidRDefault="00106349" w:rsidP="00106349">
      <w:pPr>
        <w:pStyle w:val="EndNoteBibliography"/>
        <w:spacing w:after="0"/>
        <w:ind w:left="720" w:hanging="720"/>
        <w:rPr>
          <w:noProof/>
        </w:rPr>
      </w:pPr>
      <w:r w:rsidRPr="00106349">
        <w:rPr>
          <w:noProof/>
        </w:rPr>
        <w:t xml:space="preserve">Tilman, D., Isbell, F. &amp; Cowles, J.M. (2014) Biodiversity and ecosystem functioning. </w:t>
      </w:r>
      <w:r w:rsidRPr="00106349">
        <w:rPr>
          <w:i/>
          <w:noProof/>
        </w:rPr>
        <w:t>Annual Review of Ecology, Evolution, and Systematics,</w:t>
      </w:r>
      <w:r w:rsidRPr="00106349">
        <w:rPr>
          <w:noProof/>
        </w:rPr>
        <w:t xml:space="preserve"> </w:t>
      </w:r>
      <w:r w:rsidRPr="00106349">
        <w:rPr>
          <w:b/>
          <w:noProof/>
        </w:rPr>
        <w:t>45,</w:t>
      </w:r>
      <w:r w:rsidRPr="00106349">
        <w:rPr>
          <w:noProof/>
        </w:rPr>
        <w:t xml:space="preserve"> 471-493.</w:t>
      </w:r>
    </w:p>
    <w:p w14:paraId="26A53686" w14:textId="77777777" w:rsidR="00106349" w:rsidRPr="00106349" w:rsidRDefault="00106349" w:rsidP="00106349">
      <w:pPr>
        <w:pStyle w:val="EndNoteBibliography"/>
        <w:ind w:left="720" w:hanging="720"/>
        <w:rPr>
          <w:noProof/>
        </w:rPr>
      </w:pPr>
      <w:r w:rsidRPr="00106349">
        <w:rPr>
          <w:noProof/>
        </w:rPr>
        <w:t xml:space="preserve">Yamane, L., Botsford, L.W. &amp; Kilduff, D.P. (2018) Tracking restoration of population diversity via the portfolio effect. </w:t>
      </w:r>
      <w:r w:rsidRPr="00106349">
        <w:rPr>
          <w:i/>
          <w:noProof/>
        </w:rPr>
        <w:t>Journal of Applied Ecology,</w:t>
      </w:r>
      <w:r w:rsidRPr="00106349">
        <w:rPr>
          <w:noProof/>
        </w:rPr>
        <w:t xml:space="preserve"> </w:t>
      </w:r>
      <w:r w:rsidRPr="00106349">
        <w:rPr>
          <w:b/>
          <w:noProof/>
        </w:rPr>
        <w:t>55,</w:t>
      </w:r>
      <w:r w:rsidRPr="00106349">
        <w:rPr>
          <w:noProof/>
        </w:rPr>
        <w:t xml:space="preserve"> 472-481.</w:t>
      </w:r>
    </w:p>
    <w:p w14:paraId="3E0FE7E0" w14:textId="0AB04073"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01T13:06:00Z" w:initials="D">
    <w:p w14:paraId="57C706DD" w14:textId="2B5943BC" w:rsidR="00C030C1" w:rsidRDefault="00C030C1">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C030C1" w:rsidRDefault="00C030C1">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3" w:author="Cameron Freshwater" w:date="2018-09-02T20:32:00Z" w:initials="CF">
    <w:p w14:paraId="5C7FB770" w14:textId="0CBEC2C0" w:rsidR="00C030C1" w:rsidRDefault="00C030C1">
      <w:pPr>
        <w:pStyle w:val="CommentText"/>
      </w:pPr>
      <w:r>
        <w:rPr>
          <w:rStyle w:val="CommentReference"/>
        </w:rPr>
        <w:annotationRef/>
      </w:r>
      <w:r>
        <w:t>Ok to cite the WSP status draft?</w:t>
      </w:r>
    </w:p>
  </w:comment>
  <w:comment w:id="4" w:author="Cameron Freshwater" w:date="2018-09-02T13:54:00Z" w:initials="CF">
    <w:p w14:paraId="1F411D00" w14:textId="77777777" w:rsidR="00C030C1" w:rsidRDefault="00C030C1">
      <w:pPr>
        <w:pStyle w:val="CommentText"/>
      </w:pPr>
      <w:r>
        <w:rPr>
          <w:rStyle w:val="CommentReference"/>
        </w:rPr>
        <w:annotationRef/>
      </w:r>
      <w:r>
        <w:t xml:space="preserve">Necessary to list these somewhere? </w:t>
      </w:r>
    </w:p>
    <w:p w14:paraId="1301AD09" w14:textId="77777777" w:rsidR="00C030C1" w:rsidRDefault="00C030C1">
      <w:pPr>
        <w:pStyle w:val="CommentText"/>
      </w:pPr>
    </w:p>
    <w:p w14:paraId="30EA0962" w14:textId="3E7D05C8" w:rsidR="00C030C1" w:rsidRPr="00D31645" w:rsidRDefault="00C030C1">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5" w:author="DFO-MPO" w:date="2018-09-03T09:49:00Z" w:initials="D">
    <w:p w14:paraId="02FE2BBA" w14:textId="58720E24" w:rsidR="00C030C1" w:rsidRDefault="00C030C1">
      <w:pPr>
        <w:pStyle w:val="CommentText"/>
      </w:pPr>
      <w:r>
        <w:rPr>
          <w:rStyle w:val="CommentReference"/>
        </w:rPr>
        <w:annotationRef/>
      </w:r>
      <w:r>
        <w:t xml:space="preserve">Basically I used suggested values from Sean’s papers as a starting off point. I then fit </w:t>
      </w:r>
      <w:proofErr w:type="spellStart"/>
      <w:r>
        <w:t>univariate</w:t>
      </w:r>
      <w:proofErr w:type="spellEnd"/>
      <w:r>
        <w:t xml:space="preserve"> skewed student-t distributions to the residuals of each CU’s SR relationship using a maximum likelihood package (</w:t>
      </w:r>
      <w:proofErr w:type="spellStart"/>
      <w:r>
        <w:t>selm</w:t>
      </w:r>
      <w:proofErr w:type="spellEnd"/>
      <w:r>
        <w:t xml:space="preserve">). Nearly all CUs had evidence of negative </w:t>
      </w:r>
      <w:proofErr w:type="spellStart"/>
      <w:r>
        <w:t>skewness</w:t>
      </w:r>
      <w:proofErr w:type="spellEnd"/>
      <w:r>
        <w:t xml:space="preserve">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C030C1" w:rsidRDefault="00C030C1">
      <w:pPr>
        <w:pStyle w:val="CommentText"/>
      </w:pPr>
    </w:p>
    <w:p w14:paraId="6DF82093" w14:textId="5ABCDB31" w:rsidR="00C030C1" w:rsidRDefault="00C030C1">
      <w:pPr>
        <w:pStyle w:val="CommentText"/>
      </w:pPr>
      <w:r>
        <w:t>Assuming everyone agrees this is sufficiently robust, should this analysis be included as a supplement?</w:t>
      </w:r>
    </w:p>
  </w:comment>
  <w:comment w:id="6" w:author="DFO-MPO" w:date="2018-09-01T12:02:00Z" w:initials="D">
    <w:p w14:paraId="0153B119" w14:textId="0215D392" w:rsidR="00C030C1" w:rsidRDefault="00C030C1">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7" w:author="Cameron Freshwater" w:date="2018-09-02T13:56:00Z" w:initials="CF">
    <w:p w14:paraId="66BE47B8" w14:textId="1C8BAE40" w:rsidR="00C030C1" w:rsidRDefault="00C030C1">
      <w:pPr>
        <w:pStyle w:val="CommentText"/>
      </w:pPr>
      <w:r>
        <w:rPr>
          <w:rStyle w:val="CommentReference"/>
        </w:rPr>
        <w:annotationRef/>
      </w:r>
      <w:r>
        <w:t>Presented in main text here.</w:t>
      </w:r>
    </w:p>
  </w:comment>
  <w:comment w:id="8" w:author="DFO-MPO" w:date="2018-09-01T12:05:00Z" w:initials="D">
    <w:p w14:paraId="136EE22E" w14:textId="66EDF9D1" w:rsidR="00C030C1" w:rsidRDefault="00C030C1" w:rsidP="007B4FA6">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09-01T13:20:00Z" w:initials="D">
    <w:p w14:paraId="7FEA7EDF" w14:textId="5C35EDCB" w:rsidR="00C030C1" w:rsidRDefault="00C030C1">
      <w:pPr>
        <w:pStyle w:val="CommentText"/>
      </w:pPr>
      <w:r>
        <w:rPr>
          <w:rStyle w:val="CommentReference"/>
        </w:rPr>
        <w:annotationRef/>
      </w:r>
      <w:r>
        <w:t>Would a table summarizing the PMs be justified?</w:t>
      </w:r>
    </w:p>
  </w:comment>
  <w:comment w:id="10" w:author="DFO-MPO" w:date="2018-08-29T09:09:00Z" w:initials="D">
    <w:p w14:paraId="5B548536" w14:textId="7E67029D" w:rsidR="00C030C1" w:rsidRDefault="00C030C1">
      <w:pPr>
        <w:pStyle w:val="CommentText"/>
      </w:pPr>
      <w:r>
        <w:rPr>
          <w:rStyle w:val="CommentReference"/>
        </w:rPr>
        <w:annotationRef/>
      </w:r>
      <w:r>
        <w:t>This metric is relatively insensitive because it is rare for any CUs to go extinct – should it still be included?</w:t>
      </w:r>
    </w:p>
  </w:comment>
  <w:comment w:id="11" w:author="DFO-MPO" w:date="2018-09-03T09:55:00Z" w:initials="D">
    <w:p w14:paraId="41F1AE32" w14:textId="050EA645" w:rsidR="00C030C1" w:rsidRDefault="00C030C1">
      <w:pPr>
        <w:pStyle w:val="CommentText"/>
      </w:pPr>
      <w:r>
        <w:rPr>
          <w:rStyle w:val="CommentReference"/>
        </w:rPr>
        <w:annotationRef/>
      </w:r>
      <w:r>
        <w:t>These two values track each other quite strongly. To balance the catch/cons PMs I’m only currently showing results for the larger value.</w:t>
      </w:r>
    </w:p>
  </w:comment>
  <w:comment w:id="12" w:author="Cameron Freshwater" w:date="2018-09-03T09:57:00Z" w:initials="CF">
    <w:p w14:paraId="1E0D4F54" w14:textId="10A1D887" w:rsidR="00C030C1" w:rsidRDefault="00C030C1">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13" w:author="DFO-MPO" w:date="2018-08-29T09:18:00Z" w:initials="D">
    <w:p w14:paraId="6442FC48" w14:textId="19E4A93D" w:rsidR="00C030C1" w:rsidRDefault="00C030C1">
      <w:pPr>
        <w:pStyle w:val="CommentText"/>
      </w:pPr>
      <w:r>
        <w:rPr>
          <w:rStyle w:val="CommentReference"/>
        </w:rPr>
        <w:annotationRef/>
      </w:r>
      <w:r>
        <w:t>Statement explicitly clarifying that this is not a forecasting exercise</w:t>
      </w:r>
    </w:p>
  </w:comment>
  <w:comment w:id="14" w:author="DFO-MPO" w:date="2018-09-02T14:01:00Z" w:initials="D">
    <w:p w14:paraId="5DB9EAE2" w14:textId="580FC405" w:rsidR="00C030C1" w:rsidRDefault="00C030C1">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15" w:author="Cameron Freshwater" w:date="2018-09-02T14:44:00Z" w:initials="CF">
    <w:p w14:paraId="14060C45" w14:textId="0249EC27" w:rsidR="00C030C1" w:rsidRDefault="00C030C1">
      <w:pPr>
        <w:pStyle w:val="CommentText"/>
      </w:pPr>
      <w:r>
        <w:rPr>
          <w:rStyle w:val="CommentReference"/>
        </w:rPr>
        <w:annotationRef/>
      </w:r>
      <w:r>
        <w:t>Thought about explaining this initially counterintuitive pattern here, but I feel as though its better suited to the discussion</w:t>
      </w:r>
    </w:p>
  </w:comment>
  <w:comment w:id="16" w:author="Cameron Freshwater" w:date="2018-09-03T19:23:00Z" w:initials="CF">
    <w:p w14:paraId="5C0429C3" w14:textId="00D27E99" w:rsidR="00C030C1" w:rsidRDefault="00C030C1">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17" w:author="Cameron Freshwater" w:date="2018-09-03T09:54:00Z" w:initials="CF">
    <w:p w14:paraId="5D4E8DB3" w14:textId="77777777" w:rsidR="00C030C1" w:rsidRDefault="00C030C1">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C030C1" w:rsidRDefault="00C030C1">
      <w:pPr>
        <w:pStyle w:val="CommentText"/>
      </w:pPr>
    </w:p>
    <w:p w14:paraId="0A021354" w14:textId="012A6A46" w:rsidR="00C030C1" w:rsidRDefault="00C030C1">
      <w:pPr>
        <w:pStyle w:val="CommentText"/>
      </w:pPr>
      <w:r>
        <w:t xml:space="preserve">For catch PMs I think we should keep median catch and some metric of variability (either stability or CV), as well as one other metric, but I’m unsure which is most relevant. </w:t>
      </w:r>
    </w:p>
  </w:comment>
  <w:comment w:id="18" w:author="Cameron Freshwater" w:date="2018-09-02T14:33:00Z" w:initials="CF">
    <w:p w14:paraId="2D38F0B1" w14:textId="77777777" w:rsidR="00C030C1" w:rsidRDefault="00C030C1" w:rsidP="00871917">
      <w:pPr>
        <w:pStyle w:val="CommentText"/>
      </w:pPr>
      <w:r>
        <w:rPr>
          <w:rStyle w:val="CommentReference"/>
        </w:rPr>
        <w:annotationRef/>
      </w:r>
      <w:r>
        <w:t>This will be bumped up for final run.</w:t>
      </w:r>
    </w:p>
  </w:comment>
  <w:comment w:id="19" w:author="Cameron Freshwater" w:date="2018-09-02T20:21:00Z" w:initials="CF">
    <w:p w14:paraId="3982B96C" w14:textId="15341598" w:rsidR="00C030C1" w:rsidRDefault="00C030C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C030C1" w:rsidRDefault="00C030C1">
      <w:pPr>
        <w:pStyle w:val="CommentText"/>
      </w:pPr>
    </w:p>
    <w:p w14:paraId="78A8266D" w14:textId="27E42DD2" w:rsidR="00C030C1" w:rsidRDefault="00C030C1">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20" w:author="Cameron Freshwater" w:date="2018-09-03T10:32:00Z" w:initials="CF">
    <w:p w14:paraId="657CDEA2" w14:textId="77777777" w:rsidR="00C030C1" w:rsidRDefault="00C030C1" w:rsidP="004709A6">
      <w:pPr>
        <w:pStyle w:val="CommentText"/>
      </w:pPr>
      <w:r>
        <w:rPr>
          <w:rStyle w:val="CommentReference"/>
        </w:rPr>
        <w:annotationRef/>
      </w:r>
      <w:r>
        <w:t>This will be bumped up for final run.</w:t>
      </w:r>
    </w:p>
  </w:comment>
  <w:comment w:id="21" w:author="Cameron Freshwater" w:date="2018-09-03T19:11:00Z" w:initials="CF">
    <w:p w14:paraId="406B830F" w14:textId="1FCD59A0" w:rsidR="00C030C1" w:rsidRDefault="00C030C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C030C1" w:rsidRDefault="00C030C1">
      <w:pPr>
        <w:pStyle w:val="CommentText"/>
      </w:pPr>
    </w:p>
    <w:p w14:paraId="23F4047A" w14:textId="0C0451AD" w:rsidR="00C030C1" w:rsidRDefault="00C030C1">
      <w:pPr>
        <w:pStyle w:val="CommentText"/>
      </w:pPr>
      <w:r>
        <w:t xml:space="preserve">Carrie is this what you had in mind or did you instead want me to show increases in median </w:t>
      </w:r>
      <w:r w:rsidRPr="00451C26">
        <w:rPr>
          <w:b/>
        </w:rPr>
        <w:t>aggregate</w:t>
      </w:r>
      <w:r>
        <w:t xml:space="preserve"> </w:t>
      </w:r>
      <w:proofErr w:type="spellStart"/>
      <w:r>
        <w:t>spawner</w:t>
      </w:r>
      <w:proofErr w:type="spellEnd"/>
      <w:r>
        <w:t xml:space="preserve"> abundance when </w:t>
      </w:r>
      <w:proofErr w:type="spellStart"/>
      <w:r>
        <w:t>CVc</w:t>
      </w:r>
      <w:proofErr w:type="spellEnd"/>
      <w:r>
        <w:t xml:space="preserve"> is high and synchrony is low (i.e. the statistical artefact)?</w:t>
      </w:r>
    </w:p>
  </w:comment>
  <w:comment w:id="22" w:author="Cameron Freshwater" w:date="2018-09-03T19:31:00Z" w:initials="CF">
    <w:p w14:paraId="7EDC2E30" w14:textId="128F6C11" w:rsidR="00C030C1" w:rsidRDefault="00C030C1">
      <w:pPr>
        <w:pStyle w:val="CommentText"/>
      </w:pPr>
      <w:r>
        <w:rPr>
          <w:rStyle w:val="CommentReference"/>
        </w:rPr>
        <w:annotationRef/>
      </w:r>
      <w:r>
        <w:t>If retained this will go in a supplement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187&lt;/item&gt;&lt;item&gt;2208&lt;/item&gt;&lt;item&gt;2210&lt;/item&gt;&lt;item&gt;2211&lt;/item&gt;&lt;item&gt;2218&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6349"/>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D7BDE"/>
    <w:rsid w:val="004E0329"/>
    <w:rsid w:val="004E2096"/>
    <w:rsid w:val="004E2EDE"/>
    <w:rsid w:val="004F1724"/>
    <w:rsid w:val="004F6C38"/>
    <w:rsid w:val="00500504"/>
    <w:rsid w:val="005027FD"/>
    <w:rsid w:val="00507319"/>
    <w:rsid w:val="00511A34"/>
    <w:rsid w:val="0051250B"/>
    <w:rsid w:val="005162B8"/>
    <w:rsid w:val="00525C83"/>
    <w:rsid w:val="00531AE1"/>
    <w:rsid w:val="005326C5"/>
    <w:rsid w:val="0056120F"/>
    <w:rsid w:val="005641CB"/>
    <w:rsid w:val="00577639"/>
    <w:rsid w:val="00590F69"/>
    <w:rsid w:val="005A0A00"/>
    <w:rsid w:val="005B527F"/>
    <w:rsid w:val="005C2371"/>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A5"/>
    <w:rsid w:val="007D5362"/>
    <w:rsid w:val="008018CA"/>
    <w:rsid w:val="00815021"/>
    <w:rsid w:val="008164CD"/>
    <w:rsid w:val="008214FE"/>
    <w:rsid w:val="00837CE3"/>
    <w:rsid w:val="008518AD"/>
    <w:rsid w:val="00871917"/>
    <w:rsid w:val="00886C25"/>
    <w:rsid w:val="00896814"/>
    <w:rsid w:val="008B18F2"/>
    <w:rsid w:val="008B4C24"/>
    <w:rsid w:val="008C1650"/>
    <w:rsid w:val="008C1951"/>
    <w:rsid w:val="008C5E1B"/>
    <w:rsid w:val="008E6657"/>
    <w:rsid w:val="00901BDD"/>
    <w:rsid w:val="009215C5"/>
    <w:rsid w:val="00922C82"/>
    <w:rsid w:val="00923937"/>
    <w:rsid w:val="0093048D"/>
    <w:rsid w:val="009322F4"/>
    <w:rsid w:val="0093252F"/>
    <w:rsid w:val="00937B72"/>
    <w:rsid w:val="00940776"/>
    <w:rsid w:val="0094700F"/>
    <w:rsid w:val="00951950"/>
    <w:rsid w:val="00956286"/>
    <w:rsid w:val="00961B8C"/>
    <w:rsid w:val="00961DFC"/>
    <w:rsid w:val="009736AE"/>
    <w:rsid w:val="009801E9"/>
    <w:rsid w:val="0098510C"/>
    <w:rsid w:val="0098639B"/>
    <w:rsid w:val="00992367"/>
    <w:rsid w:val="00996327"/>
    <w:rsid w:val="009D23BD"/>
    <w:rsid w:val="009D3206"/>
    <w:rsid w:val="009E2CC0"/>
    <w:rsid w:val="009F5D9C"/>
    <w:rsid w:val="009F7091"/>
    <w:rsid w:val="00A16FF3"/>
    <w:rsid w:val="00A2678F"/>
    <w:rsid w:val="00A409A9"/>
    <w:rsid w:val="00A43A81"/>
    <w:rsid w:val="00A4409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0A12"/>
    <w:rsid w:val="00CB3AA4"/>
    <w:rsid w:val="00CC7F18"/>
    <w:rsid w:val="00CD0FAC"/>
    <w:rsid w:val="00CE0781"/>
    <w:rsid w:val="00CF41DF"/>
    <w:rsid w:val="00D01D2B"/>
    <w:rsid w:val="00D136FD"/>
    <w:rsid w:val="00D16817"/>
    <w:rsid w:val="00D20FCD"/>
    <w:rsid w:val="00D21D5F"/>
    <w:rsid w:val="00D2599C"/>
    <w:rsid w:val="00D31645"/>
    <w:rsid w:val="00D40465"/>
    <w:rsid w:val="00D413CD"/>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646B3"/>
    <w:rsid w:val="00EA0C93"/>
    <w:rsid w:val="00EA7F86"/>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E957D-B73A-0D46-B2B0-8AA5AC88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7273</Words>
  <Characters>41462</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4</cp:revision>
  <cp:lastPrinted>2018-05-03T17:52:00Z</cp:lastPrinted>
  <dcterms:created xsi:type="dcterms:W3CDTF">2018-09-04T02:56:00Z</dcterms:created>
  <dcterms:modified xsi:type="dcterms:W3CDTF">2018-09-04T04:19:00Z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