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F2478" w14:textId="60B44739" w:rsidR="006A0BE2" w:rsidRDefault="006A0BE2" w:rsidP="00222AFD">
      <w:pPr>
        <w:spacing w:line="240" w:lineRule="auto"/>
        <w:jc w:val="right"/>
        <w:rPr>
          <w:rFonts w:ascii="Times New Roman" w:hAnsi="Times New Roman" w:cs="Times New Roman"/>
          <w:sz w:val="18"/>
          <w:szCs w:val="18"/>
          <w:lang w:val="es-CR"/>
        </w:rPr>
      </w:pPr>
      <w:r w:rsidRPr="006A0BE2">
        <w:rPr>
          <w:rFonts w:ascii="Times New Roman" w:hAnsi="Times New Roman" w:cs="Times New Roman"/>
          <w:sz w:val="18"/>
          <w:szCs w:val="18"/>
          <w:lang w:val="es-CR"/>
        </w:rPr>
        <w:t>Revista de Ciencias Económicas 4</w:t>
      </w:r>
      <w:r>
        <w:rPr>
          <w:rFonts w:ascii="Times New Roman" w:hAnsi="Times New Roman" w:cs="Times New Roman"/>
          <w:sz w:val="18"/>
          <w:szCs w:val="18"/>
          <w:lang w:val="es-CR"/>
        </w:rPr>
        <w:t>3</w:t>
      </w:r>
      <w:r w:rsidRPr="006A0BE2">
        <w:rPr>
          <w:rFonts w:ascii="Times New Roman" w:hAnsi="Times New Roman" w:cs="Times New Roman"/>
          <w:sz w:val="18"/>
          <w:szCs w:val="18"/>
          <w:lang w:val="es-CR"/>
        </w:rPr>
        <w:t>-N°</w:t>
      </w:r>
      <w:r w:rsidR="0041540E">
        <w:rPr>
          <w:rFonts w:ascii="Times New Roman" w:hAnsi="Times New Roman" w:cs="Times New Roman"/>
          <w:sz w:val="18"/>
          <w:szCs w:val="18"/>
          <w:lang w:val="es-CR"/>
        </w:rPr>
        <w:t>2</w:t>
      </w:r>
      <w:r w:rsidRPr="006A0BE2">
        <w:rPr>
          <w:rFonts w:ascii="Times New Roman" w:hAnsi="Times New Roman" w:cs="Times New Roman"/>
          <w:sz w:val="18"/>
          <w:szCs w:val="18"/>
          <w:lang w:val="es-CR"/>
        </w:rPr>
        <w:t>: enero-junio 202</w:t>
      </w:r>
      <w:r>
        <w:rPr>
          <w:rFonts w:ascii="Times New Roman" w:hAnsi="Times New Roman" w:cs="Times New Roman"/>
          <w:sz w:val="18"/>
          <w:szCs w:val="18"/>
          <w:lang w:val="es-CR"/>
        </w:rPr>
        <w:t>4</w:t>
      </w:r>
      <w:r w:rsidRPr="006A0BE2">
        <w:rPr>
          <w:rFonts w:ascii="Times New Roman" w:hAnsi="Times New Roman" w:cs="Times New Roman"/>
          <w:sz w:val="18"/>
          <w:szCs w:val="18"/>
          <w:lang w:val="es-CR"/>
        </w:rPr>
        <w:t xml:space="preserve"> / e51726 / ISSN: 0252-9521 / ISSN: 2215-3489</w:t>
      </w:r>
      <w:r>
        <w:rPr>
          <w:rFonts w:ascii="Times New Roman" w:hAnsi="Times New Roman" w:cs="Times New Roman"/>
          <w:sz w:val="18"/>
          <w:szCs w:val="18"/>
          <w:lang w:val="es-CR"/>
        </w:rPr>
        <w:br/>
      </w:r>
      <w:r w:rsidRPr="006A0BE2">
        <w:rPr>
          <w:rFonts w:ascii="Times New Roman" w:hAnsi="Times New Roman" w:cs="Times New Roman"/>
          <w:sz w:val="18"/>
          <w:szCs w:val="18"/>
          <w:lang w:val="es-CR"/>
        </w:rPr>
        <w:t>Abre 1 de enero y cierra 30 de junio de 202</w:t>
      </w:r>
      <w:r>
        <w:rPr>
          <w:rFonts w:ascii="Times New Roman" w:hAnsi="Times New Roman" w:cs="Times New Roman"/>
          <w:sz w:val="18"/>
          <w:szCs w:val="18"/>
          <w:lang w:val="es-CR"/>
        </w:rPr>
        <w:t>4</w:t>
      </w:r>
      <w:r>
        <w:rPr>
          <w:rFonts w:ascii="Times New Roman" w:hAnsi="Times New Roman" w:cs="Times New Roman"/>
          <w:sz w:val="18"/>
          <w:szCs w:val="18"/>
          <w:lang w:val="es-CR"/>
        </w:rPr>
        <w:br/>
      </w:r>
      <w:hyperlink r:id="rId8" w:history="1">
        <w:r w:rsidRPr="0096052E">
          <w:rPr>
            <w:rStyle w:val="Hyperlink"/>
            <w:rFonts w:ascii="Times New Roman" w:hAnsi="Times New Roman" w:cs="Times New Roman"/>
            <w:sz w:val="18"/>
            <w:szCs w:val="18"/>
            <w:lang w:val="es-CR"/>
          </w:rPr>
          <w:t>https://revistas.ucr.ac.cr/index.php/economicas</w:t>
        </w:r>
      </w:hyperlink>
    </w:p>
    <w:p w14:paraId="4FB07555" w14:textId="77777777" w:rsidR="002417FE" w:rsidRPr="002417FE" w:rsidRDefault="002417FE" w:rsidP="00222AFD">
      <w:pPr>
        <w:spacing w:line="240" w:lineRule="auto"/>
        <w:jc w:val="right"/>
        <w:rPr>
          <w:rFonts w:ascii="Times New Roman" w:hAnsi="Times New Roman" w:cs="Times New Roman"/>
          <w:sz w:val="18"/>
          <w:szCs w:val="18"/>
          <w:lang w:val="es-CR"/>
        </w:rPr>
      </w:pPr>
    </w:p>
    <w:p w14:paraId="7FB5DF3B" w14:textId="77777777" w:rsidR="004E7F97" w:rsidRPr="0011635A" w:rsidRDefault="004E7F97" w:rsidP="00222AFD">
      <w:pPr>
        <w:spacing w:line="240" w:lineRule="auto"/>
        <w:jc w:val="center"/>
        <w:rPr>
          <w:rFonts w:ascii="Times New Roman" w:hAnsi="Times New Roman" w:cs="Times New Roman"/>
          <w:sz w:val="32"/>
          <w:szCs w:val="32"/>
          <w:lang w:val="es-CR"/>
        </w:rPr>
      </w:pPr>
    </w:p>
    <w:p w14:paraId="1D491425" w14:textId="2CBA3CA9" w:rsidR="006A0BE2" w:rsidRPr="00BD221D" w:rsidRDefault="00174AB4" w:rsidP="00222AFD">
      <w:pPr>
        <w:spacing w:line="240" w:lineRule="auto"/>
        <w:jc w:val="center"/>
        <w:rPr>
          <w:rFonts w:ascii="Times New Roman" w:hAnsi="Times New Roman" w:cs="Times New Roman"/>
          <w:sz w:val="24"/>
          <w:szCs w:val="24"/>
        </w:rPr>
      </w:pPr>
      <w:r w:rsidRPr="00174AB4">
        <w:rPr>
          <w:rFonts w:ascii="Times New Roman" w:hAnsi="Times New Roman" w:cs="Times New Roman"/>
          <w:sz w:val="32"/>
          <w:szCs w:val="32"/>
        </w:rPr>
        <w:t>Impact of the Inflation Reduction Act on the United States stock market, the clean energy sector and the automotive industry</w:t>
      </w:r>
      <w:r>
        <w:rPr>
          <w:rFonts w:ascii="Times New Roman" w:hAnsi="Times New Roman" w:cs="Times New Roman"/>
          <w:sz w:val="32"/>
          <w:szCs w:val="32"/>
        </w:rPr>
        <w:t>,</w:t>
      </w:r>
      <w:r w:rsidRPr="00174AB4">
        <w:rPr>
          <w:rFonts w:ascii="Times New Roman" w:hAnsi="Times New Roman" w:cs="Times New Roman"/>
          <w:sz w:val="32"/>
          <w:szCs w:val="32"/>
        </w:rPr>
        <w:t xml:space="preserve"> </w:t>
      </w:r>
      <w:r w:rsidR="00E43281">
        <w:rPr>
          <w:rFonts w:ascii="Times New Roman" w:hAnsi="Times New Roman" w:cs="Times New Roman"/>
          <w:sz w:val="32"/>
          <w:szCs w:val="32"/>
        </w:rPr>
        <w:t>an</w:t>
      </w:r>
      <w:r>
        <w:rPr>
          <w:rFonts w:ascii="Times New Roman" w:hAnsi="Times New Roman" w:cs="Times New Roman"/>
          <w:sz w:val="32"/>
          <w:szCs w:val="32"/>
        </w:rPr>
        <w:t xml:space="preserve"> event</w:t>
      </w:r>
      <w:r w:rsidR="00E43281">
        <w:rPr>
          <w:rFonts w:ascii="Times New Roman" w:hAnsi="Times New Roman" w:cs="Times New Roman"/>
          <w:sz w:val="32"/>
          <w:szCs w:val="32"/>
        </w:rPr>
        <w:t xml:space="preserve"> </w:t>
      </w:r>
      <w:r>
        <w:rPr>
          <w:rFonts w:ascii="Times New Roman" w:hAnsi="Times New Roman" w:cs="Times New Roman"/>
          <w:sz w:val="32"/>
          <w:szCs w:val="32"/>
        </w:rPr>
        <w:t>study</w:t>
      </w:r>
      <w:r w:rsidR="00E43281">
        <w:rPr>
          <w:rStyle w:val="FootnoteReference"/>
          <w:rFonts w:ascii="Times New Roman" w:hAnsi="Times New Roman" w:cs="Times New Roman"/>
          <w:sz w:val="32"/>
          <w:szCs w:val="32"/>
        </w:rPr>
        <w:footnoteReference w:id="1"/>
      </w:r>
    </w:p>
    <w:p w14:paraId="473AC5BA" w14:textId="77777777" w:rsidR="006A0BE2" w:rsidRPr="00BD221D" w:rsidRDefault="006A0BE2" w:rsidP="00222AFD">
      <w:pPr>
        <w:pStyle w:val="Default"/>
      </w:pPr>
    </w:p>
    <w:p w14:paraId="34E2BCF2" w14:textId="77777777" w:rsidR="00F95B88" w:rsidRDefault="0033713D" w:rsidP="00222AFD">
      <w:pPr>
        <w:pStyle w:val="Default"/>
        <w:jc w:val="center"/>
      </w:pPr>
      <w:r w:rsidRPr="00F95B88">
        <w:t xml:space="preserve">J. </w:t>
      </w:r>
      <w:r w:rsidR="00343D50" w:rsidRPr="00F95B88">
        <w:t>CAMILO SALDARRIAGA</w:t>
      </w:r>
      <w:r w:rsidR="00951E25">
        <w:rPr>
          <w:rStyle w:val="FootnoteReference"/>
          <w:lang w:val="es-CR"/>
        </w:rPr>
        <w:footnoteReference w:id="2"/>
      </w:r>
      <w:r w:rsidR="00343D50" w:rsidRPr="00F95B88">
        <w:t>;</w:t>
      </w:r>
    </w:p>
    <w:p w14:paraId="4FD990FB" w14:textId="6328F242" w:rsidR="006A0BE2" w:rsidRPr="00F95B88" w:rsidRDefault="00343D50" w:rsidP="00222AFD">
      <w:pPr>
        <w:pStyle w:val="Default"/>
        <w:jc w:val="center"/>
      </w:pPr>
      <w:r w:rsidRPr="00F95B88">
        <w:br/>
      </w:r>
    </w:p>
    <w:p w14:paraId="4F7992D4" w14:textId="3DED8680" w:rsidR="00222AFD" w:rsidRPr="00F95B88" w:rsidRDefault="00F95B88" w:rsidP="00F95B88">
      <w:pPr>
        <w:spacing w:line="240" w:lineRule="auto"/>
        <w:jc w:val="center"/>
        <w:rPr>
          <w:rFonts w:ascii="Times New Roman" w:hAnsi="Times New Roman" w:cs="Times New Roman"/>
          <w:sz w:val="20"/>
          <w:szCs w:val="20"/>
        </w:rPr>
      </w:pPr>
      <w:r w:rsidRPr="00F95B88">
        <w:rPr>
          <w:rFonts w:ascii="Times New Roman" w:hAnsi="Times New Roman" w:cs="Times New Roman"/>
          <w:color w:val="000000"/>
        </w:rPr>
        <w:t>To Víctor Barquero and Diego Benavides, two young and passionate economists who are no longer with us.</w:t>
      </w:r>
    </w:p>
    <w:p w14:paraId="7CE7C978" w14:textId="77777777" w:rsidR="00F95B88" w:rsidRPr="0011635A" w:rsidRDefault="00F95B88" w:rsidP="00222AFD">
      <w:pPr>
        <w:spacing w:line="240" w:lineRule="auto"/>
        <w:jc w:val="center"/>
        <w:rPr>
          <w:rFonts w:ascii="Times New Roman" w:hAnsi="Times New Roman" w:cs="Times New Roman"/>
          <w:sz w:val="20"/>
          <w:szCs w:val="20"/>
        </w:rPr>
      </w:pPr>
    </w:p>
    <w:p w14:paraId="3C537820" w14:textId="1DDB30B1" w:rsidR="006A0BE2" w:rsidRPr="004E7F97" w:rsidRDefault="006A0BE2" w:rsidP="00222AFD">
      <w:pPr>
        <w:spacing w:line="240" w:lineRule="auto"/>
        <w:jc w:val="center"/>
        <w:rPr>
          <w:rFonts w:ascii="Times New Roman" w:hAnsi="Times New Roman" w:cs="Times New Roman"/>
          <w:sz w:val="20"/>
          <w:szCs w:val="20"/>
        </w:rPr>
      </w:pPr>
      <w:proofErr w:type="spellStart"/>
      <w:r w:rsidRPr="004E7F97">
        <w:rPr>
          <w:rFonts w:ascii="Times New Roman" w:hAnsi="Times New Roman" w:cs="Times New Roman"/>
          <w:sz w:val="20"/>
          <w:szCs w:val="20"/>
        </w:rPr>
        <w:t>Recibido</w:t>
      </w:r>
      <w:proofErr w:type="spellEnd"/>
      <w:r w:rsidRPr="004E7F97">
        <w:rPr>
          <w:rFonts w:ascii="Times New Roman" w:hAnsi="Times New Roman" w:cs="Times New Roman"/>
          <w:sz w:val="20"/>
          <w:szCs w:val="20"/>
        </w:rPr>
        <w:t xml:space="preserve">:                                       </w:t>
      </w:r>
      <w:proofErr w:type="spellStart"/>
      <w:r w:rsidRPr="004E7F97">
        <w:rPr>
          <w:rFonts w:ascii="Times New Roman" w:hAnsi="Times New Roman" w:cs="Times New Roman"/>
          <w:sz w:val="20"/>
          <w:szCs w:val="20"/>
        </w:rPr>
        <w:t>Aprobado</w:t>
      </w:r>
      <w:proofErr w:type="spellEnd"/>
      <w:r w:rsidRPr="004E7F97">
        <w:rPr>
          <w:rFonts w:ascii="Times New Roman" w:hAnsi="Times New Roman" w:cs="Times New Roman"/>
          <w:sz w:val="20"/>
          <w:szCs w:val="20"/>
        </w:rPr>
        <w:t xml:space="preserve">:     </w:t>
      </w:r>
    </w:p>
    <w:p w14:paraId="54C5D136" w14:textId="77777777" w:rsidR="004E7F97" w:rsidRPr="004E7F97" w:rsidRDefault="004E7F97" w:rsidP="004E7F97">
      <w:pPr>
        <w:spacing w:line="240" w:lineRule="auto"/>
        <w:jc w:val="center"/>
        <w:rPr>
          <w:rFonts w:ascii="Times New Roman" w:hAnsi="Times New Roman" w:cs="Times New Roman"/>
          <w:sz w:val="20"/>
          <w:szCs w:val="20"/>
        </w:rPr>
      </w:pPr>
      <w:r w:rsidRPr="004E7F97">
        <w:rPr>
          <w:rFonts w:ascii="Times New Roman" w:hAnsi="Times New Roman" w:cs="Times New Roman"/>
          <w:sz w:val="20"/>
          <w:szCs w:val="20"/>
        </w:rPr>
        <w:t>User</w:t>
      </w:r>
    </w:p>
    <w:p w14:paraId="7C335864" w14:textId="77777777" w:rsidR="004E7F97" w:rsidRPr="0011635A" w:rsidRDefault="004E7F97" w:rsidP="00222AFD">
      <w:pPr>
        <w:spacing w:line="240" w:lineRule="auto"/>
        <w:rPr>
          <w:rFonts w:ascii="Times New Roman" w:hAnsi="Times New Roman" w:cs="Times New Roman"/>
          <w:sz w:val="24"/>
          <w:szCs w:val="24"/>
        </w:rPr>
      </w:pPr>
    </w:p>
    <w:p w14:paraId="1A37E72E" w14:textId="11BC7CBA" w:rsidR="006A0BE2" w:rsidRPr="00AB1922" w:rsidRDefault="006A0BE2" w:rsidP="00222AFD">
      <w:pPr>
        <w:spacing w:line="240" w:lineRule="auto"/>
        <w:jc w:val="center"/>
        <w:rPr>
          <w:rFonts w:ascii="Times New Roman" w:hAnsi="Times New Roman" w:cs="Times New Roman"/>
          <w:sz w:val="24"/>
          <w:szCs w:val="24"/>
        </w:rPr>
      </w:pPr>
      <w:r w:rsidRPr="00AB1922">
        <w:rPr>
          <w:rFonts w:ascii="Times New Roman" w:hAnsi="Times New Roman" w:cs="Times New Roman"/>
          <w:sz w:val="24"/>
          <w:szCs w:val="24"/>
        </w:rPr>
        <w:t>Abstract</w:t>
      </w:r>
    </w:p>
    <w:p w14:paraId="7BD315E9" w14:textId="5CB1738E" w:rsidR="002530C6" w:rsidRDefault="002530C6" w:rsidP="002530C6">
      <w:pPr>
        <w:spacing w:line="240" w:lineRule="auto"/>
        <w:jc w:val="both"/>
        <w:rPr>
          <w:rFonts w:ascii="Times New Roman" w:hAnsi="Times New Roman" w:cs="Times New Roman"/>
          <w:sz w:val="24"/>
          <w:szCs w:val="24"/>
        </w:rPr>
      </w:pPr>
      <w:r w:rsidRPr="002530C6">
        <w:rPr>
          <w:rFonts w:ascii="Times New Roman" w:hAnsi="Times New Roman" w:cs="Times New Roman"/>
          <w:sz w:val="24"/>
          <w:szCs w:val="24"/>
        </w:rPr>
        <w:t xml:space="preserve">The present article evaluates the impact of the Inflation Reduction Act (IRA) approval on the United States stock market, specifically on the energy sector and automotive industry. The article applies the event study methodology by estimating a Mean-adjusted return model and a Market return model with dummy variables for the events. The model is estimated around four events related to the bill’s approval. The article concludes that the stock market in general did not experience abnormal returns in the event windows related to the bill’s approval. However, the energy sector as a whole, the renewable energy </w:t>
      </w:r>
      <w:r w:rsidRPr="002530C6">
        <w:rPr>
          <w:rFonts w:ascii="Times New Roman" w:hAnsi="Times New Roman" w:cs="Times New Roman"/>
          <w:sz w:val="24"/>
          <w:szCs w:val="24"/>
        </w:rPr>
        <w:t>segment, the</w:t>
      </w:r>
      <w:r w:rsidRPr="002530C6">
        <w:rPr>
          <w:rFonts w:ascii="Times New Roman" w:hAnsi="Times New Roman" w:cs="Times New Roman"/>
          <w:sz w:val="24"/>
          <w:szCs w:val="24"/>
        </w:rPr>
        <w:t xml:space="preserve"> oil and gas industry, and the automobiles industry presented abnormal returns around key events of the approval process. In the specific case of the electric vehicle segment, the study does not find conclusive evidence of abnormal returns around the events.</w:t>
      </w:r>
    </w:p>
    <w:p w14:paraId="6B529A19" w14:textId="701F4CD2" w:rsidR="006A0BE2" w:rsidRDefault="006A0BE2" w:rsidP="00222AFD">
      <w:pPr>
        <w:spacing w:line="240" w:lineRule="auto"/>
        <w:rPr>
          <w:rFonts w:ascii="Times New Roman" w:hAnsi="Times New Roman" w:cs="Times New Roman"/>
          <w:sz w:val="24"/>
          <w:szCs w:val="24"/>
        </w:rPr>
      </w:pPr>
      <w:r w:rsidRPr="009C69D6">
        <w:rPr>
          <w:rFonts w:ascii="Times New Roman" w:hAnsi="Times New Roman" w:cs="Times New Roman"/>
          <w:b/>
          <w:bCs/>
          <w:sz w:val="24"/>
          <w:szCs w:val="24"/>
        </w:rPr>
        <w:t>KEYWORDS:</w:t>
      </w:r>
      <w:r w:rsidRPr="006A0BE2">
        <w:rPr>
          <w:rFonts w:ascii="Times New Roman" w:hAnsi="Times New Roman" w:cs="Times New Roman"/>
          <w:sz w:val="24"/>
          <w:szCs w:val="24"/>
        </w:rPr>
        <w:t xml:space="preserve"> </w:t>
      </w:r>
      <w:r w:rsidR="00174AB4">
        <w:rPr>
          <w:rFonts w:ascii="Times New Roman" w:hAnsi="Times New Roman" w:cs="Times New Roman"/>
          <w:sz w:val="24"/>
          <w:szCs w:val="24"/>
        </w:rPr>
        <w:t>Financial Markets, Financial Economics, Event Study, Abnormal Returns, Inflation Reduction Act</w:t>
      </w:r>
      <w:r w:rsidR="00CB54D6">
        <w:rPr>
          <w:rFonts w:ascii="Times New Roman" w:hAnsi="Times New Roman" w:cs="Times New Roman"/>
          <w:sz w:val="24"/>
          <w:szCs w:val="24"/>
        </w:rPr>
        <w:t>.</w:t>
      </w:r>
    </w:p>
    <w:p w14:paraId="6D97632C" w14:textId="00AFD68B" w:rsidR="006A0BE2" w:rsidRPr="00D1007F" w:rsidRDefault="009C69D6" w:rsidP="00222AFD">
      <w:pPr>
        <w:spacing w:line="240" w:lineRule="auto"/>
        <w:rPr>
          <w:rFonts w:ascii="Times New Roman" w:hAnsi="Times New Roman" w:cs="Times New Roman"/>
          <w:b/>
          <w:bCs/>
          <w:sz w:val="24"/>
          <w:szCs w:val="24"/>
        </w:rPr>
      </w:pPr>
      <w:r w:rsidRPr="00D1007F">
        <w:rPr>
          <w:rFonts w:ascii="Times New Roman" w:hAnsi="Times New Roman" w:cs="Times New Roman"/>
          <w:b/>
          <w:bCs/>
          <w:sz w:val="24"/>
          <w:szCs w:val="24"/>
        </w:rPr>
        <w:t>ACADEMIC RANK</w:t>
      </w:r>
    </w:p>
    <w:p w14:paraId="525AECA3" w14:textId="744B1EAC" w:rsidR="006A0BE2" w:rsidRPr="0011635A" w:rsidRDefault="006A0BE2" w:rsidP="00222AFD">
      <w:pPr>
        <w:spacing w:line="240" w:lineRule="auto"/>
        <w:rPr>
          <w:rFonts w:ascii="Times New Roman" w:hAnsi="Times New Roman" w:cs="Times New Roman"/>
          <w:sz w:val="24"/>
          <w:szCs w:val="24"/>
        </w:rPr>
      </w:pPr>
      <w:r w:rsidRPr="00D1007F">
        <w:rPr>
          <w:rFonts w:ascii="Times New Roman" w:hAnsi="Times New Roman" w:cs="Times New Roman"/>
          <w:b/>
          <w:bCs/>
          <w:sz w:val="24"/>
          <w:szCs w:val="24"/>
        </w:rPr>
        <w:t>JEL:</w:t>
      </w:r>
      <w:r w:rsidRPr="00D1007F">
        <w:rPr>
          <w:rFonts w:ascii="Times New Roman" w:hAnsi="Times New Roman" w:cs="Times New Roman"/>
          <w:sz w:val="24"/>
          <w:szCs w:val="24"/>
        </w:rPr>
        <w:t xml:space="preserve"> </w:t>
      </w:r>
      <w:r w:rsidR="00174AB4" w:rsidRPr="0011635A">
        <w:rPr>
          <w:rFonts w:ascii="Times New Roman" w:hAnsi="Times New Roman" w:cs="Times New Roman"/>
          <w:sz w:val="24"/>
          <w:szCs w:val="24"/>
        </w:rPr>
        <w:t>G1, G10, G180.</w:t>
      </w:r>
    </w:p>
    <w:p w14:paraId="5CBF5058" w14:textId="77777777" w:rsidR="00174AB4" w:rsidRPr="00095E7D" w:rsidRDefault="00174AB4" w:rsidP="00222AFD">
      <w:pPr>
        <w:spacing w:line="240" w:lineRule="auto"/>
        <w:rPr>
          <w:rFonts w:ascii="Times New Roman" w:hAnsi="Times New Roman" w:cs="Times New Roman"/>
          <w:sz w:val="24"/>
          <w:szCs w:val="24"/>
        </w:rPr>
      </w:pPr>
    </w:p>
    <w:p w14:paraId="11385D9F" w14:textId="3EEC2389" w:rsidR="004E7F97" w:rsidRPr="004E7F97" w:rsidRDefault="004E7F97" w:rsidP="004E7F97">
      <w:pPr>
        <w:spacing w:line="240" w:lineRule="auto"/>
        <w:jc w:val="center"/>
        <w:rPr>
          <w:rFonts w:ascii="Times New Roman" w:hAnsi="Times New Roman" w:cs="Times New Roman"/>
          <w:sz w:val="20"/>
          <w:szCs w:val="20"/>
          <w:lang w:val="es-CR"/>
        </w:rPr>
      </w:pPr>
      <w:r w:rsidRPr="004E7F97">
        <w:rPr>
          <w:rFonts w:ascii="Times New Roman" w:hAnsi="Times New Roman" w:cs="Times New Roman"/>
          <w:sz w:val="32"/>
          <w:szCs w:val="32"/>
          <w:lang w:val="es-CR"/>
        </w:rPr>
        <w:lastRenderedPageBreak/>
        <w:t>Impacto de la Ley de Reducción de la Inflación en el mercado de valores de Estados Unidos, el sector de energía limpia y la industria automotriz, un estudio de eventos</w:t>
      </w:r>
    </w:p>
    <w:p w14:paraId="3A6C593B" w14:textId="77777777" w:rsidR="004E7F97" w:rsidRPr="00D1007F" w:rsidRDefault="004E7F97" w:rsidP="004E7F97">
      <w:pPr>
        <w:spacing w:line="240" w:lineRule="auto"/>
        <w:jc w:val="center"/>
        <w:rPr>
          <w:rFonts w:ascii="Times New Roman" w:hAnsi="Times New Roman" w:cs="Times New Roman"/>
          <w:sz w:val="24"/>
          <w:szCs w:val="24"/>
          <w:lang w:val="es-CR"/>
        </w:rPr>
      </w:pPr>
      <w:r w:rsidRPr="00D1007F">
        <w:rPr>
          <w:rFonts w:ascii="Times New Roman" w:hAnsi="Times New Roman" w:cs="Times New Roman"/>
          <w:sz w:val="24"/>
          <w:szCs w:val="24"/>
          <w:lang w:val="es-CR"/>
        </w:rPr>
        <w:t>Resumen</w:t>
      </w:r>
    </w:p>
    <w:p w14:paraId="7E57C99F" w14:textId="2120E6CA" w:rsidR="002530C6" w:rsidRPr="002530C6" w:rsidRDefault="002530C6" w:rsidP="002530C6">
      <w:pPr>
        <w:spacing w:line="240" w:lineRule="auto"/>
        <w:rPr>
          <w:rFonts w:ascii="Times New Roman" w:hAnsi="Times New Roman" w:cs="Times New Roman"/>
          <w:sz w:val="24"/>
          <w:szCs w:val="24"/>
          <w:lang w:val="es-CR"/>
        </w:rPr>
      </w:pPr>
      <w:r w:rsidRPr="002530C6">
        <w:rPr>
          <w:rFonts w:ascii="Times New Roman" w:hAnsi="Times New Roman" w:cs="Times New Roman"/>
          <w:sz w:val="24"/>
          <w:szCs w:val="24"/>
          <w:lang w:val="es-CR"/>
        </w:rPr>
        <w:t>El presente artículo evalúa el impacto de la aprobación de la Ley de Reducción de la Inflación (IRA</w:t>
      </w:r>
      <w:r>
        <w:rPr>
          <w:rFonts w:ascii="Times New Roman" w:hAnsi="Times New Roman" w:cs="Times New Roman"/>
          <w:sz w:val="24"/>
          <w:szCs w:val="24"/>
          <w:lang w:val="es-CR"/>
        </w:rPr>
        <w:t xml:space="preserve"> en inglés</w:t>
      </w:r>
      <w:r w:rsidRPr="002530C6">
        <w:rPr>
          <w:rFonts w:ascii="Times New Roman" w:hAnsi="Times New Roman" w:cs="Times New Roman"/>
          <w:sz w:val="24"/>
          <w:szCs w:val="24"/>
          <w:lang w:val="es-CR"/>
        </w:rPr>
        <w:t>) en el mercado de valores de los Estados Unidos, específicamente en el sector energético y la industria automotriz. El artículo aplica la metodología de estudio de eventos mediante la estimación de un modelo de retorno ajustado por la media y un modelo de retorno del mercado con variables ficticias para los eventos. El modelo se estima en torno a cuatro eventos relacionados con la aprobación de la ley. El artículo concluye que el mercado de valores en general no experimentó rendimientos anormales en las ventanas de eventos relacionadas con la aprobación de la ley. Sin embargo, el sector energético en su conjunto, el segmento de energías renovables, la industria de petróleo y gas, y la industria automotriz presentaron rendimientos anormales alrededor de los eventos clave del proceso de aprobación. En el caso específico del segmento de vehículos eléctricos, el estudio no encuentra evidencia concluyente de rendimientos anormales alrededor de los eventos.</w:t>
      </w:r>
    </w:p>
    <w:p w14:paraId="68A9484D" w14:textId="277FCA0C" w:rsidR="002530C6" w:rsidRPr="002530C6" w:rsidRDefault="002530C6" w:rsidP="002530C6">
      <w:pPr>
        <w:spacing w:line="240" w:lineRule="auto"/>
        <w:rPr>
          <w:rFonts w:ascii="Times New Roman" w:hAnsi="Times New Roman" w:cs="Times New Roman"/>
          <w:sz w:val="24"/>
          <w:szCs w:val="24"/>
          <w:lang w:val="es-CR"/>
        </w:rPr>
      </w:pPr>
    </w:p>
    <w:p w14:paraId="6BA138A5" w14:textId="75DF74CE" w:rsidR="004E7F97" w:rsidRPr="009C69D6" w:rsidRDefault="004E7F97" w:rsidP="004E7F97">
      <w:pPr>
        <w:spacing w:line="240" w:lineRule="auto"/>
        <w:rPr>
          <w:rFonts w:ascii="Times New Roman" w:hAnsi="Times New Roman" w:cs="Times New Roman"/>
          <w:sz w:val="24"/>
          <w:szCs w:val="24"/>
          <w:lang w:val="es-CR"/>
        </w:rPr>
      </w:pPr>
      <w:r w:rsidRPr="009C69D6">
        <w:rPr>
          <w:rFonts w:ascii="Times New Roman" w:hAnsi="Times New Roman" w:cs="Times New Roman"/>
          <w:b/>
          <w:bCs/>
          <w:sz w:val="24"/>
          <w:szCs w:val="24"/>
          <w:lang w:val="es-CR"/>
        </w:rPr>
        <w:t>PALABRAS CLAVE:</w:t>
      </w:r>
      <w:r w:rsidRPr="009C69D6">
        <w:rPr>
          <w:rFonts w:ascii="Times New Roman" w:hAnsi="Times New Roman" w:cs="Times New Roman"/>
          <w:sz w:val="24"/>
          <w:szCs w:val="24"/>
          <w:lang w:val="es-CR"/>
        </w:rPr>
        <w:t xml:space="preserve"> </w:t>
      </w:r>
      <w:r w:rsidRPr="00174AB4">
        <w:rPr>
          <w:rFonts w:ascii="Times New Roman" w:hAnsi="Times New Roman" w:cs="Times New Roman"/>
          <w:sz w:val="24"/>
          <w:szCs w:val="24"/>
          <w:lang w:val="es-CR"/>
        </w:rPr>
        <w:t>Mercados Financieros, Economía Financiera, Estudio de Eventos, Retornos Anormales, Ley de Reducción de la Inflación</w:t>
      </w:r>
      <w:r>
        <w:rPr>
          <w:rFonts w:ascii="Times New Roman" w:hAnsi="Times New Roman" w:cs="Times New Roman"/>
          <w:sz w:val="24"/>
          <w:szCs w:val="24"/>
          <w:lang w:val="es-CR"/>
        </w:rPr>
        <w:t>.</w:t>
      </w:r>
    </w:p>
    <w:p w14:paraId="23070D20" w14:textId="77777777" w:rsidR="004E7F97" w:rsidRPr="009C69D6" w:rsidRDefault="004E7F97" w:rsidP="004E7F97">
      <w:pPr>
        <w:spacing w:line="240" w:lineRule="auto"/>
        <w:rPr>
          <w:rFonts w:ascii="Times New Roman" w:hAnsi="Times New Roman" w:cs="Times New Roman"/>
          <w:b/>
          <w:bCs/>
          <w:sz w:val="24"/>
          <w:szCs w:val="24"/>
          <w:lang w:val="es-CR"/>
        </w:rPr>
      </w:pPr>
      <w:r w:rsidRPr="009C69D6">
        <w:rPr>
          <w:rFonts w:ascii="Times New Roman" w:hAnsi="Times New Roman" w:cs="Times New Roman"/>
          <w:b/>
          <w:bCs/>
          <w:sz w:val="24"/>
          <w:szCs w:val="24"/>
          <w:lang w:val="es-CR"/>
        </w:rPr>
        <w:t>RANGO ACADÉMICO</w:t>
      </w:r>
    </w:p>
    <w:p w14:paraId="608F4FC7" w14:textId="77777777" w:rsidR="004E7F97" w:rsidRDefault="004E7F97" w:rsidP="004E7F97">
      <w:pPr>
        <w:spacing w:line="240" w:lineRule="auto"/>
        <w:rPr>
          <w:rFonts w:ascii="Times New Roman" w:hAnsi="Times New Roman" w:cs="Times New Roman"/>
          <w:sz w:val="24"/>
          <w:szCs w:val="24"/>
          <w:lang w:val="es-CR"/>
        </w:rPr>
      </w:pPr>
      <w:r w:rsidRPr="009C69D6">
        <w:rPr>
          <w:rFonts w:ascii="Times New Roman" w:hAnsi="Times New Roman" w:cs="Times New Roman"/>
          <w:b/>
          <w:bCs/>
          <w:sz w:val="24"/>
          <w:szCs w:val="24"/>
          <w:lang w:val="es-CR"/>
        </w:rPr>
        <w:t>JEL:</w:t>
      </w:r>
      <w:r w:rsidRPr="009C69D6">
        <w:rPr>
          <w:rFonts w:ascii="Times New Roman" w:hAnsi="Times New Roman" w:cs="Times New Roman"/>
          <w:sz w:val="24"/>
          <w:szCs w:val="24"/>
          <w:lang w:val="es-CR"/>
        </w:rPr>
        <w:t xml:space="preserve"> </w:t>
      </w:r>
      <w:r>
        <w:rPr>
          <w:rFonts w:ascii="Times New Roman" w:hAnsi="Times New Roman" w:cs="Times New Roman"/>
          <w:sz w:val="24"/>
          <w:szCs w:val="24"/>
          <w:lang w:val="es-CR"/>
        </w:rPr>
        <w:t>G1, G10, G180</w:t>
      </w:r>
      <w:r w:rsidRPr="009C69D6">
        <w:rPr>
          <w:rFonts w:ascii="Times New Roman" w:hAnsi="Times New Roman" w:cs="Times New Roman"/>
          <w:sz w:val="24"/>
          <w:szCs w:val="24"/>
          <w:lang w:val="es-CR"/>
        </w:rPr>
        <w:t>.</w:t>
      </w:r>
    </w:p>
    <w:p w14:paraId="47083D5D" w14:textId="77777777" w:rsidR="004E7F97" w:rsidRPr="004E7F97" w:rsidRDefault="004E7F97" w:rsidP="00222AFD">
      <w:pPr>
        <w:spacing w:line="240" w:lineRule="auto"/>
        <w:rPr>
          <w:rFonts w:ascii="Times New Roman" w:hAnsi="Times New Roman" w:cs="Times New Roman"/>
          <w:b/>
          <w:bCs/>
          <w:sz w:val="28"/>
          <w:szCs w:val="28"/>
          <w:lang w:val="es-CR"/>
        </w:rPr>
      </w:pPr>
    </w:p>
    <w:p w14:paraId="1A84F467" w14:textId="0AEBE836" w:rsidR="00324A66" w:rsidRPr="00060515" w:rsidRDefault="00597174" w:rsidP="00222AFD">
      <w:pPr>
        <w:spacing w:line="240" w:lineRule="auto"/>
        <w:rPr>
          <w:rFonts w:ascii="Times New Roman" w:hAnsi="Times New Roman" w:cs="Times New Roman"/>
          <w:sz w:val="28"/>
          <w:szCs w:val="28"/>
        </w:rPr>
      </w:pPr>
      <w:r>
        <w:rPr>
          <w:rFonts w:ascii="Times New Roman" w:hAnsi="Times New Roman" w:cs="Times New Roman"/>
          <w:b/>
          <w:bCs/>
          <w:sz w:val="28"/>
          <w:szCs w:val="28"/>
        </w:rPr>
        <w:t>1</w:t>
      </w:r>
      <w:r w:rsidR="002417FE" w:rsidRPr="00060515">
        <w:rPr>
          <w:rFonts w:ascii="Times New Roman" w:hAnsi="Times New Roman" w:cs="Times New Roman"/>
          <w:b/>
          <w:bCs/>
          <w:sz w:val="28"/>
          <w:szCs w:val="28"/>
        </w:rPr>
        <w:t xml:space="preserve">. </w:t>
      </w:r>
      <w:r w:rsidR="00175018" w:rsidRPr="00060515">
        <w:rPr>
          <w:rFonts w:ascii="Times New Roman" w:hAnsi="Times New Roman" w:cs="Times New Roman"/>
          <w:b/>
          <w:bCs/>
          <w:sz w:val="28"/>
          <w:szCs w:val="28"/>
        </w:rPr>
        <w:t>INTRODUCTION</w:t>
      </w:r>
      <w:r w:rsidR="002417FE" w:rsidRPr="00060515">
        <w:rPr>
          <w:rFonts w:ascii="Times New Roman" w:hAnsi="Times New Roman" w:cs="Times New Roman"/>
          <w:b/>
          <w:bCs/>
          <w:sz w:val="28"/>
          <w:szCs w:val="28"/>
        </w:rPr>
        <w:t>:</w:t>
      </w:r>
    </w:p>
    <w:p w14:paraId="4D4B66AF" w14:textId="77777777" w:rsidR="002530C6" w:rsidRDefault="002530C6" w:rsidP="00174AB4">
      <w:pPr>
        <w:spacing w:line="240" w:lineRule="auto"/>
        <w:jc w:val="both"/>
        <w:rPr>
          <w:rFonts w:ascii="Times New Roman" w:hAnsi="Times New Roman" w:cs="Times New Roman"/>
          <w:sz w:val="24"/>
          <w:szCs w:val="24"/>
        </w:rPr>
      </w:pPr>
      <w:r w:rsidRPr="002530C6">
        <w:rPr>
          <w:rFonts w:ascii="Times New Roman" w:hAnsi="Times New Roman" w:cs="Times New Roman"/>
          <w:sz w:val="24"/>
          <w:szCs w:val="24"/>
        </w:rPr>
        <w:t>On September 27, 2021, the US administration presented the Build Back Better Act, a bill containing a broad set of subsidies for the green energy sector, the automotive industry, and the manufacturing sector in the United States. Almost one year later and after a long negotiation process, the bill was substantially transformed by the Senate and was finally approved with the name of Inflation Reduction Act (IRA). The approved bill included massive stimulus to accelerate investments in renewable energy and the production of electric vehicles in the United States.</w:t>
      </w:r>
    </w:p>
    <w:p w14:paraId="0434D6AC" w14:textId="73FAFC9F" w:rsidR="00597174" w:rsidRDefault="00597174" w:rsidP="00174AB4">
      <w:pPr>
        <w:spacing w:line="240" w:lineRule="auto"/>
        <w:jc w:val="both"/>
        <w:rPr>
          <w:rFonts w:ascii="Times New Roman" w:hAnsi="Times New Roman" w:cs="Times New Roman"/>
          <w:sz w:val="24"/>
          <w:szCs w:val="24"/>
        </w:rPr>
      </w:pPr>
      <w:r w:rsidRPr="00597174">
        <w:rPr>
          <w:rFonts w:ascii="Times New Roman" w:hAnsi="Times New Roman" w:cs="Times New Roman"/>
          <w:sz w:val="24"/>
          <w:szCs w:val="24"/>
        </w:rPr>
        <w:t xml:space="preserve">According to the Penn-Wharton Budget Model (Huntley Ricco &amp; Arnon 2022), the bill contains a total provision of $384.9 billion for climate change and renewable energy, from which 63.7% is dedicated to renewable energies and 5.9% is dedicated to stimulating the electric vehicles adoption and production in the United States, 12.1% goes to the manufacturing industry, 11.8% goes to environmental policies, 5.3% to agriculture and 1.2% to water investments (Badlam et al. 2022). The bill is not only relevant for its financial volume but also for the magnitude of its impact on the United States CO2 emissions. It is estimated that the IRA’s impact on the United States emissions will be significant, as it </w:t>
      </w:r>
      <w:proofErr w:type="spellStart"/>
      <w:r w:rsidRPr="00597174">
        <w:rPr>
          <w:rFonts w:ascii="Times New Roman" w:hAnsi="Times New Roman" w:cs="Times New Roman"/>
          <w:sz w:val="24"/>
          <w:szCs w:val="24"/>
        </w:rPr>
        <w:t>will“cut</w:t>
      </w:r>
      <w:proofErr w:type="spellEnd"/>
      <w:r w:rsidRPr="00597174">
        <w:rPr>
          <w:rFonts w:ascii="Times New Roman" w:hAnsi="Times New Roman" w:cs="Times New Roman"/>
          <w:sz w:val="24"/>
          <w:szCs w:val="24"/>
        </w:rPr>
        <w:t xml:space="preserve"> annual emissions in 2030 by an additional 1 billion</w:t>
      </w:r>
      <w:r>
        <w:rPr>
          <w:rFonts w:ascii="Times New Roman" w:hAnsi="Times New Roman" w:cs="Times New Roman"/>
          <w:sz w:val="24"/>
          <w:szCs w:val="24"/>
        </w:rPr>
        <w:t xml:space="preserve"> </w:t>
      </w:r>
      <w:r w:rsidRPr="00597174">
        <w:rPr>
          <w:rFonts w:ascii="Times New Roman" w:hAnsi="Times New Roman" w:cs="Times New Roman"/>
          <w:sz w:val="24"/>
          <w:szCs w:val="24"/>
        </w:rPr>
        <w:t>metric tons” (Jenkins, J.D. et al. 2022).</w:t>
      </w:r>
    </w:p>
    <w:p w14:paraId="2BB929DB" w14:textId="77777777" w:rsidR="00597174" w:rsidRDefault="00597174" w:rsidP="00597174">
      <w:pPr>
        <w:spacing w:line="240" w:lineRule="auto"/>
        <w:jc w:val="both"/>
        <w:rPr>
          <w:rFonts w:ascii="Times New Roman" w:hAnsi="Times New Roman" w:cs="Times New Roman"/>
          <w:sz w:val="24"/>
          <w:szCs w:val="24"/>
        </w:rPr>
      </w:pPr>
      <w:r w:rsidRPr="00597174">
        <w:rPr>
          <w:rFonts w:ascii="Times New Roman" w:hAnsi="Times New Roman" w:cs="Times New Roman"/>
          <w:sz w:val="24"/>
          <w:szCs w:val="24"/>
        </w:rPr>
        <w:lastRenderedPageBreak/>
        <w:t xml:space="preserve">The present study uses the standard event study methodology to evaluate the impact of the bill’s approval on the United States stock market. In particular, it analyses the impact on the energy sector and the automotive industry. For that, I evaluate five different benchmark indexes: the NASDAQ Clean Energy Edge Index, the S&amp;P 500 Automobiles Industry Index, the S&amp;P </w:t>
      </w:r>
      <w:proofErr w:type="spellStart"/>
      <w:r w:rsidRPr="00597174">
        <w:rPr>
          <w:rFonts w:ascii="Times New Roman" w:hAnsi="Times New Roman" w:cs="Times New Roman"/>
          <w:sz w:val="24"/>
          <w:szCs w:val="24"/>
        </w:rPr>
        <w:t>Kensho</w:t>
      </w:r>
      <w:proofErr w:type="spellEnd"/>
      <w:r w:rsidRPr="00597174">
        <w:rPr>
          <w:rFonts w:ascii="Times New Roman" w:hAnsi="Times New Roman" w:cs="Times New Roman"/>
          <w:sz w:val="24"/>
          <w:szCs w:val="24"/>
        </w:rPr>
        <w:t xml:space="preserve"> Electric Vehicles Index, the Dow Jones U.S. Oil &amp; Gas Index, and the S&amp;P500 Energy Index. </w:t>
      </w:r>
    </w:p>
    <w:p w14:paraId="752F4223" w14:textId="06B8F790" w:rsidR="00F95B88" w:rsidRDefault="00597174" w:rsidP="00597174">
      <w:pPr>
        <w:spacing w:line="240" w:lineRule="auto"/>
        <w:jc w:val="both"/>
        <w:rPr>
          <w:rFonts w:ascii="Times New Roman" w:hAnsi="Times New Roman" w:cs="Times New Roman"/>
          <w:sz w:val="24"/>
          <w:szCs w:val="24"/>
        </w:rPr>
      </w:pPr>
      <w:r w:rsidRPr="00597174">
        <w:rPr>
          <w:rFonts w:ascii="Times New Roman" w:hAnsi="Times New Roman" w:cs="Times New Roman"/>
          <w:sz w:val="24"/>
          <w:szCs w:val="24"/>
        </w:rPr>
        <w:t>The event study methodology is applied by estimating a Mean-adjusted return model and a Market return model with dummy variables for the key events. The model is estimated using three days and five days windows around four key events: the presentation of the bill to Congress, the announcement of Senator’s Manchin opposition to the bill, the agreement with Senator Manchin which was key to the approval, and the vote of the bill by the Senate. Normally, the use of event study methodologies to evaluate the impact of legislation approval has particular challenges, as the results of legislative votes are known in advance given the number of representatives from each party. For this study, I took advantage of several particularities in the IRA approval process that allowed me to apply successfully the event study methodology.</w:t>
      </w:r>
    </w:p>
    <w:p w14:paraId="7BF2DF52" w14:textId="77777777" w:rsidR="00597174" w:rsidRDefault="00597174" w:rsidP="00222AFD">
      <w:pPr>
        <w:spacing w:line="240" w:lineRule="auto"/>
        <w:rPr>
          <w:rFonts w:ascii="Times New Roman" w:hAnsi="Times New Roman" w:cs="Times New Roman"/>
          <w:b/>
          <w:bCs/>
          <w:sz w:val="28"/>
          <w:szCs w:val="28"/>
        </w:rPr>
      </w:pPr>
    </w:p>
    <w:p w14:paraId="60382F3F" w14:textId="77777777" w:rsidR="00597174" w:rsidRDefault="00597174" w:rsidP="00222AFD">
      <w:pPr>
        <w:spacing w:line="240" w:lineRule="auto"/>
        <w:jc w:val="both"/>
        <w:rPr>
          <w:rFonts w:ascii="Times New Roman" w:hAnsi="Times New Roman" w:cs="Times New Roman"/>
          <w:b/>
          <w:bCs/>
          <w:sz w:val="28"/>
          <w:szCs w:val="28"/>
        </w:rPr>
      </w:pPr>
      <w:r w:rsidRPr="00597174">
        <w:rPr>
          <w:rFonts w:ascii="Times New Roman" w:hAnsi="Times New Roman" w:cs="Times New Roman"/>
          <w:b/>
          <w:bCs/>
          <w:sz w:val="28"/>
          <w:szCs w:val="28"/>
        </w:rPr>
        <w:t xml:space="preserve">2 Literature Review: Event study methodology and its application to legislative processes </w:t>
      </w:r>
    </w:p>
    <w:p w14:paraId="7BA41502" w14:textId="77777777" w:rsidR="00597174" w:rsidRDefault="00597174" w:rsidP="00174AB4">
      <w:pPr>
        <w:spacing w:line="240" w:lineRule="auto"/>
        <w:jc w:val="both"/>
        <w:rPr>
          <w:rFonts w:ascii="Times New Roman" w:hAnsi="Times New Roman" w:cs="Times New Roman"/>
          <w:b/>
          <w:bCs/>
          <w:sz w:val="24"/>
          <w:szCs w:val="24"/>
        </w:rPr>
      </w:pPr>
      <w:r w:rsidRPr="00597174">
        <w:rPr>
          <w:rFonts w:ascii="Times New Roman" w:hAnsi="Times New Roman" w:cs="Times New Roman"/>
          <w:b/>
          <w:bCs/>
          <w:sz w:val="24"/>
          <w:szCs w:val="24"/>
        </w:rPr>
        <w:t>2.1 The event study methodology</w:t>
      </w:r>
    </w:p>
    <w:p w14:paraId="04749F16" w14:textId="45C041AB" w:rsidR="00174AB4"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 xml:space="preserve">The event study methodology is well-established in the field of financial economics. There is plenty of literature that discusses and replicates the methodology, beginning in the late sixties until today. In their seminal article Fama Fisher, Jensen, and Roll (1969) evaluated how stock prices incorporate the information of stock splits. By doing so, they settled the basis of what we know today as event studies. To evaluate the price reaction to stock split, they estimate the regression </w:t>
      </w:r>
    </w:p>
    <w:p w14:paraId="06377DB2" w14:textId="1CC5998F" w:rsidR="00174AB4" w:rsidRPr="00174AB4" w:rsidRDefault="00174AB4" w:rsidP="00174AB4">
      <w:pPr>
        <w:spacing w:line="240" w:lineRule="auto"/>
        <w:jc w:val="both"/>
        <w:rPr>
          <w:rFonts w:ascii="Times New Roman" w:hAnsi="Times New Roman" w:cs="Times New Roman"/>
          <w:sz w:val="24"/>
          <w:szCs w:val="24"/>
        </w:rPr>
      </w:pPr>
      <m:oMathPara>
        <m:oMath>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e>
          </m:d>
          <m:r>
            <m:rPr>
              <m:sty m:val="p"/>
            </m:rPr>
            <w:rPr>
              <w:rFonts w:ascii="Cambria Math" w:hAnsi="Cambria Math"/>
            </w:rPr>
            <m:t>= </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 + </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e</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r>
            <m:rPr>
              <m:sty m:val="p"/>
            </m:rPr>
            <w:rPr>
              <w:rFonts w:ascii="Cambria Math" w:hAnsi="Cambria Math"/>
            </w:rPr>
            <m:t> + </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jt</m:t>
              </m:r>
            </m:sub>
          </m:sSub>
        </m:oMath>
      </m:oMathPara>
    </w:p>
    <w:p w14:paraId="35A17A25" w14:textId="269A7567" w:rsidR="00174AB4" w:rsidRPr="00174AB4" w:rsidRDefault="00174AB4" w:rsidP="00174AB4">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174AB4">
        <w:rPr>
          <w:rFonts w:ascii="Times New Roman" w:hAnsi="Times New Roman" w:cs="Times New Roman"/>
          <w:sz w:val="24"/>
          <w:szCs w:val="24"/>
        </w:rPr>
        <w:t xml:space="preserve">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ij</m:t>
            </m:r>
          </m:sub>
        </m:sSub>
      </m:oMath>
      <w:r>
        <w:rPr>
          <w:rFonts w:ascii="Times New Roman" w:hAnsi="Times New Roman" w:cs="Times New Roman"/>
          <w:sz w:val="24"/>
          <w:szCs w:val="24"/>
        </w:rPr>
        <w:t xml:space="preserve">  </w:t>
      </w:r>
      <w:r w:rsidRPr="00174AB4">
        <w:rPr>
          <w:rFonts w:ascii="Times New Roman" w:hAnsi="Times New Roman" w:cs="Times New Roman"/>
          <w:sz w:val="24"/>
          <w:szCs w:val="24"/>
        </w:rPr>
        <w:t xml:space="preserve">is the stock's return,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oMath>
      <w:r w:rsidRPr="00174AB4">
        <w:rPr>
          <w:rFonts w:ascii="Times New Roman" w:hAnsi="Times New Roman" w:cs="Times New Roman"/>
          <w:sz w:val="24"/>
          <w:szCs w:val="24"/>
        </w:rPr>
        <w:t xml:space="preserve"> is the market's return. </w:t>
      </w:r>
    </w:p>
    <w:p w14:paraId="01B69854" w14:textId="3A8F0E1C" w:rsidR="00174AB4" w:rsidRPr="00174AB4"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 xml:space="preserve">It is important to highlight that, Fama Fisher, Jensen, and Roll do not include the period of the analyzed event in the estimation. They estimate the parameters without the event´s period and then, with the estimated parameters, they calculate the error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ϵ</m:t>
            </m:r>
            <m:ctrlPr>
              <w:rPr>
                <w:rFonts w:ascii="Cambria Math" w:hAnsi="Cambria Math" w:cs="Times New Roman"/>
                <w:sz w:val="24"/>
                <w:szCs w:val="24"/>
              </w:rPr>
            </m:ctrlPr>
          </m:e>
          <m:sub>
            <m:r>
              <w:rPr>
                <w:rFonts w:ascii="Cambria Math" w:hAnsi="Cambria Math" w:cs="Times New Roman"/>
                <w:sz w:val="24"/>
                <w:szCs w:val="24"/>
              </w:rPr>
              <m:t>jt</m:t>
            </m:r>
          </m:sub>
        </m:sSub>
      </m:oMath>
      <w:r w:rsidRPr="00174AB4">
        <w:rPr>
          <w:rFonts w:ascii="Times New Roman" w:hAnsi="Times New Roman" w:cs="Times New Roman"/>
          <w:sz w:val="24"/>
          <w:szCs w:val="24"/>
        </w:rPr>
        <w:t xml:space="preserve"> for the event's dates, the mean of the error is considered as the measure of the abnormal return. The authors</w:t>
      </w:r>
      <w:r>
        <w:rPr>
          <w:rFonts w:ascii="Times New Roman" w:hAnsi="Times New Roman" w:cs="Times New Roman"/>
          <w:sz w:val="24"/>
          <w:szCs w:val="24"/>
        </w:rPr>
        <w:t xml:space="preserve"> also</w:t>
      </w:r>
      <w:r w:rsidRPr="00174AB4">
        <w:rPr>
          <w:rFonts w:ascii="Times New Roman" w:hAnsi="Times New Roman" w:cs="Times New Roman"/>
          <w:sz w:val="24"/>
          <w:szCs w:val="24"/>
        </w:rPr>
        <w:t xml:space="preserve"> evaluate the different estimation methods, they conclude that even when the data is not normally distributed, OLS provides estimators that are unbiased and consistent. They also highlight the problems of the T-statistic for hypothesis testing given the non-normality of residuals.</w:t>
      </w:r>
    </w:p>
    <w:p w14:paraId="41B6EB7E" w14:textId="1A74B77C" w:rsidR="00174AB4" w:rsidRPr="00174AB4"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 xml:space="preserve">In Brown and Warner's article (1980), the authors extend Fama Fisher, Jensen, and Roll's methodology. By using the same principle, they evaluate three different regression models for stock prices and evaluate the accuracy of each one of them. According to them, the notion of abnormal return requires a benchmark value for comparisons, which leads them to evaluate three possible benchmarks. The first model called the Mean Adjusted Return Model establishes that the expected return of an asset </w:t>
      </w:r>
      <m:oMath>
        <m:r>
          <w:rPr>
            <w:rFonts w:ascii="Cambria Math" w:hAnsi="Cambria Math" w:cs="Times New Roman"/>
            <w:sz w:val="24"/>
            <w:szCs w:val="24"/>
          </w:rPr>
          <m:t>i</m:t>
        </m:r>
      </m:oMath>
      <w:r w:rsidRPr="00174AB4">
        <w:rPr>
          <w:rFonts w:ascii="Times New Roman" w:hAnsi="Times New Roman" w:cs="Times New Roman"/>
          <w:sz w:val="24"/>
          <w:szCs w:val="24"/>
        </w:rPr>
        <w:t xml:space="preserve"> is given by a constant  </w:t>
      </w:r>
      <m:oMath>
        <m:r>
          <w:rPr>
            <w:rFonts w:ascii="Cambria Math" w:hAnsi="Cambria Math" w:cs="Times New Roman"/>
            <w:sz w:val="24"/>
            <w:szCs w:val="24"/>
          </w:rPr>
          <m:t>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it</m:t>
                    </m:r>
                  </m:sub>
                </m:sSub>
              </m:e>
            </m:acc>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174AB4">
        <w:rPr>
          <w:rFonts w:ascii="Times New Roman" w:hAnsi="Times New Roman" w:cs="Times New Roman"/>
          <w:sz w:val="24"/>
          <w:szCs w:val="24"/>
        </w:rPr>
        <w:t>, where the abnormal return of asset i on period t corresponds simply to the difference between the observed return and the mean return</w:t>
      </w:r>
      <w:r>
        <w:rPr>
          <w:rFonts w:ascii="Times New Roman" w:hAnsi="Times New Roman" w:cs="Times New Roman"/>
          <w:sz w:val="24"/>
          <w:szCs w:val="24"/>
        </w:rPr>
        <w:t xml:space="preserve"> </w:t>
      </w:r>
      <w:r w:rsidRPr="00174AB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ϵ</m:t>
            </m:r>
            <m:ctrlPr>
              <w:rPr>
                <w:rFonts w:ascii="Cambria Math" w:hAnsi="Cambria Math" w:cs="Times New Roman"/>
                <w:sz w:val="24"/>
                <w:szCs w:val="24"/>
              </w:rPr>
            </m:ctrlP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174AB4">
        <w:rPr>
          <w:rFonts w:ascii="Times New Roman" w:hAnsi="Times New Roman" w:cs="Times New Roman"/>
          <w:sz w:val="24"/>
          <w:szCs w:val="24"/>
        </w:rPr>
        <w:t>.</w:t>
      </w:r>
    </w:p>
    <w:p w14:paraId="372C5759" w14:textId="77777777" w:rsidR="00174AB4"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lastRenderedPageBreak/>
        <w:t xml:space="preserve">The second model evaluated by Brown and Warner is the Market Return model in which the expected return of an asset is equal to the market return </w:t>
      </w:r>
      <m:oMath>
        <m:r>
          <w:rPr>
            <w:rFonts w:ascii="Cambria Math" w:hAnsi="Cambria Math" w:cs="Times New Roman"/>
            <w:sz w:val="24"/>
            <w:szCs w:val="24"/>
          </w:rPr>
          <m:t>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i,t</m:t>
                    </m:r>
                  </m:sub>
                </m:sSub>
              </m:e>
            </m:acc>
          </m:e>
        </m:d>
        <m:r>
          <w:rPr>
            <w:rFonts w:ascii="Cambria Math" w:hAnsi="Cambria Math" w:cs="Times New Roman"/>
            <w:sz w:val="24"/>
            <w:szCs w:val="24"/>
          </w:rPr>
          <m:t>=E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m,t</m:t>
                    </m:r>
                  </m:sub>
                </m:sSub>
              </m:e>
            </m:acc>
          </m:e>
        </m:d>
      </m:oMath>
      <w:r w:rsidRPr="00174AB4">
        <w:rPr>
          <w:rFonts w:ascii="Times New Roman" w:hAnsi="Times New Roman" w:cs="Times New Roman"/>
          <w:sz w:val="24"/>
          <w:szCs w:val="24"/>
        </w:rPr>
        <w:t>. Finally, the authors evaluate the Market and Risk Adjusted Return model in which the expected return of an asset is given by the CAPM model with</w:t>
      </w:r>
    </w:p>
    <w:p w14:paraId="4F32181A" w14:textId="20B94783" w:rsidR="00174AB4" w:rsidRDefault="00174AB4" w:rsidP="00174AB4">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i,t</m:t>
                      </m:r>
                    </m:sub>
                  </m:sSub>
                </m:e>
              </m:acc>
            </m:e>
          </m:d>
          <m:r>
            <w:rPr>
              <w:rFonts w:ascii="Cambria Math" w:hAnsi="Cambria Math" w:cs="Times New Roman"/>
              <w:sz w:val="24"/>
              <w:szCs w:val="24"/>
            </w:rPr>
            <m:t xml:space="preserve"> = 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z,t</m:t>
                      </m:r>
                    </m:sub>
                  </m:sSub>
                </m:e>
              </m:acc>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m,t</m:t>
                          </m:r>
                        </m:sub>
                      </m:sSub>
                    </m:e>
                  </m:acc>
                </m:e>
              </m:d>
              <m:r>
                <w:rPr>
                  <w:rFonts w:ascii="Cambria Math" w:hAnsi="Cambria Math" w:cs="Times New Roman"/>
                  <w:sz w:val="24"/>
                  <w:szCs w:val="24"/>
                </w:rPr>
                <m:t>-E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z,t</m:t>
                          </m:r>
                        </m:sub>
                      </m:sSub>
                    </m:e>
                  </m:acc>
                </m:e>
              </m:d>
            </m:e>
          </m:d>
        </m:oMath>
      </m:oMathPara>
    </w:p>
    <w:p w14:paraId="55952D93" w14:textId="77777777" w:rsidR="00E36FB2"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Here the abnormal return is given by</w:t>
      </w:r>
    </w:p>
    <w:p w14:paraId="24964A31" w14:textId="570244A8" w:rsidR="00174AB4" w:rsidRPr="00174AB4" w:rsidRDefault="00174AB4" w:rsidP="00E36FB2">
      <w:pPr>
        <w:spacing w:line="240" w:lineRule="auto"/>
        <w:jc w:val="center"/>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i,t</m:t>
                      </m:r>
                    </m:sub>
                  </m:sSub>
                </m:e>
              </m:acc>
            </m:e>
          </m:d>
          <m:r>
            <w:rPr>
              <w:rFonts w:ascii="Cambria Math" w:hAnsi="Cambria Math" w:cs="Times New Roman"/>
              <w:sz w:val="24"/>
              <w:szCs w:val="24"/>
            </w:rPr>
            <m:t xml:space="preserve"> -E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z,t</m:t>
                      </m:r>
                    </m:sub>
                  </m:sSub>
                </m:e>
              </m:acc>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m,t</m:t>
                          </m:r>
                        </m:sub>
                      </m:sSub>
                    </m:e>
                  </m:acc>
                </m:e>
              </m:d>
              <m:r>
                <w:rPr>
                  <w:rFonts w:ascii="Cambria Math" w:hAnsi="Cambria Math" w:cs="Times New Roman"/>
                  <w:sz w:val="24"/>
                  <w:szCs w:val="24"/>
                </w:rPr>
                <m:t>-E</m:t>
              </m:r>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z,t</m:t>
                          </m:r>
                        </m:sub>
                      </m:sSub>
                    </m:e>
                  </m:acc>
                </m:e>
              </m:d>
            </m:e>
          </m:d>
          <m:r>
            <w:rPr>
              <w:rFonts w:ascii="Cambria Math" w:hAnsi="Cambria Math" w:cs="Times New Roman"/>
              <w:sz w:val="24"/>
              <w:szCs w:val="24"/>
            </w:rPr>
            <m:t>.</m:t>
          </m:r>
        </m:oMath>
      </m:oMathPara>
    </w:p>
    <w:p w14:paraId="0347915B" w14:textId="0D10BC39" w:rsidR="00174AB4" w:rsidRPr="00174AB4"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The authors select randomly 250 securities and introduce artificial abnormal returns into the historical data using monthly returns, then they evaluate the capacity of the three models to identify the abnormal returns. Surprisingly they find that the models produce similar results and that "beyond a simple, one-factor market model, there is no evidence that more complicated methodologies convey any benefit. In fact, we have presented evidence that more complicated methodologies can actually make the researcher worse off" (Brown &amp; Warner 1980).</w:t>
      </w:r>
    </w:p>
    <w:p w14:paraId="71C63232" w14:textId="1D816ED4" w:rsidR="00174AB4" w:rsidRPr="00174AB4"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 xml:space="preserve">Dyckman, Philbrick, and  Stephan (1984) replicate Brown and Warner's simulation with daily data and include 2 additional return models: Scholes-Williams and Dimson models. The article concludes that the Market Return Model is slightly better than the Mean Adjusted Return and the Market Adjusted Return models in detecting abnormal returns. The Scholes-Williams and Dimson did not improve the capacity to detect abnormal returns, which reinforces the argument in favor of simple models. Finally, the authors conclude that the capacity to detect abnormal returns of models decreases considerably when the date is unknown, and the portfolios are smaller. Dyckman, Philbrick, and  Stephan also analyzed the potential problems of T-tests given the non-normality of residuals, they conclude that "nonnormality of individual-security daily-return residuals has little effect on the inferences drawn from the use of the t-test applied to portfolios" (Dyckman, Philbrick, and  Stephan 1984). </w:t>
      </w:r>
    </w:p>
    <w:p w14:paraId="43A77654" w14:textId="77777777" w:rsidR="00174AB4" w:rsidRDefault="00174AB4" w:rsidP="00174AB4">
      <w:pPr>
        <w:spacing w:line="240" w:lineRule="auto"/>
        <w:jc w:val="both"/>
        <w:rPr>
          <w:rFonts w:ascii="Times New Roman" w:eastAsiaTheme="minorEastAsia" w:hAnsi="Times New Roman" w:cs="Times New Roman"/>
          <w:sz w:val="24"/>
          <w:szCs w:val="24"/>
        </w:rPr>
      </w:pPr>
      <w:r w:rsidRPr="00174AB4">
        <w:rPr>
          <w:rFonts w:ascii="Times New Roman" w:hAnsi="Times New Roman" w:cs="Times New Roman"/>
          <w:sz w:val="24"/>
          <w:szCs w:val="24"/>
        </w:rPr>
        <w:t xml:space="preserve">In a second article, Brown and Warner evaluate again different return models using daily data and reinforce the evidence in favor of simpler return models. Additionally, the authors conclude that estimation methods different from OLS do not provide clear advantages for the return models. </w:t>
      </w:r>
      <w:proofErr w:type="spellStart"/>
      <w:r w:rsidRPr="00174AB4">
        <w:rPr>
          <w:rFonts w:ascii="Times New Roman" w:hAnsi="Times New Roman" w:cs="Times New Roman"/>
          <w:sz w:val="24"/>
          <w:szCs w:val="24"/>
        </w:rPr>
        <w:t>MacKinlay</w:t>
      </w:r>
      <w:proofErr w:type="spellEnd"/>
      <w:r w:rsidRPr="00174AB4">
        <w:rPr>
          <w:rFonts w:ascii="Times New Roman" w:hAnsi="Times New Roman" w:cs="Times New Roman"/>
          <w:sz w:val="24"/>
          <w:szCs w:val="24"/>
        </w:rPr>
        <w:t xml:space="preserve"> (1997) uses a market return model with the specification </w:t>
      </w:r>
    </w:p>
    <w:p w14:paraId="043B8E9D" w14:textId="4D7E89D5" w:rsidR="00174AB4" w:rsidRDefault="00000000" w:rsidP="00174AB4">
      <w:pPr>
        <w:spacing w:line="24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ϵ</m:t>
              </m:r>
            </m:e>
            <m:sub>
              <m:r>
                <w:rPr>
                  <w:rFonts w:ascii="Cambria Math" w:hAnsi="Cambria Math" w:cs="Times New Roman"/>
                  <w:sz w:val="24"/>
                  <w:szCs w:val="24"/>
                </w:rPr>
                <m:t>it</m:t>
              </m:r>
            </m:sub>
          </m:sSub>
        </m:oMath>
      </m:oMathPara>
    </w:p>
    <w:p w14:paraId="6FA008B9" w14:textId="73B4C054" w:rsidR="00174AB4" w:rsidRPr="00174AB4"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to evaluate the impact of news on the market return. The author highlights the limited gains of using multifactor models for event studies and concludes that a fundamental requirement for event studies to be successful is that the event date can be identified precisely, otherwise, the methodology loses much of its statistical power.</w:t>
      </w:r>
    </w:p>
    <w:p w14:paraId="5ED548AC" w14:textId="77777777" w:rsidR="00174AB4"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Blinder (1998) makes a review of the evolution of event studies methodology. Blinder underlines the increasing popularity at that time for an estimation method that includes the event period on the dataset while including at the same time a dummy variable for the analyzed events. This way, the return equation will be:</w:t>
      </w:r>
    </w:p>
    <w:p w14:paraId="592B368E" w14:textId="5E830F10" w:rsidR="00174AB4" w:rsidRDefault="00000000" w:rsidP="00174AB4">
      <w:pPr>
        <w:spacing w:line="24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j=1</m:t>
              </m:r>
            </m:sub>
            <m:sup>
              <m:r>
                <w:rPr>
                  <w:rFonts w:ascii="Cambria Math" w:hAnsi="Cambria Math" w:cs="Times New Roman"/>
                  <w:sz w:val="24"/>
                  <w:szCs w:val="24"/>
                </w:rPr>
                <m:t>N</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ϵ</m:t>
              </m:r>
            </m:e>
            <m:sub>
              <m:r>
                <w:rPr>
                  <w:rFonts w:ascii="Cambria Math" w:hAnsi="Cambria Math" w:cs="Times New Roman"/>
                  <w:sz w:val="24"/>
                  <w:szCs w:val="24"/>
                </w:rPr>
                <m:t>it</m:t>
              </m:r>
            </m:sub>
          </m:sSub>
        </m:oMath>
      </m:oMathPara>
    </w:p>
    <w:p w14:paraId="45BE388C" w14:textId="29C63B88" w:rsidR="00174AB4" w:rsidRPr="00174AB4"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lastRenderedPageBreak/>
        <w:t xml:space="preserve">where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sidRPr="00174AB4">
        <w:rPr>
          <w:rFonts w:ascii="Times New Roman" w:hAnsi="Times New Roman" w:cs="Times New Roman"/>
          <w:sz w:val="24"/>
          <w:szCs w:val="24"/>
        </w:rPr>
        <w:t xml:space="preserve"> is the dummy variable equal to 1 for each event j and </w:t>
      </w:r>
      <m:oMath>
        <m:sSub>
          <m:sSubPr>
            <m:ctrlPr>
              <w:rPr>
                <w:rFonts w:ascii="Cambria Math" w:hAnsi="Cambria Math" w:cs="Times New Roman"/>
                <w:i/>
                <w:sz w:val="24"/>
                <w:szCs w:val="24"/>
              </w:rPr>
            </m:ctrlPr>
          </m:sSubPr>
          <m:e>
            <m: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j</m:t>
            </m:r>
          </m:sub>
        </m:sSub>
      </m:oMath>
      <w:r w:rsidRPr="00174AB4">
        <w:rPr>
          <w:rFonts w:ascii="Times New Roman" w:hAnsi="Times New Roman" w:cs="Times New Roman"/>
          <w:sz w:val="24"/>
          <w:szCs w:val="24"/>
        </w:rPr>
        <w:t xml:space="preserve"> is the abnormal return parameter for event j. The existence or not of the abnormal return is evaluated by the significance of </w:t>
      </w:r>
      <m:oMath>
        <m:sSub>
          <m:sSubPr>
            <m:ctrlPr>
              <w:rPr>
                <w:rFonts w:ascii="Cambria Math" w:hAnsi="Cambria Math" w:cs="Times New Roman"/>
                <w:i/>
                <w:sz w:val="24"/>
                <w:szCs w:val="24"/>
              </w:rPr>
            </m:ctrlPr>
          </m:sSubPr>
          <m:e>
            <m: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j</m:t>
            </m:r>
          </m:sub>
        </m:sSub>
      </m:oMath>
      <w:r w:rsidRPr="00174AB4">
        <w:rPr>
          <w:rFonts w:ascii="Times New Roman" w:hAnsi="Times New Roman" w:cs="Times New Roman"/>
          <w:sz w:val="24"/>
          <w:szCs w:val="24"/>
        </w:rPr>
        <w:t>. One important warning of Blinder regarding this specification is that the hypothesis test</w:t>
      </w:r>
      <w:r>
        <w:rPr>
          <w:rFonts w:ascii="Times New Roman" w:hAnsi="Times New Roman" w:cs="Times New Roman"/>
          <w:sz w:val="24"/>
          <w:szCs w:val="24"/>
        </w:rPr>
        <w:t>ing</w:t>
      </w:r>
      <w:r w:rsidRPr="00174AB4">
        <w:rPr>
          <w:rFonts w:ascii="Times New Roman" w:hAnsi="Times New Roman" w:cs="Times New Roman"/>
          <w:sz w:val="24"/>
          <w:szCs w:val="24"/>
        </w:rPr>
        <w:t xml:space="preserve"> will not be very powerful statistically speaking if the signs of the effects are different. In those cases, it is better to estimate different regressions for each event.</w:t>
      </w:r>
    </w:p>
    <w:p w14:paraId="5F134D5D" w14:textId="0F12B097" w:rsidR="00C10978" w:rsidRPr="00BD5E6E" w:rsidRDefault="00174AB4" w:rsidP="00174AB4">
      <w:pPr>
        <w:spacing w:line="240" w:lineRule="auto"/>
        <w:jc w:val="both"/>
        <w:rPr>
          <w:rFonts w:ascii="Times New Roman" w:hAnsi="Times New Roman" w:cs="Times New Roman"/>
          <w:sz w:val="24"/>
          <w:szCs w:val="24"/>
        </w:rPr>
      </w:pPr>
      <w:proofErr w:type="spellStart"/>
      <w:r w:rsidRPr="00174AB4">
        <w:rPr>
          <w:rFonts w:ascii="Times New Roman" w:hAnsi="Times New Roman" w:cs="Times New Roman"/>
          <w:sz w:val="24"/>
          <w:szCs w:val="24"/>
        </w:rPr>
        <w:t>Khotari</w:t>
      </w:r>
      <w:proofErr w:type="spellEnd"/>
      <w:r w:rsidRPr="00174AB4">
        <w:rPr>
          <w:rFonts w:ascii="Times New Roman" w:hAnsi="Times New Roman" w:cs="Times New Roman"/>
          <w:sz w:val="24"/>
          <w:szCs w:val="24"/>
        </w:rPr>
        <w:t xml:space="preserve"> and Warner (2006) review the evolution of event studies through time. They conclude that the core methodology has not changed substantially since Fama, Fisher, Jensen, and Roll's (1969) seminar article, however, new methodological consensus has appeared to improve estimations. For example, </w:t>
      </w:r>
      <w:proofErr w:type="spellStart"/>
      <w:r w:rsidRPr="00174AB4">
        <w:rPr>
          <w:rFonts w:ascii="Times New Roman" w:hAnsi="Times New Roman" w:cs="Times New Roman"/>
          <w:sz w:val="24"/>
          <w:szCs w:val="24"/>
        </w:rPr>
        <w:t>Khotari</w:t>
      </w:r>
      <w:proofErr w:type="spellEnd"/>
      <w:r w:rsidRPr="00174AB4">
        <w:rPr>
          <w:rFonts w:ascii="Times New Roman" w:hAnsi="Times New Roman" w:cs="Times New Roman"/>
          <w:sz w:val="24"/>
          <w:szCs w:val="24"/>
        </w:rPr>
        <w:t xml:space="preserve"> and Warner point out that events with long-horizon impacts have important limitations, while events with short-term impacts remain effective and statistically powerful.</w:t>
      </w:r>
    </w:p>
    <w:p w14:paraId="4C6E4CFC" w14:textId="77777777" w:rsidR="00174AB4" w:rsidRDefault="00174AB4" w:rsidP="00174AB4">
      <w:pPr>
        <w:spacing w:line="240" w:lineRule="auto"/>
        <w:rPr>
          <w:rFonts w:ascii="Times New Roman" w:hAnsi="Times New Roman" w:cs="Times New Roman"/>
          <w:b/>
          <w:bCs/>
          <w:sz w:val="24"/>
          <w:szCs w:val="24"/>
        </w:rPr>
      </w:pPr>
      <w:r w:rsidRPr="00174AB4">
        <w:rPr>
          <w:rFonts w:ascii="Times New Roman" w:hAnsi="Times New Roman" w:cs="Times New Roman"/>
          <w:b/>
          <w:bCs/>
          <w:sz w:val="24"/>
          <w:szCs w:val="24"/>
        </w:rPr>
        <w:t>Event study methodology applied to legislative processes</w:t>
      </w:r>
    </w:p>
    <w:p w14:paraId="3E8C38F0" w14:textId="77777777" w:rsidR="00174AB4" w:rsidRPr="00174AB4" w:rsidRDefault="00174AB4" w:rsidP="00E36FB2">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 xml:space="preserve">Ali and </w:t>
      </w:r>
      <w:proofErr w:type="spellStart"/>
      <w:r w:rsidRPr="00174AB4">
        <w:rPr>
          <w:rFonts w:ascii="Times New Roman" w:hAnsi="Times New Roman" w:cs="Times New Roman"/>
          <w:sz w:val="24"/>
          <w:szCs w:val="24"/>
        </w:rPr>
        <w:t>Kallapur</w:t>
      </w:r>
      <w:proofErr w:type="spellEnd"/>
      <w:r w:rsidRPr="00174AB4">
        <w:rPr>
          <w:rFonts w:ascii="Times New Roman" w:hAnsi="Times New Roman" w:cs="Times New Roman"/>
          <w:sz w:val="24"/>
          <w:szCs w:val="24"/>
        </w:rPr>
        <w:t xml:space="preserve"> (2001) apply the event study methodology to the bill approval process on the United States to determine the effects of the Private Securities Litigation Reform Act of 1995. They measured the price reactions of events that changed the likelihood of the approval of the law. The authors include a set of events that provided new information to markets regarding the law's approval, this included a presidential veto and its subsequent override by Congress.</w:t>
      </w:r>
    </w:p>
    <w:p w14:paraId="24711D6A" w14:textId="77777777" w:rsidR="00174AB4" w:rsidRDefault="00174AB4" w:rsidP="00E36FB2">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 xml:space="preserve">Ali and </w:t>
      </w:r>
      <w:proofErr w:type="spellStart"/>
      <w:r w:rsidRPr="00174AB4">
        <w:rPr>
          <w:rFonts w:ascii="Times New Roman" w:hAnsi="Times New Roman" w:cs="Times New Roman"/>
          <w:sz w:val="24"/>
          <w:szCs w:val="24"/>
        </w:rPr>
        <w:t>Kallapur</w:t>
      </w:r>
      <w:proofErr w:type="spellEnd"/>
      <w:r w:rsidRPr="00174AB4">
        <w:rPr>
          <w:rFonts w:ascii="Times New Roman" w:hAnsi="Times New Roman" w:cs="Times New Roman"/>
          <w:sz w:val="24"/>
          <w:szCs w:val="24"/>
        </w:rPr>
        <w:t xml:space="preserve"> identify three particular challenges to applying the event study methodology for law approval processes: first, it is difficult to identify all the major events that affect the approval process. Second, It is necessary to identify the precise date in which that information is provided to the markets. Third, it is necessary to identify when the markets first anticipated the effects of such events. For the estimation they use the Market Return model with dummy variable for the dates of the events</w:t>
      </w:r>
    </w:p>
    <w:p w14:paraId="22823743" w14:textId="77777777" w:rsidR="00174AB4" w:rsidRDefault="00000000" w:rsidP="00174AB4">
      <w:pPr>
        <w:spacing w:line="24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j=1</m:t>
              </m:r>
            </m:sub>
            <m:sup>
              <m:r>
                <w:rPr>
                  <w:rFonts w:ascii="Cambria Math" w:hAnsi="Cambria Math" w:cs="Times New Roman"/>
                  <w:sz w:val="24"/>
                  <w:szCs w:val="24"/>
                </w:rPr>
                <m:t>N</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ϵ</m:t>
              </m:r>
            </m:e>
            <m:sub>
              <m:r>
                <w:rPr>
                  <w:rFonts w:ascii="Cambria Math" w:hAnsi="Cambria Math" w:cs="Times New Roman"/>
                  <w:sz w:val="24"/>
                  <w:szCs w:val="24"/>
                </w:rPr>
                <m:t>it</m:t>
              </m:r>
            </m:sub>
          </m:sSub>
        </m:oMath>
      </m:oMathPara>
    </w:p>
    <w:p w14:paraId="788ED150" w14:textId="77777777" w:rsidR="00174AB4" w:rsidRPr="00174AB4" w:rsidRDefault="00174AB4" w:rsidP="00E36FB2">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The authors conclude there is evidence of negative market price reactions to events that increased the likelihood of the law's approval.</w:t>
      </w:r>
    </w:p>
    <w:p w14:paraId="1A00F150" w14:textId="77777777" w:rsidR="00174AB4" w:rsidRDefault="00174AB4" w:rsidP="00E36FB2">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 xml:space="preserve">Rezaee and Pankaj (2005) apply the event study methodology to the </w:t>
      </w:r>
      <w:proofErr w:type="spellStart"/>
      <w:r w:rsidRPr="00174AB4">
        <w:rPr>
          <w:rFonts w:ascii="Times New Roman" w:hAnsi="Times New Roman" w:cs="Times New Roman"/>
          <w:sz w:val="24"/>
          <w:szCs w:val="24"/>
        </w:rPr>
        <w:t>The</w:t>
      </w:r>
      <w:proofErr w:type="spellEnd"/>
      <w:r w:rsidRPr="00174AB4">
        <w:rPr>
          <w:rFonts w:ascii="Times New Roman" w:hAnsi="Times New Roman" w:cs="Times New Roman"/>
          <w:sz w:val="24"/>
          <w:szCs w:val="24"/>
        </w:rPr>
        <w:t xml:space="preserve"> Sarbanes-Oxley Act approval process in 2002. Using a three-day cumulative abnormal return window the authors evaluate 12 Congressional events using the Mean Adjusted Return Model with dummy variables for the events</w:t>
      </w:r>
    </w:p>
    <w:p w14:paraId="3136384B" w14:textId="77777777" w:rsidR="00174AB4" w:rsidRDefault="00000000" w:rsidP="00174AB4">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j=1</m:t>
            </m:r>
          </m:sub>
          <m:sup>
            <m:r>
              <w:rPr>
                <w:rFonts w:ascii="Cambria Math" w:hAnsi="Cambria Math" w:cs="Times New Roman"/>
                <w:sz w:val="24"/>
                <w:szCs w:val="24"/>
              </w:rPr>
              <m:t>N</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ϵ</m:t>
            </m:r>
          </m:e>
          <m:sub>
            <m:r>
              <w:rPr>
                <w:rFonts w:ascii="Cambria Math" w:hAnsi="Cambria Math" w:cs="Times New Roman"/>
                <w:sz w:val="24"/>
                <w:szCs w:val="24"/>
              </w:rPr>
              <m:t>it</m:t>
            </m:r>
          </m:sub>
        </m:sSub>
      </m:oMath>
      <w:r w:rsidR="00174AB4" w:rsidRPr="00174AB4">
        <w:rPr>
          <w:rFonts w:ascii="Times New Roman" w:hAnsi="Times New Roman" w:cs="Times New Roman"/>
          <w:sz w:val="24"/>
          <w:szCs w:val="24"/>
        </w:rPr>
        <w:t>.</w:t>
      </w:r>
    </w:p>
    <w:p w14:paraId="081A71DC" w14:textId="77777777" w:rsidR="00174AB4" w:rsidRPr="00174AB4" w:rsidRDefault="00174AB4" w:rsidP="00174AB4">
      <w:pPr>
        <w:spacing w:line="240" w:lineRule="auto"/>
        <w:rPr>
          <w:rFonts w:ascii="Times New Roman" w:hAnsi="Times New Roman" w:cs="Times New Roman"/>
          <w:sz w:val="24"/>
          <w:szCs w:val="24"/>
        </w:rPr>
      </w:pPr>
      <w:r w:rsidRPr="00174AB4">
        <w:rPr>
          <w:rFonts w:ascii="Times New Roman" w:hAnsi="Times New Roman" w:cs="Times New Roman"/>
          <w:sz w:val="24"/>
          <w:szCs w:val="24"/>
        </w:rPr>
        <w:t>Rezaee and Pankaj found positive significant abnormal returns around the events that increased the probabilities of the law's approval.</w:t>
      </w:r>
    </w:p>
    <w:p w14:paraId="798ECBE0" w14:textId="77777777" w:rsidR="00174AB4" w:rsidRPr="00174AB4" w:rsidRDefault="00174AB4" w:rsidP="00E36FB2">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In both cases, the authors underscore that to apply the event study methodology analyzed events must provide new information that was not previously available to the market. As I will explain later, the particular circumstances surrounding the IRA's approval generated a set of events that comply with this requirement.</w:t>
      </w:r>
    </w:p>
    <w:p w14:paraId="76EC14AC" w14:textId="77777777" w:rsidR="00E36FB2" w:rsidRDefault="00E36FB2" w:rsidP="00174AB4">
      <w:pPr>
        <w:spacing w:line="240" w:lineRule="auto"/>
        <w:jc w:val="both"/>
        <w:rPr>
          <w:rFonts w:ascii="Times New Roman" w:hAnsi="Times New Roman" w:cs="Times New Roman"/>
          <w:b/>
          <w:bCs/>
          <w:sz w:val="28"/>
          <w:szCs w:val="28"/>
        </w:rPr>
      </w:pPr>
      <w:r w:rsidRPr="00E36FB2">
        <w:rPr>
          <w:rFonts w:ascii="Times New Roman" w:hAnsi="Times New Roman" w:cs="Times New Roman"/>
          <w:b/>
          <w:bCs/>
          <w:sz w:val="28"/>
          <w:szCs w:val="28"/>
        </w:rPr>
        <w:t>3 Data: daily data between January 2 of 2018 and December 30, 2022</w:t>
      </w:r>
    </w:p>
    <w:p w14:paraId="4273EA8F" w14:textId="5EBBA369" w:rsidR="00174AB4" w:rsidRPr="00174AB4" w:rsidRDefault="00E36FB2" w:rsidP="00E36FB2">
      <w:pPr>
        <w:spacing w:line="240" w:lineRule="auto"/>
        <w:jc w:val="both"/>
        <w:rPr>
          <w:rFonts w:ascii="Times New Roman" w:hAnsi="Times New Roman" w:cs="Times New Roman"/>
          <w:sz w:val="24"/>
          <w:szCs w:val="24"/>
        </w:rPr>
      </w:pPr>
      <w:r w:rsidRPr="00E36FB2">
        <w:rPr>
          <w:rFonts w:ascii="Times New Roman" w:hAnsi="Times New Roman" w:cs="Times New Roman"/>
          <w:sz w:val="24"/>
          <w:szCs w:val="24"/>
        </w:rPr>
        <w:t xml:space="preserve">The data used for the stock indexes and the market return corresponds to the daily closing values for the period between January 2 2018 and December 30, 2022. As the IRA’s investments focus </w:t>
      </w:r>
      <w:r w:rsidRPr="00E36FB2">
        <w:rPr>
          <w:rFonts w:ascii="Times New Roman" w:hAnsi="Times New Roman" w:cs="Times New Roman"/>
          <w:sz w:val="24"/>
          <w:szCs w:val="24"/>
        </w:rPr>
        <w:lastRenderedPageBreak/>
        <w:t xml:space="preserve">mainly on the energy sector and the automotive industry group, I will analyze those two sectors. The analysis for the energy sector is divided into two different parts: first I analyze the whole energy sector, including non-renewable and renewable energy companies. Following </w:t>
      </w:r>
      <w:proofErr w:type="spellStart"/>
      <w:r w:rsidRPr="00E36FB2">
        <w:rPr>
          <w:rFonts w:ascii="Times New Roman" w:hAnsi="Times New Roman" w:cs="Times New Roman"/>
          <w:sz w:val="24"/>
          <w:szCs w:val="24"/>
        </w:rPr>
        <w:t>Bessec</w:t>
      </w:r>
      <w:proofErr w:type="spellEnd"/>
      <w:r w:rsidRPr="00E36FB2">
        <w:rPr>
          <w:rFonts w:ascii="Times New Roman" w:hAnsi="Times New Roman" w:cs="Times New Roman"/>
          <w:sz w:val="24"/>
          <w:szCs w:val="24"/>
        </w:rPr>
        <w:t xml:space="preserve"> and 4 </w:t>
      </w:r>
      <w:proofErr w:type="spellStart"/>
      <w:r w:rsidRPr="00E36FB2">
        <w:rPr>
          <w:rFonts w:ascii="Times New Roman" w:hAnsi="Times New Roman" w:cs="Times New Roman"/>
          <w:sz w:val="24"/>
          <w:szCs w:val="24"/>
        </w:rPr>
        <w:t>Fouquau</w:t>
      </w:r>
      <w:proofErr w:type="spellEnd"/>
      <w:r w:rsidRPr="00E36FB2">
        <w:rPr>
          <w:rFonts w:ascii="Times New Roman" w:hAnsi="Times New Roman" w:cs="Times New Roman"/>
          <w:sz w:val="24"/>
          <w:szCs w:val="24"/>
        </w:rPr>
        <w:t xml:space="preserve"> (2024), I use the S&amp;P500 Energy index and the Dow Jones U.S. Oil &amp; Gas </w:t>
      </w:r>
      <w:proofErr w:type="spellStart"/>
      <w:r w:rsidRPr="00E36FB2">
        <w:rPr>
          <w:rFonts w:ascii="Times New Roman" w:hAnsi="Times New Roman" w:cs="Times New Roman"/>
          <w:sz w:val="24"/>
          <w:szCs w:val="24"/>
        </w:rPr>
        <w:t>Index.</w:t>
      </w:r>
      <w:r w:rsidR="00174AB4" w:rsidRPr="00174AB4">
        <w:rPr>
          <w:rFonts w:ascii="Times New Roman" w:hAnsi="Times New Roman" w:cs="Times New Roman"/>
          <w:sz w:val="24"/>
          <w:szCs w:val="24"/>
        </w:rPr>
        <w:t>For</w:t>
      </w:r>
      <w:proofErr w:type="spellEnd"/>
      <w:r w:rsidR="00174AB4" w:rsidRPr="00174AB4">
        <w:rPr>
          <w:rFonts w:ascii="Times New Roman" w:hAnsi="Times New Roman" w:cs="Times New Roman"/>
          <w:sz w:val="24"/>
          <w:szCs w:val="24"/>
        </w:rPr>
        <w:t xml:space="preserve"> the automotive industry I will use the S&amp;P 500 Automobiles Industry index. The index time series was extracted from Yahoo Finance using Python's </w:t>
      </w:r>
      <w:proofErr w:type="spellStart"/>
      <w:r w:rsidR="00174AB4" w:rsidRPr="00174AB4">
        <w:rPr>
          <w:rFonts w:ascii="Times New Roman" w:hAnsi="Times New Roman" w:cs="Times New Roman"/>
          <w:sz w:val="24"/>
          <w:szCs w:val="24"/>
        </w:rPr>
        <w:t>yfinance</w:t>
      </w:r>
      <w:proofErr w:type="spellEnd"/>
      <w:r w:rsidR="00174AB4" w:rsidRPr="00174AB4">
        <w:rPr>
          <w:rFonts w:ascii="Times New Roman" w:hAnsi="Times New Roman" w:cs="Times New Roman"/>
          <w:sz w:val="24"/>
          <w:szCs w:val="24"/>
        </w:rPr>
        <w:t xml:space="preserve"> Package (SP500-251020, 2023).</w:t>
      </w:r>
    </w:p>
    <w:p w14:paraId="43E18F80" w14:textId="7B094B30" w:rsidR="00174AB4" w:rsidRDefault="00E36FB2" w:rsidP="00174AB4">
      <w:pPr>
        <w:spacing w:line="240" w:lineRule="auto"/>
        <w:jc w:val="both"/>
        <w:rPr>
          <w:rFonts w:ascii="Times New Roman" w:hAnsi="Times New Roman" w:cs="Times New Roman"/>
          <w:sz w:val="24"/>
          <w:szCs w:val="24"/>
        </w:rPr>
      </w:pPr>
      <w:r w:rsidRPr="00E36FB2">
        <w:rPr>
          <w:rFonts w:ascii="Times New Roman" w:hAnsi="Times New Roman" w:cs="Times New Roman"/>
          <w:sz w:val="24"/>
          <w:szCs w:val="24"/>
        </w:rPr>
        <w:t>Then, I focus on the specific renewable energy segment. To measure the impact on the clean energy segment I use the NASDAQ Clean Energy Edge Index, this Index composed of 56 U.S. listed stocks, tracks the performance of companies that are ”primarily manufacturers, developers, distributors and/or installers of clean energy technologies” (NASDAQ 2024). For the final part of the energy sector analysis, I evaluate the impact on the oil and gas companies by using the Dow Jones U.S. Oil &amp; Gas Index, which contains the main 45 U.S. companies from the oil and gas sector.</w:t>
      </w:r>
    </w:p>
    <w:p w14:paraId="4A8FCBA2" w14:textId="71900A8C" w:rsidR="00E36FB2" w:rsidRDefault="00E36FB2" w:rsidP="00174AB4">
      <w:pPr>
        <w:spacing w:line="240" w:lineRule="auto"/>
        <w:jc w:val="both"/>
        <w:rPr>
          <w:rFonts w:ascii="Times New Roman" w:hAnsi="Times New Roman" w:cs="Times New Roman"/>
          <w:sz w:val="24"/>
          <w:szCs w:val="24"/>
        </w:rPr>
      </w:pPr>
      <w:r w:rsidRPr="00E36FB2">
        <w:rPr>
          <w:rFonts w:ascii="Times New Roman" w:hAnsi="Times New Roman" w:cs="Times New Roman"/>
          <w:sz w:val="24"/>
          <w:szCs w:val="24"/>
        </w:rPr>
        <w:t xml:space="preserve">For the automotive industry, I use first the S&amp;P 500 Automobiles Industry Index which tracks the behavior of the automotive industry as a whole in the United States (SP500-251020, 2023). Then, I use the S&amp;P </w:t>
      </w:r>
      <w:proofErr w:type="spellStart"/>
      <w:r w:rsidRPr="00E36FB2">
        <w:rPr>
          <w:rFonts w:ascii="Times New Roman" w:hAnsi="Times New Roman" w:cs="Times New Roman"/>
          <w:sz w:val="24"/>
          <w:szCs w:val="24"/>
        </w:rPr>
        <w:t>Kensho</w:t>
      </w:r>
      <w:proofErr w:type="spellEnd"/>
      <w:r w:rsidRPr="00E36FB2">
        <w:rPr>
          <w:rFonts w:ascii="Times New Roman" w:hAnsi="Times New Roman" w:cs="Times New Roman"/>
          <w:sz w:val="24"/>
          <w:szCs w:val="24"/>
        </w:rPr>
        <w:t xml:space="preserve"> Electric Vehicles Index which contains 44 U.S.-listed companies producing electric vehicles and associated subsystems and infrastructure (S&amp;P Globa, 2024a).</w:t>
      </w:r>
    </w:p>
    <w:p w14:paraId="2E5E25DD" w14:textId="391CF11B" w:rsidR="00E36FB2" w:rsidRDefault="00E36FB2" w:rsidP="00174AB4">
      <w:pPr>
        <w:spacing w:line="240" w:lineRule="auto"/>
        <w:jc w:val="both"/>
        <w:rPr>
          <w:rFonts w:ascii="Times New Roman" w:hAnsi="Times New Roman" w:cs="Times New Roman"/>
          <w:sz w:val="24"/>
          <w:szCs w:val="24"/>
        </w:rPr>
      </w:pPr>
      <w:r w:rsidRPr="00E36FB2">
        <w:rPr>
          <w:rFonts w:ascii="Times New Roman" w:hAnsi="Times New Roman" w:cs="Times New Roman"/>
          <w:sz w:val="24"/>
          <w:szCs w:val="24"/>
        </w:rPr>
        <w:t xml:space="preserve">In the case of the NASDAQ Clean Energy Edge Index, the data was downloaded directly from NASDAQ’s webpage(NASDAQ, 2024). For the S&amp;P </w:t>
      </w:r>
      <w:proofErr w:type="spellStart"/>
      <w:r w:rsidRPr="00E36FB2">
        <w:rPr>
          <w:rFonts w:ascii="Times New Roman" w:hAnsi="Times New Roman" w:cs="Times New Roman"/>
          <w:sz w:val="24"/>
          <w:szCs w:val="24"/>
        </w:rPr>
        <w:t>Kensho</w:t>
      </w:r>
      <w:proofErr w:type="spellEnd"/>
      <w:r w:rsidRPr="00E36FB2">
        <w:rPr>
          <w:rFonts w:ascii="Times New Roman" w:hAnsi="Times New Roman" w:cs="Times New Roman"/>
          <w:sz w:val="24"/>
          <w:szCs w:val="24"/>
        </w:rPr>
        <w:t xml:space="preserve"> Electric Vehicles Index, the S&amp;P 500 Energy index, and the Dow Jones U.S. Oil &amp; Gas Index, the data was downloaded from the S&amp;P </w:t>
      </w:r>
      <w:proofErr w:type="spellStart"/>
      <w:r w:rsidRPr="00E36FB2">
        <w:rPr>
          <w:rFonts w:ascii="Times New Roman" w:hAnsi="Times New Roman" w:cs="Times New Roman"/>
          <w:sz w:val="24"/>
          <w:szCs w:val="24"/>
        </w:rPr>
        <w:t>Global’s</w:t>
      </w:r>
      <w:proofErr w:type="spellEnd"/>
      <w:r w:rsidRPr="00E36FB2">
        <w:rPr>
          <w:rFonts w:ascii="Times New Roman" w:hAnsi="Times New Roman" w:cs="Times New Roman"/>
          <w:sz w:val="24"/>
          <w:szCs w:val="24"/>
        </w:rPr>
        <w:t xml:space="preserve"> webpage (S&amp;P Global, 2024a, 2024b, 2024c). Finally, for the S&amp;P 500 Automobiles Industry index, the data was extracted from Yahoo Finance using Python’s </w:t>
      </w:r>
      <w:proofErr w:type="spellStart"/>
      <w:r w:rsidRPr="00E36FB2">
        <w:rPr>
          <w:rFonts w:ascii="Times New Roman" w:hAnsi="Times New Roman" w:cs="Times New Roman"/>
          <w:sz w:val="24"/>
          <w:szCs w:val="24"/>
        </w:rPr>
        <w:t>yfinance</w:t>
      </w:r>
      <w:proofErr w:type="spellEnd"/>
      <w:r w:rsidRPr="00E36FB2">
        <w:rPr>
          <w:rFonts w:ascii="Times New Roman" w:hAnsi="Times New Roman" w:cs="Times New Roman"/>
          <w:sz w:val="24"/>
          <w:szCs w:val="24"/>
        </w:rPr>
        <w:t xml:space="preserve"> Package (SP500-251020, 2023).</w:t>
      </w:r>
    </w:p>
    <w:p w14:paraId="53C5C339" w14:textId="461FA6EA" w:rsidR="00E36FB2" w:rsidRDefault="00E36FB2" w:rsidP="00174AB4">
      <w:pPr>
        <w:spacing w:line="240" w:lineRule="auto"/>
        <w:jc w:val="both"/>
        <w:rPr>
          <w:rFonts w:ascii="Times New Roman" w:hAnsi="Times New Roman" w:cs="Times New Roman"/>
          <w:sz w:val="24"/>
          <w:szCs w:val="24"/>
        </w:rPr>
      </w:pPr>
      <w:r w:rsidRPr="00E36FB2">
        <w:rPr>
          <w:rFonts w:ascii="Times New Roman" w:hAnsi="Times New Roman" w:cs="Times New Roman"/>
          <w:sz w:val="24"/>
          <w:szCs w:val="24"/>
        </w:rPr>
        <w:t xml:space="preserve">For the market return data, I used Fama and French market daily risk premium and daily risk-free return (Fama and French 2024). Fama and French calculate the market return variable using as a basis the data from the Center for Research in Security Prices (CRSP), specifically from the CRSP US Total Market Index, which represents 100% of the US equity market. However, the market index on the Fama-French library refers to the market risk premium Rm − </w:t>
      </w:r>
      <w:proofErr w:type="spellStart"/>
      <w:r w:rsidRPr="00E36FB2">
        <w:rPr>
          <w:rFonts w:ascii="Times New Roman" w:hAnsi="Times New Roman" w:cs="Times New Roman"/>
          <w:sz w:val="24"/>
          <w:szCs w:val="24"/>
        </w:rPr>
        <w:t>Rriskfree</w:t>
      </w:r>
      <w:proofErr w:type="spellEnd"/>
      <w:r w:rsidRPr="00E36FB2">
        <w:rPr>
          <w:rFonts w:ascii="Times New Roman" w:hAnsi="Times New Roman" w:cs="Times New Roman"/>
          <w:sz w:val="24"/>
          <w:szCs w:val="24"/>
        </w:rPr>
        <w:t>, therefore, to obtain the market return I added back the risk-free rate.</w:t>
      </w:r>
    </w:p>
    <w:p w14:paraId="039D7A72" w14:textId="7CAEC045" w:rsidR="00E36FB2" w:rsidRDefault="00E36FB2" w:rsidP="00174AB4">
      <w:pPr>
        <w:spacing w:line="240" w:lineRule="auto"/>
        <w:jc w:val="both"/>
        <w:rPr>
          <w:rFonts w:ascii="Times New Roman" w:hAnsi="Times New Roman" w:cs="Times New Roman"/>
          <w:sz w:val="24"/>
          <w:szCs w:val="24"/>
        </w:rPr>
      </w:pPr>
      <w:r w:rsidRPr="00E36FB2">
        <w:rPr>
          <w:rFonts w:ascii="Times New Roman" w:hAnsi="Times New Roman" w:cs="Times New Roman"/>
          <w:sz w:val="24"/>
          <w:szCs w:val="24"/>
        </w:rPr>
        <w:t>The data on the risk-free rate was also obtained from Fama and French library (Fama and French 2024). The details of the construction of the Fama-French library can be found on Fama and French (2023).</w:t>
      </w:r>
    </w:p>
    <w:p w14:paraId="684DC6E4" w14:textId="7ADBC5A1" w:rsidR="00E36FB2" w:rsidRDefault="00E36FB2" w:rsidP="00174AB4">
      <w:pPr>
        <w:spacing w:line="240" w:lineRule="auto"/>
        <w:jc w:val="both"/>
        <w:rPr>
          <w:rFonts w:ascii="Times New Roman" w:hAnsi="Times New Roman" w:cs="Times New Roman"/>
          <w:sz w:val="24"/>
          <w:szCs w:val="24"/>
        </w:rPr>
      </w:pPr>
      <w:r w:rsidRPr="00E36FB2">
        <w:rPr>
          <w:rFonts w:ascii="Times New Roman" w:hAnsi="Times New Roman" w:cs="Times New Roman"/>
          <w:sz w:val="24"/>
          <w:szCs w:val="24"/>
        </w:rPr>
        <w:t>Graph 1 presents the historical behavior of the variables’ returns, while Table 1 presents basic descriptive statistics of the data.</w:t>
      </w:r>
    </w:p>
    <w:p w14:paraId="539F2E14" w14:textId="77777777" w:rsidR="00E36FB2" w:rsidRPr="00174AB4" w:rsidRDefault="00E36FB2" w:rsidP="00174AB4">
      <w:pPr>
        <w:spacing w:line="240" w:lineRule="auto"/>
        <w:jc w:val="both"/>
        <w:rPr>
          <w:rFonts w:ascii="Times New Roman" w:hAnsi="Times New Roman" w:cs="Times New Roman"/>
          <w:sz w:val="24"/>
          <w:szCs w:val="24"/>
        </w:rPr>
      </w:pPr>
    </w:p>
    <w:p w14:paraId="65073BD7" w14:textId="6EE853B1" w:rsidR="00174AB4" w:rsidRPr="00174AB4" w:rsidRDefault="00E36FB2" w:rsidP="00174AB4">
      <w:pPr>
        <w:spacing w:after="0" w:line="240" w:lineRule="auto"/>
        <w:jc w:val="center"/>
        <w:rPr>
          <w:rFonts w:ascii="Times New Roman" w:hAnsi="Times New Roman" w:cs="Times New Roman"/>
          <w:b/>
          <w:bCs/>
          <w:sz w:val="24"/>
          <w:szCs w:val="24"/>
        </w:rPr>
      </w:pPr>
      <w:r w:rsidRPr="00E36FB2">
        <w:rPr>
          <w:rFonts w:ascii="Times New Roman" w:hAnsi="Times New Roman" w:cs="Times New Roman"/>
          <w:b/>
          <w:bCs/>
          <w:sz w:val="24"/>
          <w:szCs w:val="24"/>
        </w:rPr>
        <w:lastRenderedPageBreak/>
        <w:t>Graph 1: Daily returns between January 2, 2018 and December 30 2022, 1 250 observations</w:t>
      </w:r>
      <w:r w:rsidRPr="00E36FB2">
        <w:t xml:space="preserve"> </w:t>
      </w:r>
      <w:r>
        <w:rPr>
          <w:noProof/>
        </w:rPr>
        <w:drawing>
          <wp:inline distT="0" distB="0" distL="0" distR="0" wp14:anchorId="77280675" wp14:editId="34C84CDF">
            <wp:extent cx="5943600" cy="2971800"/>
            <wp:effectExtent l="0" t="0" r="0" b="0"/>
            <wp:docPr id="3784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73FECA5" w14:textId="77777777" w:rsidR="00E36FB2" w:rsidRDefault="00E36FB2" w:rsidP="00174AB4">
      <w:pPr>
        <w:spacing w:line="240" w:lineRule="auto"/>
        <w:jc w:val="center"/>
        <w:rPr>
          <w:rFonts w:ascii="Times New Roman" w:hAnsi="Times New Roman" w:cs="Times New Roman"/>
          <w:sz w:val="20"/>
          <w:szCs w:val="20"/>
        </w:rPr>
      </w:pPr>
      <w:r w:rsidRPr="00E36FB2">
        <w:rPr>
          <w:rFonts w:ascii="Times New Roman" w:hAnsi="Times New Roman" w:cs="Times New Roman"/>
          <w:sz w:val="20"/>
          <w:szCs w:val="20"/>
        </w:rPr>
        <w:t>Source: Own elaboration with data from Fama &amp; French (2023), ECO. (2023) and SP500-251020, (2023)</w:t>
      </w:r>
    </w:p>
    <w:p w14:paraId="447A7E1E" w14:textId="66E12B1D" w:rsidR="00174AB4" w:rsidRPr="00174AB4" w:rsidRDefault="00174AB4" w:rsidP="00174AB4">
      <w:pPr>
        <w:spacing w:line="240" w:lineRule="auto"/>
        <w:jc w:val="center"/>
        <w:rPr>
          <w:rFonts w:ascii="Times New Roman" w:hAnsi="Times New Roman" w:cs="Times New Roman"/>
          <w:sz w:val="20"/>
          <w:szCs w:val="20"/>
        </w:rPr>
      </w:pPr>
      <w:r w:rsidRPr="00174AB4">
        <w:rPr>
          <w:rFonts w:ascii="Times New Roman" w:hAnsi="Times New Roman" w:cs="Times New Roman"/>
          <w:sz w:val="20"/>
          <w:szCs w:val="20"/>
        </w:rPr>
        <w:t>Note: Market return was obtained from Fama-French data library (Fama \&amp; French 2024), which is built based on the Center for Research in Security Prices market index, which represents 100\% of the US equity market.</w:t>
      </w:r>
    </w:p>
    <w:p w14:paraId="77EE6929" w14:textId="77777777" w:rsidR="00174AB4" w:rsidRDefault="00174AB4" w:rsidP="00174AB4">
      <w:pPr>
        <w:spacing w:line="240" w:lineRule="auto"/>
        <w:jc w:val="both"/>
        <w:rPr>
          <w:rFonts w:ascii="Times New Roman" w:hAnsi="Times New Roman" w:cs="Times New Roman"/>
          <w:sz w:val="24"/>
          <w:szCs w:val="24"/>
        </w:rPr>
      </w:pPr>
    </w:p>
    <w:p w14:paraId="615071C7" w14:textId="4E01A9C7" w:rsidR="00174AB4" w:rsidRPr="00174AB4" w:rsidRDefault="00174AB4" w:rsidP="00174AB4">
      <w:pPr>
        <w:spacing w:line="240" w:lineRule="auto"/>
        <w:jc w:val="center"/>
        <w:rPr>
          <w:rFonts w:ascii="Times New Roman" w:hAnsi="Times New Roman" w:cs="Times New Roman"/>
          <w:b/>
          <w:bCs/>
          <w:sz w:val="24"/>
          <w:szCs w:val="24"/>
        </w:rPr>
      </w:pPr>
      <w:r w:rsidRPr="00174AB4">
        <w:rPr>
          <w:rFonts w:ascii="Times New Roman" w:hAnsi="Times New Roman" w:cs="Times New Roman"/>
          <w:b/>
          <w:bCs/>
          <w:sz w:val="24"/>
          <w:szCs w:val="24"/>
        </w:rPr>
        <w:t>Table 1: Descriptive statistics, 1 149 observations</w:t>
      </w:r>
    </w:p>
    <w:p w14:paraId="0B383E40" w14:textId="7C7D8904" w:rsidR="00174AB4" w:rsidRDefault="00E36FB2" w:rsidP="00E36FB2">
      <w:pPr>
        <w:spacing w:line="240" w:lineRule="auto"/>
        <w:jc w:val="center"/>
        <w:rPr>
          <w:rFonts w:ascii="Times New Roman" w:hAnsi="Times New Roman" w:cs="Times New Roman"/>
          <w:sz w:val="20"/>
          <w:szCs w:val="20"/>
        </w:rPr>
      </w:pPr>
      <w:r>
        <w:rPr>
          <w:noProof/>
        </w:rPr>
        <w:drawing>
          <wp:inline distT="0" distB="0" distL="0" distR="0" wp14:anchorId="615E1863" wp14:editId="38411B7D">
            <wp:extent cx="5943600" cy="2280920"/>
            <wp:effectExtent l="0" t="0" r="0" b="5080"/>
            <wp:docPr id="29477454" name="Picture 2"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7454" name="Picture 2" descr="A table of numbers with black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80920"/>
                    </a:xfrm>
                    <a:prstGeom prst="rect">
                      <a:avLst/>
                    </a:prstGeom>
                    <a:noFill/>
                    <a:ln>
                      <a:noFill/>
                    </a:ln>
                  </pic:spPr>
                </pic:pic>
              </a:graphicData>
            </a:graphic>
          </wp:inline>
        </w:drawing>
      </w:r>
      <w:r w:rsidRPr="00E36FB2">
        <w:t xml:space="preserve"> </w:t>
      </w:r>
      <w:r w:rsidRPr="00E36FB2">
        <w:rPr>
          <w:rFonts w:ascii="Times New Roman" w:hAnsi="Times New Roman" w:cs="Times New Roman"/>
          <w:sz w:val="20"/>
          <w:szCs w:val="20"/>
        </w:rPr>
        <w:t>Source: Own elaboration with data from Fama &amp; French (2023), ECO. (2023) and SP500-251020, (2023)</w:t>
      </w:r>
    </w:p>
    <w:p w14:paraId="5DC6B982" w14:textId="77777777" w:rsidR="00E36FB2" w:rsidRPr="00174AB4" w:rsidRDefault="00E36FB2" w:rsidP="00E36FB2">
      <w:pPr>
        <w:spacing w:line="240" w:lineRule="auto"/>
        <w:jc w:val="center"/>
        <w:rPr>
          <w:rFonts w:ascii="Times New Roman" w:hAnsi="Times New Roman" w:cs="Times New Roman"/>
          <w:sz w:val="24"/>
          <w:szCs w:val="24"/>
        </w:rPr>
      </w:pPr>
    </w:p>
    <w:p w14:paraId="5A7F4678" w14:textId="088C3CEA" w:rsidR="00174AB4" w:rsidRPr="00174AB4" w:rsidRDefault="00E36FB2" w:rsidP="00174AB4">
      <w:pPr>
        <w:spacing w:line="240" w:lineRule="auto"/>
        <w:jc w:val="both"/>
        <w:rPr>
          <w:rFonts w:ascii="Times New Roman" w:hAnsi="Times New Roman" w:cs="Times New Roman"/>
          <w:sz w:val="24"/>
          <w:szCs w:val="24"/>
        </w:rPr>
      </w:pPr>
      <w:r w:rsidRPr="00E36FB2">
        <w:rPr>
          <w:rFonts w:ascii="Times New Roman" w:hAnsi="Times New Roman" w:cs="Times New Roman"/>
          <w:sz w:val="24"/>
          <w:szCs w:val="24"/>
        </w:rPr>
        <w:t>The visualization of the data shows that the 6 variables are centered around 0, this is confirmed by the summary statistics in Table 1. It is possible to observe an important increase in volatility</w:t>
      </w:r>
      <w:r>
        <w:rPr>
          <w:rFonts w:ascii="Times New Roman" w:hAnsi="Times New Roman" w:cs="Times New Roman"/>
          <w:sz w:val="24"/>
          <w:szCs w:val="24"/>
        </w:rPr>
        <w:t xml:space="preserve"> </w:t>
      </w:r>
      <w:r w:rsidRPr="00E36FB2">
        <w:rPr>
          <w:rFonts w:ascii="Times New Roman" w:hAnsi="Times New Roman" w:cs="Times New Roman"/>
          <w:sz w:val="24"/>
          <w:szCs w:val="24"/>
        </w:rPr>
        <w:t xml:space="preserve">around the pandemic. In the period that encompasses the four events, there is also an increase in volatility, this may be explained by the increases in the United States Fed Fund rates, which began in April 2022. All six indexes have very similar standard deviations and higher volatility than the market. All the variables, except for the S&amp;P </w:t>
      </w:r>
      <w:proofErr w:type="spellStart"/>
      <w:r w:rsidRPr="00E36FB2">
        <w:rPr>
          <w:rFonts w:ascii="Times New Roman" w:hAnsi="Times New Roman" w:cs="Times New Roman"/>
          <w:sz w:val="24"/>
          <w:szCs w:val="24"/>
        </w:rPr>
        <w:t>Kensho</w:t>
      </w:r>
      <w:proofErr w:type="spellEnd"/>
      <w:r w:rsidRPr="00E36FB2">
        <w:rPr>
          <w:rFonts w:ascii="Times New Roman" w:hAnsi="Times New Roman" w:cs="Times New Roman"/>
          <w:sz w:val="24"/>
          <w:szCs w:val="24"/>
        </w:rPr>
        <w:t xml:space="preserve"> Electric Vehicles Index, present a Kurtosis </w:t>
      </w:r>
      <w:r w:rsidRPr="00E36FB2">
        <w:rPr>
          <w:rFonts w:ascii="Times New Roman" w:hAnsi="Times New Roman" w:cs="Times New Roman"/>
          <w:sz w:val="24"/>
          <w:szCs w:val="24"/>
        </w:rPr>
        <w:lastRenderedPageBreak/>
        <w:t>considerably different from 3, especially the automotive industry index. To observe more clearly the variables’ behavior around the dates of the event, I present on Graph 2 a zoom around the analyzed events.</w:t>
      </w:r>
    </w:p>
    <w:p w14:paraId="293083B5" w14:textId="67C84F64" w:rsidR="00174AB4" w:rsidRDefault="00E36FB2" w:rsidP="00174AB4">
      <w:pPr>
        <w:spacing w:line="240" w:lineRule="auto"/>
        <w:jc w:val="both"/>
        <w:rPr>
          <w:rFonts w:ascii="Times New Roman" w:hAnsi="Times New Roman" w:cs="Times New Roman"/>
          <w:sz w:val="24"/>
          <w:szCs w:val="24"/>
        </w:rPr>
      </w:pPr>
      <w:r w:rsidRPr="00E36FB2">
        <w:rPr>
          <w:rFonts w:ascii="Times New Roman" w:hAnsi="Times New Roman" w:cs="Times New Roman"/>
          <w:b/>
          <w:bCs/>
          <w:sz w:val="24"/>
          <w:szCs w:val="24"/>
        </w:rPr>
        <w:t>Graph 2: Daily returns between July 27 2021 and September 07 2022, 256 observations</w:t>
      </w:r>
      <w:r w:rsidRPr="00E36FB2">
        <w:t xml:space="preserve"> </w:t>
      </w:r>
      <w:r w:rsidR="0048476E">
        <w:rPr>
          <w:noProof/>
        </w:rPr>
        <w:drawing>
          <wp:inline distT="0" distB="0" distL="0" distR="0" wp14:anchorId="241D09B3" wp14:editId="517192F7">
            <wp:extent cx="5943600" cy="2971800"/>
            <wp:effectExtent l="0" t="0" r="0" b="0"/>
            <wp:docPr id="82984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21D0AFF" w14:textId="247F55B8" w:rsidR="00174AB4" w:rsidRDefault="0048476E" w:rsidP="00174AB4">
      <w:pPr>
        <w:spacing w:line="240" w:lineRule="auto"/>
        <w:jc w:val="both"/>
        <w:rPr>
          <w:rFonts w:ascii="Times New Roman" w:hAnsi="Times New Roman" w:cs="Times New Roman"/>
          <w:sz w:val="20"/>
          <w:szCs w:val="20"/>
        </w:rPr>
      </w:pPr>
      <w:r w:rsidRPr="0048476E">
        <w:rPr>
          <w:rFonts w:ascii="Times New Roman" w:hAnsi="Times New Roman" w:cs="Times New Roman"/>
          <w:sz w:val="20"/>
          <w:szCs w:val="20"/>
        </w:rPr>
        <w:t>Source:</w:t>
      </w:r>
      <w:r>
        <w:rPr>
          <w:rFonts w:ascii="Times New Roman" w:hAnsi="Times New Roman" w:cs="Times New Roman"/>
          <w:sz w:val="20"/>
          <w:szCs w:val="20"/>
        </w:rPr>
        <w:t xml:space="preserve"> </w:t>
      </w:r>
      <w:r w:rsidRPr="0048476E">
        <w:rPr>
          <w:rFonts w:ascii="Times New Roman" w:hAnsi="Times New Roman" w:cs="Times New Roman"/>
          <w:sz w:val="20"/>
          <w:szCs w:val="20"/>
        </w:rPr>
        <w:t>Own elaboration with data from Fama &amp; French (2023), ECO. (2023) and SP500-251020, (2023)</w:t>
      </w:r>
    </w:p>
    <w:p w14:paraId="0A3D8AEB" w14:textId="7BE55D7D" w:rsidR="0048476E" w:rsidRDefault="0048476E" w:rsidP="0048476E">
      <w:pPr>
        <w:spacing w:line="240" w:lineRule="auto"/>
        <w:jc w:val="center"/>
        <w:rPr>
          <w:rFonts w:ascii="Times New Roman" w:hAnsi="Times New Roman" w:cs="Times New Roman"/>
          <w:b/>
          <w:bCs/>
          <w:sz w:val="24"/>
          <w:szCs w:val="24"/>
        </w:rPr>
      </w:pPr>
      <w:r w:rsidRPr="0048476E">
        <w:rPr>
          <w:rFonts w:ascii="Times New Roman" w:hAnsi="Times New Roman" w:cs="Times New Roman"/>
          <w:b/>
          <w:bCs/>
          <w:sz w:val="24"/>
          <w:szCs w:val="24"/>
        </w:rPr>
        <w:t>Graph 3: Correlation heat-map, 1 149 observations</w:t>
      </w:r>
    </w:p>
    <w:p w14:paraId="3DA1011C" w14:textId="0800F0C4" w:rsidR="0048476E" w:rsidRDefault="0048476E" w:rsidP="0048476E">
      <w:pPr>
        <w:spacing w:line="240" w:lineRule="auto"/>
        <w:jc w:val="center"/>
        <w:rPr>
          <w:rFonts w:ascii="Times New Roman" w:hAnsi="Times New Roman" w:cs="Times New Roman"/>
          <w:b/>
          <w:bCs/>
          <w:sz w:val="24"/>
          <w:szCs w:val="24"/>
        </w:rPr>
      </w:pPr>
      <w:r>
        <w:rPr>
          <w:noProof/>
        </w:rPr>
        <w:drawing>
          <wp:inline distT="0" distB="0" distL="0" distR="0" wp14:anchorId="20A37364" wp14:editId="71A1CE5A">
            <wp:extent cx="5080883" cy="3198351"/>
            <wp:effectExtent l="0" t="0" r="5715" b="2540"/>
            <wp:docPr id="118304461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44616" name="Picture 5"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680" cy="3208925"/>
                    </a:xfrm>
                    <a:prstGeom prst="rect">
                      <a:avLst/>
                    </a:prstGeom>
                    <a:noFill/>
                    <a:ln>
                      <a:noFill/>
                    </a:ln>
                  </pic:spPr>
                </pic:pic>
              </a:graphicData>
            </a:graphic>
          </wp:inline>
        </w:drawing>
      </w:r>
    </w:p>
    <w:p w14:paraId="4173E065" w14:textId="74BCE5AB" w:rsidR="0048476E" w:rsidRDefault="0048476E" w:rsidP="0048476E">
      <w:pPr>
        <w:spacing w:line="240" w:lineRule="auto"/>
        <w:jc w:val="center"/>
        <w:rPr>
          <w:rFonts w:ascii="Times New Roman" w:hAnsi="Times New Roman" w:cs="Times New Roman"/>
          <w:sz w:val="20"/>
          <w:szCs w:val="20"/>
        </w:rPr>
      </w:pPr>
      <w:r w:rsidRPr="0048476E">
        <w:rPr>
          <w:rFonts w:ascii="Times New Roman" w:hAnsi="Times New Roman" w:cs="Times New Roman"/>
          <w:sz w:val="20"/>
          <w:szCs w:val="20"/>
        </w:rPr>
        <w:t>Source: Own elaboration with data from Fama &amp; French (2023), S&amp;P Global (2024a, 2024b, 2024c), NASDAQ (2024) and SP500-251020, (2023)</w:t>
      </w:r>
    </w:p>
    <w:p w14:paraId="23A8AEFE" w14:textId="77777777" w:rsidR="0048476E" w:rsidRDefault="0048476E" w:rsidP="0048476E">
      <w:pPr>
        <w:spacing w:line="240" w:lineRule="auto"/>
        <w:jc w:val="both"/>
        <w:rPr>
          <w:rFonts w:ascii="Times New Roman" w:hAnsi="Times New Roman" w:cs="Times New Roman"/>
          <w:sz w:val="24"/>
          <w:szCs w:val="24"/>
        </w:rPr>
      </w:pPr>
      <w:r w:rsidRPr="0048476E">
        <w:rPr>
          <w:rFonts w:ascii="Times New Roman" w:hAnsi="Times New Roman" w:cs="Times New Roman"/>
          <w:sz w:val="24"/>
          <w:szCs w:val="24"/>
        </w:rPr>
        <w:lastRenderedPageBreak/>
        <w:t xml:space="preserve">Graph 3 presents the correlation heat map between the variables. The five indexes have correlation coefficients with the market greater than 0.65. The NASDAQ Clean Energy Edge Index is strongly correlated with the S&amp;P </w:t>
      </w:r>
      <w:proofErr w:type="spellStart"/>
      <w:r w:rsidRPr="0048476E">
        <w:rPr>
          <w:rFonts w:ascii="Times New Roman" w:hAnsi="Times New Roman" w:cs="Times New Roman"/>
          <w:sz w:val="24"/>
          <w:szCs w:val="24"/>
        </w:rPr>
        <w:t>Kensho</w:t>
      </w:r>
      <w:proofErr w:type="spellEnd"/>
      <w:r w:rsidRPr="0048476E">
        <w:rPr>
          <w:rFonts w:ascii="Times New Roman" w:hAnsi="Times New Roman" w:cs="Times New Roman"/>
          <w:sz w:val="24"/>
          <w:szCs w:val="24"/>
        </w:rPr>
        <w:t xml:space="preserve"> Electric Vehicles Index, something that reflects the strong ties between both sectors. Interestingly all the correlation coefficients are positive, and the smallest value is 0.46 between the S&amp;P500 Energy Index and the S&amp;P 500 Automobiles Index. </w:t>
      </w:r>
    </w:p>
    <w:p w14:paraId="1B73B5F3" w14:textId="25F0D85A" w:rsidR="0048476E" w:rsidRPr="0048476E" w:rsidRDefault="0048476E" w:rsidP="0048476E">
      <w:pPr>
        <w:spacing w:line="240" w:lineRule="auto"/>
        <w:jc w:val="both"/>
        <w:rPr>
          <w:rFonts w:ascii="Times New Roman" w:hAnsi="Times New Roman" w:cs="Times New Roman"/>
          <w:sz w:val="24"/>
          <w:szCs w:val="24"/>
        </w:rPr>
      </w:pPr>
      <w:r w:rsidRPr="0048476E">
        <w:rPr>
          <w:rFonts w:ascii="Times New Roman" w:hAnsi="Times New Roman" w:cs="Times New Roman"/>
          <w:sz w:val="24"/>
          <w:szCs w:val="24"/>
        </w:rPr>
        <w:t>To evaluate the normality of the variables, I applied the Jarque-Bera normality test. The results are presented in Table 2. As can be seen, the null hypothesis of normality is rejected for the six variables. In line with the observation of Fama, Fisher, Jensen, and Roll (1969), the returns do not follow a normal distribution.</w:t>
      </w:r>
    </w:p>
    <w:p w14:paraId="324FC09C" w14:textId="77777777" w:rsidR="0048476E" w:rsidRPr="0048476E" w:rsidRDefault="0048476E" w:rsidP="0048476E">
      <w:pPr>
        <w:spacing w:line="240" w:lineRule="auto"/>
        <w:jc w:val="center"/>
        <w:rPr>
          <w:rFonts w:ascii="Times New Roman" w:hAnsi="Times New Roman" w:cs="Times New Roman"/>
          <w:b/>
          <w:bCs/>
          <w:sz w:val="24"/>
          <w:szCs w:val="24"/>
        </w:rPr>
      </w:pPr>
    </w:p>
    <w:p w14:paraId="0822CB65" w14:textId="77777777" w:rsidR="0048476E" w:rsidRPr="00174AB4" w:rsidRDefault="0048476E" w:rsidP="00174AB4">
      <w:pPr>
        <w:spacing w:line="240" w:lineRule="auto"/>
        <w:jc w:val="both"/>
        <w:rPr>
          <w:rFonts w:ascii="Times New Roman" w:hAnsi="Times New Roman" w:cs="Times New Roman"/>
          <w:sz w:val="24"/>
          <w:szCs w:val="24"/>
        </w:rPr>
      </w:pPr>
    </w:p>
    <w:p w14:paraId="6144B778" w14:textId="49BBF1F2" w:rsidR="0048476E" w:rsidRPr="0048476E" w:rsidRDefault="0048476E" w:rsidP="00174AB4">
      <w:pPr>
        <w:spacing w:line="240" w:lineRule="auto"/>
        <w:jc w:val="center"/>
        <w:rPr>
          <w:rFonts w:ascii="Times New Roman" w:hAnsi="Times New Roman" w:cs="Times New Roman"/>
          <w:b/>
          <w:bCs/>
          <w:sz w:val="24"/>
          <w:szCs w:val="24"/>
        </w:rPr>
      </w:pPr>
      <w:r w:rsidRPr="0048476E">
        <w:rPr>
          <w:rFonts w:ascii="Times New Roman" w:hAnsi="Times New Roman" w:cs="Times New Roman"/>
          <w:b/>
          <w:bCs/>
          <w:sz w:val="24"/>
          <w:szCs w:val="24"/>
        </w:rPr>
        <w:t>Table 2: Jarque-Bera normality tests, 1 149 observations</w:t>
      </w:r>
      <w:r>
        <w:rPr>
          <w:noProof/>
        </w:rPr>
        <w:drawing>
          <wp:inline distT="0" distB="0" distL="0" distR="0" wp14:anchorId="5F2B8299" wp14:editId="2C4E431E">
            <wp:extent cx="5943600" cy="793115"/>
            <wp:effectExtent l="0" t="0" r="0" b="6985"/>
            <wp:docPr id="21186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93115"/>
                    </a:xfrm>
                    <a:prstGeom prst="rect">
                      <a:avLst/>
                    </a:prstGeom>
                    <a:noFill/>
                    <a:ln>
                      <a:noFill/>
                    </a:ln>
                  </pic:spPr>
                </pic:pic>
              </a:graphicData>
            </a:graphic>
          </wp:inline>
        </w:drawing>
      </w:r>
    </w:p>
    <w:p w14:paraId="4D9616D9" w14:textId="36EAE364" w:rsidR="00174AB4" w:rsidRPr="00174AB4" w:rsidRDefault="00174AB4" w:rsidP="00174AB4">
      <w:pPr>
        <w:spacing w:line="240" w:lineRule="auto"/>
        <w:jc w:val="center"/>
        <w:rPr>
          <w:rFonts w:ascii="Times New Roman" w:hAnsi="Times New Roman" w:cs="Times New Roman"/>
          <w:sz w:val="24"/>
          <w:szCs w:val="24"/>
        </w:rPr>
      </w:pPr>
      <w:r w:rsidRPr="00174AB4">
        <w:rPr>
          <w:rFonts w:ascii="Times New Roman" w:hAnsi="Times New Roman" w:cs="Times New Roman"/>
          <w:sz w:val="20"/>
          <w:szCs w:val="20"/>
        </w:rPr>
        <w:t>Source: Own elaboration with data from Fama \&amp; French (2023), ECO. (2023) and SP500-251020, (2023)</w:t>
      </w:r>
    </w:p>
    <w:p w14:paraId="3C045102" w14:textId="77777777" w:rsidR="00174AB4" w:rsidRPr="00174AB4" w:rsidRDefault="00174AB4" w:rsidP="00174AB4">
      <w:pPr>
        <w:spacing w:line="240" w:lineRule="auto"/>
        <w:jc w:val="both"/>
        <w:rPr>
          <w:rFonts w:ascii="Times New Roman" w:hAnsi="Times New Roman" w:cs="Times New Roman"/>
          <w:sz w:val="24"/>
          <w:szCs w:val="24"/>
        </w:rPr>
      </w:pPr>
    </w:p>
    <w:p w14:paraId="0CA47BE4" w14:textId="7498AB05" w:rsidR="00174AB4" w:rsidRPr="00174AB4" w:rsidRDefault="00174AB4" w:rsidP="00174AB4">
      <w:pPr>
        <w:spacing w:line="240" w:lineRule="auto"/>
        <w:jc w:val="both"/>
        <w:rPr>
          <w:rFonts w:ascii="Times New Roman" w:hAnsi="Times New Roman" w:cs="Times New Roman"/>
          <w:sz w:val="24"/>
          <w:szCs w:val="24"/>
        </w:rPr>
      </w:pPr>
      <w:r w:rsidRPr="00174AB4">
        <w:rPr>
          <w:rFonts w:ascii="Times New Roman" w:hAnsi="Times New Roman" w:cs="Times New Roman"/>
          <w:sz w:val="24"/>
          <w:szCs w:val="24"/>
        </w:rPr>
        <w:t xml:space="preserve">Table 2 presents the correlation coefficient between the variables. We observe that the Wilder Clean Energy Index has a high correlation with the </w:t>
      </w:r>
      <w:proofErr w:type="spellStart"/>
      <w:r w:rsidRPr="00174AB4">
        <w:rPr>
          <w:rFonts w:ascii="Times New Roman" w:hAnsi="Times New Roman" w:cs="Times New Roman"/>
          <w:sz w:val="24"/>
          <w:szCs w:val="24"/>
        </w:rPr>
        <w:t>Maket</w:t>
      </w:r>
      <w:proofErr w:type="spellEnd"/>
      <w:r w:rsidRPr="00174AB4">
        <w:rPr>
          <w:rFonts w:ascii="Times New Roman" w:hAnsi="Times New Roman" w:cs="Times New Roman"/>
          <w:sz w:val="24"/>
          <w:szCs w:val="24"/>
        </w:rPr>
        <w:t xml:space="preserve"> return (0.716), while the S&amp;P 500 automotive index has a higher correlation with the ECO index (0.685) than with the market return (0.648) .To evaluate the normality of the variables, I applied the Jarque-Bera normality test to the 3 variables. The results are presented in Table 2. As can be seen, the null hypothesis of normality is rejected for the three variables. In line with what was observed by Fama, Fisher, Jensen, and  Roll (1969), the returns do not follow a normal distribution.</w:t>
      </w:r>
    </w:p>
    <w:p w14:paraId="4E59657D" w14:textId="77777777" w:rsidR="00174AB4" w:rsidRPr="00174AB4" w:rsidRDefault="00174AB4" w:rsidP="00174AB4">
      <w:pPr>
        <w:spacing w:line="240" w:lineRule="auto"/>
        <w:jc w:val="both"/>
        <w:rPr>
          <w:rFonts w:ascii="Times New Roman" w:hAnsi="Times New Roman" w:cs="Times New Roman"/>
          <w:sz w:val="24"/>
          <w:szCs w:val="24"/>
        </w:rPr>
      </w:pPr>
    </w:p>
    <w:p w14:paraId="0A930BE6" w14:textId="69E4B668" w:rsidR="00174AB4" w:rsidRDefault="00174AB4" w:rsidP="00174AB4">
      <w:pPr>
        <w:spacing w:line="240" w:lineRule="auto"/>
        <w:jc w:val="center"/>
        <w:rPr>
          <w:rFonts w:ascii="Times New Roman" w:hAnsi="Times New Roman" w:cs="Times New Roman"/>
          <w:sz w:val="24"/>
          <w:szCs w:val="24"/>
        </w:rPr>
      </w:pPr>
      <w:r w:rsidRPr="00174AB4">
        <w:rPr>
          <w:rFonts w:ascii="Times New Roman" w:hAnsi="Times New Roman" w:cs="Times New Roman"/>
          <w:b/>
          <w:bCs/>
          <w:sz w:val="24"/>
          <w:szCs w:val="24"/>
        </w:rPr>
        <w:t>Table 3: Jarque-Bera normality tests, 1 149 observations</w:t>
      </w:r>
    </w:p>
    <w:tbl>
      <w:tblPr>
        <w:tblW w:w="6200" w:type="dxa"/>
        <w:jc w:val="center"/>
        <w:tblLook w:val="04A0" w:firstRow="1" w:lastRow="0" w:firstColumn="1" w:lastColumn="0" w:noHBand="0" w:noVBand="1"/>
      </w:tblPr>
      <w:tblGrid>
        <w:gridCol w:w="1000"/>
        <w:gridCol w:w="1400"/>
        <w:gridCol w:w="1640"/>
        <w:gridCol w:w="2160"/>
      </w:tblGrid>
      <w:tr w:rsidR="00174AB4" w:rsidRPr="00174AB4" w14:paraId="4D2396CE" w14:textId="77777777" w:rsidTr="00174AB4">
        <w:trPr>
          <w:trHeight w:val="288"/>
          <w:jc w:val="center"/>
        </w:trPr>
        <w:tc>
          <w:tcPr>
            <w:tcW w:w="1000" w:type="dxa"/>
            <w:tcBorders>
              <w:top w:val="single" w:sz="4" w:space="0" w:color="auto"/>
              <w:left w:val="nil"/>
              <w:bottom w:val="single" w:sz="4" w:space="0" w:color="auto"/>
              <w:right w:val="nil"/>
            </w:tcBorders>
            <w:shd w:val="clear" w:color="auto" w:fill="auto"/>
            <w:noWrap/>
            <w:vAlign w:val="bottom"/>
            <w:hideMark/>
          </w:tcPr>
          <w:p w14:paraId="296F43FA" w14:textId="77777777" w:rsidR="00174AB4" w:rsidRPr="00174AB4" w:rsidRDefault="00174AB4" w:rsidP="00174AB4">
            <w:pPr>
              <w:spacing w:after="0" w:line="240" w:lineRule="auto"/>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 </w:t>
            </w:r>
          </w:p>
        </w:tc>
        <w:tc>
          <w:tcPr>
            <w:tcW w:w="1400" w:type="dxa"/>
            <w:tcBorders>
              <w:top w:val="single" w:sz="4" w:space="0" w:color="auto"/>
              <w:left w:val="nil"/>
              <w:bottom w:val="single" w:sz="4" w:space="0" w:color="auto"/>
              <w:right w:val="nil"/>
            </w:tcBorders>
            <w:shd w:val="clear" w:color="auto" w:fill="auto"/>
            <w:noWrap/>
            <w:vAlign w:val="bottom"/>
            <w:hideMark/>
          </w:tcPr>
          <w:p w14:paraId="2C8F94C7" w14:textId="77777777" w:rsidR="00174AB4" w:rsidRPr="00174AB4" w:rsidRDefault="00174AB4" w:rsidP="00174AB4">
            <w:pPr>
              <w:spacing w:after="0" w:line="240" w:lineRule="auto"/>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Mkt</w:t>
            </w:r>
          </w:p>
        </w:tc>
        <w:tc>
          <w:tcPr>
            <w:tcW w:w="1640" w:type="dxa"/>
            <w:tcBorders>
              <w:top w:val="single" w:sz="4" w:space="0" w:color="auto"/>
              <w:left w:val="nil"/>
              <w:bottom w:val="single" w:sz="4" w:space="0" w:color="auto"/>
              <w:right w:val="nil"/>
            </w:tcBorders>
            <w:shd w:val="clear" w:color="auto" w:fill="auto"/>
            <w:noWrap/>
            <w:vAlign w:val="bottom"/>
            <w:hideMark/>
          </w:tcPr>
          <w:p w14:paraId="1B4B70A9" w14:textId="77777777" w:rsidR="00174AB4" w:rsidRPr="00174AB4" w:rsidRDefault="00174AB4" w:rsidP="00174AB4">
            <w:pPr>
              <w:spacing w:after="0" w:line="240" w:lineRule="auto"/>
              <w:rPr>
                <w:rFonts w:ascii="Calibri" w:eastAsia="Times New Roman" w:hAnsi="Calibri" w:cs="Calibri"/>
                <w:color w:val="000000"/>
                <w:kern w:val="0"/>
                <w:sz w:val="20"/>
                <w:szCs w:val="20"/>
                <w14:ligatures w14:val="none"/>
              </w:rPr>
            </w:pPr>
            <w:proofErr w:type="spellStart"/>
            <w:r w:rsidRPr="00174AB4">
              <w:rPr>
                <w:rFonts w:ascii="Calibri" w:eastAsia="Times New Roman" w:hAnsi="Calibri" w:cs="Calibri"/>
                <w:color w:val="000000"/>
                <w:kern w:val="0"/>
                <w:sz w:val="20"/>
                <w:szCs w:val="20"/>
                <w14:ligatures w14:val="none"/>
              </w:rPr>
              <w:t>Ret_^ECO</w:t>
            </w:r>
            <w:proofErr w:type="spellEnd"/>
          </w:p>
        </w:tc>
        <w:tc>
          <w:tcPr>
            <w:tcW w:w="2160" w:type="dxa"/>
            <w:tcBorders>
              <w:top w:val="single" w:sz="4" w:space="0" w:color="auto"/>
              <w:left w:val="nil"/>
              <w:bottom w:val="single" w:sz="4" w:space="0" w:color="auto"/>
              <w:right w:val="nil"/>
            </w:tcBorders>
            <w:shd w:val="clear" w:color="auto" w:fill="auto"/>
            <w:noWrap/>
            <w:vAlign w:val="bottom"/>
            <w:hideMark/>
          </w:tcPr>
          <w:p w14:paraId="382DB91E" w14:textId="77777777" w:rsidR="00174AB4" w:rsidRPr="00174AB4" w:rsidRDefault="00174AB4" w:rsidP="00174AB4">
            <w:pPr>
              <w:spacing w:after="0" w:line="240" w:lineRule="auto"/>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Ret_^SP500-251020</w:t>
            </w:r>
          </w:p>
        </w:tc>
      </w:tr>
      <w:tr w:rsidR="00174AB4" w:rsidRPr="00174AB4" w14:paraId="6F2898A7" w14:textId="77777777" w:rsidTr="00174AB4">
        <w:trPr>
          <w:trHeight w:val="288"/>
          <w:jc w:val="center"/>
        </w:trPr>
        <w:tc>
          <w:tcPr>
            <w:tcW w:w="1000" w:type="dxa"/>
            <w:tcBorders>
              <w:top w:val="nil"/>
              <w:left w:val="nil"/>
              <w:bottom w:val="nil"/>
              <w:right w:val="nil"/>
            </w:tcBorders>
            <w:shd w:val="clear" w:color="auto" w:fill="auto"/>
            <w:noWrap/>
            <w:vAlign w:val="bottom"/>
            <w:hideMark/>
          </w:tcPr>
          <w:p w14:paraId="695D2DAE" w14:textId="77777777" w:rsidR="00174AB4" w:rsidRPr="00174AB4" w:rsidRDefault="00174AB4" w:rsidP="00174AB4">
            <w:pPr>
              <w:spacing w:after="0" w:line="240" w:lineRule="auto"/>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Statistic</w:t>
            </w:r>
          </w:p>
        </w:tc>
        <w:tc>
          <w:tcPr>
            <w:tcW w:w="1400" w:type="dxa"/>
            <w:tcBorders>
              <w:top w:val="nil"/>
              <w:left w:val="nil"/>
              <w:bottom w:val="nil"/>
              <w:right w:val="nil"/>
            </w:tcBorders>
            <w:shd w:val="clear" w:color="auto" w:fill="auto"/>
            <w:noWrap/>
            <w:vAlign w:val="bottom"/>
            <w:hideMark/>
          </w:tcPr>
          <w:p w14:paraId="36AE6C0A" w14:textId="77777777" w:rsidR="00174AB4" w:rsidRPr="00174AB4" w:rsidRDefault="00174AB4" w:rsidP="00174AB4">
            <w:pPr>
              <w:spacing w:after="0" w:line="240" w:lineRule="auto"/>
              <w:jc w:val="right"/>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5129.765</w:t>
            </w:r>
          </w:p>
        </w:tc>
        <w:tc>
          <w:tcPr>
            <w:tcW w:w="1640" w:type="dxa"/>
            <w:tcBorders>
              <w:top w:val="nil"/>
              <w:left w:val="nil"/>
              <w:bottom w:val="nil"/>
              <w:right w:val="nil"/>
            </w:tcBorders>
            <w:shd w:val="clear" w:color="auto" w:fill="auto"/>
            <w:noWrap/>
            <w:vAlign w:val="bottom"/>
            <w:hideMark/>
          </w:tcPr>
          <w:p w14:paraId="5C7390D3" w14:textId="77777777" w:rsidR="00174AB4" w:rsidRPr="00174AB4" w:rsidRDefault="00174AB4" w:rsidP="00174AB4">
            <w:pPr>
              <w:spacing w:after="0" w:line="240" w:lineRule="auto"/>
              <w:jc w:val="right"/>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5129.765</w:t>
            </w:r>
          </w:p>
        </w:tc>
        <w:tc>
          <w:tcPr>
            <w:tcW w:w="2160" w:type="dxa"/>
            <w:tcBorders>
              <w:top w:val="nil"/>
              <w:left w:val="nil"/>
              <w:bottom w:val="nil"/>
              <w:right w:val="nil"/>
            </w:tcBorders>
            <w:shd w:val="clear" w:color="auto" w:fill="auto"/>
            <w:noWrap/>
            <w:vAlign w:val="bottom"/>
            <w:hideMark/>
          </w:tcPr>
          <w:p w14:paraId="5887DCA5" w14:textId="77777777" w:rsidR="00174AB4" w:rsidRPr="00174AB4" w:rsidRDefault="00174AB4" w:rsidP="00174AB4">
            <w:pPr>
              <w:spacing w:after="0" w:line="240" w:lineRule="auto"/>
              <w:jc w:val="right"/>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5129.765</w:t>
            </w:r>
          </w:p>
        </w:tc>
      </w:tr>
      <w:tr w:rsidR="00174AB4" w:rsidRPr="00174AB4" w14:paraId="10D88682" w14:textId="77777777" w:rsidTr="00174AB4">
        <w:trPr>
          <w:trHeight w:val="288"/>
          <w:jc w:val="center"/>
        </w:trPr>
        <w:tc>
          <w:tcPr>
            <w:tcW w:w="1000" w:type="dxa"/>
            <w:tcBorders>
              <w:top w:val="nil"/>
              <w:left w:val="nil"/>
              <w:bottom w:val="single" w:sz="4" w:space="0" w:color="auto"/>
              <w:right w:val="nil"/>
            </w:tcBorders>
            <w:shd w:val="clear" w:color="auto" w:fill="auto"/>
            <w:noWrap/>
            <w:vAlign w:val="bottom"/>
            <w:hideMark/>
          </w:tcPr>
          <w:p w14:paraId="03754265" w14:textId="77777777" w:rsidR="00174AB4" w:rsidRPr="00174AB4" w:rsidRDefault="00174AB4" w:rsidP="00174AB4">
            <w:pPr>
              <w:spacing w:after="0" w:line="240" w:lineRule="auto"/>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p-value</w:t>
            </w:r>
          </w:p>
        </w:tc>
        <w:tc>
          <w:tcPr>
            <w:tcW w:w="1400" w:type="dxa"/>
            <w:tcBorders>
              <w:top w:val="nil"/>
              <w:left w:val="nil"/>
              <w:bottom w:val="single" w:sz="4" w:space="0" w:color="auto"/>
              <w:right w:val="nil"/>
            </w:tcBorders>
            <w:shd w:val="clear" w:color="auto" w:fill="auto"/>
            <w:noWrap/>
            <w:vAlign w:val="bottom"/>
            <w:hideMark/>
          </w:tcPr>
          <w:p w14:paraId="4480DCC1" w14:textId="77777777" w:rsidR="00174AB4" w:rsidRPr="00174AB4" w:rsidRDefault="00174AB4" w:rsidP="00174AB4">
            <w:pPr>
              <w:spacing w:after="0" w:line="240" w:lineRule="auto"/>
              <w:jc w:val="right"/>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0.000</w:t>
            </w:r>
          </w:p>
        </w:tc>
        <w:tc>
          <w:tcPr>
            <w:tcW w:w="1640" w:type="dxa"/>
            <w:tcBorders>
              <w:top w:val="nil"/>
              <w:left w:val="nil"/>
              <w:bottom w:val="single" w:sz="4" w:space="0" w:color="auto"/>
              <w:right w:val="nil"/>
            </w:tcBorders>
            <w:shd w:val="clear" w:color="auto" w:fill="auto"/>
            <w:noWrap/>
            <w:vAlign w:val="bottom"/>
            <w:hideMark/>
          </w:tcPr>
          <w:p w14:paraId="1EA1BD92" w14:textId="77777777" w:rsidR="00174AB4" w:rsidRPr="00174AB4" w:rsidRDefault="00174AB4" w:rsidP="00174AB4">
            <w:pPr>
              <w:spacing w:after="0" w:line="240" w:lineRule="auto"/>
              <w:jc w:val="right"/>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0.000</w:t>
            </w:r>
          </w:p>
        </w:tc>
        <w:tc>
          <w:tcPr>
            <w:tcW w:w="2160" w:type="dxa"/>
            <w:tcBorders>
              <w:top w:val="nil"/>
              <w:left w:val="nil"/>
              <w:bottom w:val="single" w:sz="4" w:space="0" w:color="auto"/>
              <w:right w:val="nil"/>
            </w:tcBorders>
            <w:shd w:val="clear" w:color="auto" w:fill="auto"/>
            <w:noWrap/>
            <w:vAlign w:val="bottom"/>
            <w:hideMark/>
          </w:tcPr>
          <w:p w14:paraId="3DF23B44" w14:textId="77777777" w:rsidR="00174AB4" w:rsidRPr="00174AB4" w:rsidRDefault="00174AB4" w:rsidP="00174AB4">
            <w:pPr>
              <w:spacing w:after="0" w:line="240" w:lineRule="auto"/>
              <w:jc w:val="right"/>
              <w:rPr>
                <w:rFonts w:ascii="Calibri" w:eastAsia="Times New Roman" w:hAnsi="Calibri" w:cs="Calibri"/>
                <w:color w:val="000000"/>
                <w:kern w:val="0"/>
                <w:sz w:val="20"/>
                <w:szCs w:val="20"/>
                <w14:ligatures w14:val="none"/>
              </w:rPr>
            </w:pPr>
            <w:r w:rsidRPr="00174AB4">
              <w:rPr>
                <w:rFonts w:ascii="Calibri" w:eastAsia="Times New Roman" w:hAnsi="Calibri" w:cs="Calibri"/>
                <w:color w:val="000000"/>
                <w:kern w:val="0"/>
                <w:sz w:val="20"/>
                <w:szCs w:val="20"/>
                <w14:ligatures w14:val="none"/>
              </w:rPr>
              <w:t>0.000</w:t>
            </w:r>
          </w:p>
        </w:tc>
      </w:tr>
    </w:tbl>
    <w:p w14:paraId="2952D974" w14:textId="77777777" w:rsidR="00174AB4" w:rsidRPr="00174AB4" w:rsidRDefault="00174AB4" w:rsidP="00174AB4">
      <w:pPr>
        <w:spacing w:line="240" w:lineRule="auto"/>
        <w:jc w:val="center"/>
        <w:rPr>
          <w:rFonts w:ascii="Times New Roman" w:hAnsi="Times New Roman" w:cs="Times New Roman"/>
          <w:sz w:val="24"/>
          <w:szCs w:val="24"/>
        </w:rPr>
      </w:pPr>
    </w:p>
    <w:p w14:paraId="439F0E1F" w14:textId="44C0AABF" w:rsidR="00174AB4" w:rsidRPr="00174AB4" w:rsidRDefault="00174AB4" w:rsidP="00174AB4">
      <w:pPr>
        <w:spacing w:line="240" w:lineRule="auto"/>
        <w:jc w:val="center"/>
        <w:rPr>
          <w:rFonts w:ascii="Times New Roman" w:hAnsi="Times New Roman" w:cs="Times New Roman"/>
          <w:sz w:val="24"/>
          <w:szCs w:val="24"/>
        </w:rPr>
      </w:pPr>
      <w:r w:rsidRPr="00174AB4">
        <w:rPr>
          <w:rFonts w:ascii="Times New Roman" w:hAnsi="Times New Roman" w:cs="Times New Roman"/>
          <w:sz w:val="20"/>
          <w:szCs w:val="20"/>
        </w:rPr>
        <w:t>Source: Own elaboration with data from Fama \&amp; French (2023), ECO. (2023) and SP500-251020, (2023)</w:t>
      </w:r>
    </w:p>
    <w:p w14:paraId="47ED8D9C" w14:textId="77777777" w:rsidR="00174AB4" w:rsidRPr="00174AB4" w:rsidRDefault="00174AB4" w:rsidP="00174AB4">
      <w:pPr>
        <w:spacing w:line="240" w:lineRule="auto"/>
        <w:jc w:val="both"/>
        <w:rPr>
          <w:rFonts w:ascii="Times New Roman" w:hAnsi="Times New Roman" w:cs="Times New Roman"/>
          <w:sz w:val="24"/>
          <w:szCs w:val="24"/>
        </w:rPr>
      </w:pPr>
    </w:p>
    <w:p w14:paraId="40296102" w14:textId="198814BB" w:rsidR="00174AB4" w:rsidRDefault="0048476E" w:rsidP="00174AB4">
      <w:pPr>
        <w:spacing w:line="240" w:lineRule="auto"/>
        <w:jc w:val="both"/>
        <w:rPr>
          <w:rFonts w:ascii="Times New Roman" w:hAnsi="Times New Roman" w:cs="Times New Roman"/>
          <w:sz w:val="24"/>
          <w:szCs w:val="24"/>
        </w:rPr>
      </w:pPr>
      <w:r w:rsidRPr="0048476E">
        <w:rPr>
          <w:rFonts w:ascii="Times New Roman" w:hAnsi="Times New Roman" w:cs="Times New Roman"/>
          <w:sz w:val="24"/>
          <w:szCs w:val="24"/>
        </w:rPr>
        <w:t>The histograms and Kernel Density plots for each variable are presented on Graph 4.</w:t>
      </w:r>
    </w:p>
    <w:p w14:paraId="697E89A6" w14:textId="77777777" w:rsidR="0048476E" w:rsidRDefault="0048476E" w:rsidP="00174AB4">
      <w:pPr>
        <w:spacing w:line="240" w:lineRule="auto"/>
        <w:jc w:val="both"/>
        <w:rPr>
          <w:rFonts w:ascii="Times New Roman" w:hAnsi="Times New Roman" w:cs="Times New Roman"/>
          <w:sz w:val="24"/>
          <w:szCs w:val="24"/>
        </w:rPr>
      </w:pPr>
    </w:p>
    <w:p w14:paraId="0A5703CB" w14:textId="77777777" w:rsidR="0048476E" w:rsidRDefault="0048476E" w:rsidP="00174AB4">
      <w:pPr>
        <w:spacing w:line="240" w:lineRule="auto"/>
        <w:jc w:val="both"/>
        <w:rPr>
          <w:rFonts w:ascii="Times New Roman" w:hAnsi="Times New Roman" w:cs="Times New Roman"/>
          <w:sz w:val="24"/>
          <w:szCs w:val="24"/>
        </w:rPr>
      </w:pPr>
    </w:p>
    <w:p w14:paraId="7B8B3BBA" w14:textId="77777777" w:rsidR="0048476E" w:rsidRPr="00174AB4" w:rsidRDefault="0048476E" w:rsidP="00174AB4">
      <w:pPr>
        <w:spacing w:line="240" w:lineRule="auto"/>
        <w:jc w:val="both"/>
        <w:rPr>
          <w:rFonts w:ascii="Times New Roman" w:hAnsi="Times New Roman" w:cs="Times New Roman"/>
          <w:sz w:val="24"/>
          <w:szCs w:val="24"/>
        </w:rPr>
      </w:pPr>
    </w:p>
    <w:p w14:paraId="17B2D910" w14:textId="211B5BDA" w:rsidR="00174AB4" w:rsidRDefault="0048476E" w:rsidP="00174AB4">
      <w:pPr>
        <w:spacing w:after="0" w:line="240" w:lineRule="auto"/>
        <w:jc w:val="center"/>
        <w:rPr>
          <w:noProof/>
        </w:rPr>
      </w:pPr>
      <w:r w:rsidRPr="0048476E">
        <w:rPr>
          <w:rFonts w:ascii="Times New Roman" w:hAnsi="Times New Roman" w:cs="Times New Roman"/>
          <w:b/>
          <w:bCs/>
          <w:sz w:val="24"/>
          <w:szCs w:val="24"/>
        </w:rPr>
        <w:lastRenderedPageBreak/>
        <w:t>Graph 4: Histograms and Kernel density plot, 1 149 observations</w:t>
      </w:r>
    </w:p>
    <w:p w14:paraId="501EE48A" w14:textId="1E1EB8ED" w:rsidR="0048476E" w:rsidRDefault="0048476E" w:rsidP="00174AB4">
      <w:pPr>
        <w:spacing w:after="0" w:line="240" w:lineRule="auto"/>
        <w:jc w:val="center"/>
        <w:rPr>
          <w:rFonts w:ascii="Times New Roman" w:hAnsi="Times New Roman" w:cs="Times New Roman"/>
          <w:sz w:val="24"/>
          <w:szCs w:val="24"/>
        </w:rPr>
      </w:pPr>
      <w:r>
        <w:rPr>
          <w:noProof/>
        </w:rPr>
        <w:drawing>
          <wp:inline distT="0" distB="0" distL="0" distR="0" wp14:anchorId="28B2718D" wp14:editId="7B81595D">
            <wp:extent cx="5943600" cy="5372100"/>
            <wp:effectExtent l="0" t="0" r="0" b="0"/>
            <wp:docPr id="1282895273" name="Picture 7"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95273" name="Picture 7" descr="A group of blue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3611E732" w14:textId="1965E492" w:rsidR="00174AB4" w:rsidRDefault="0048476E" w:rsidP="0048476E">
      <w:pPr>
        <w:spacing w:line="240" w:lineRule="auto"/>
        <w:jc w:val="center"/>
        <w:rPr>
          <w:rFonts w:ascii="Times New Roman" w:hAnsi="Times New Roman" w:cs="Times New Roman"/>
          <w:sz w:val="24"/>
          <w:szCs w:val="24"/>
        </w:rPr>
      </w:pPr>
      <w:r w:rsidRPr="0048476E">
        <w:rPr>
          <w:rFonts w:ascii="Times New Roman" w:hAnsi="Times New Roman" w:cs="Times New Roman"/>
          <w:sz w:val="20"/>
          <w:szCs w:val="20"/>
        </w:rPr>
        <w:t>Source: Own elaboration with data from Fama &amp; French (2023), S&amp;P Global (2024a, 2024b, 2024c), NASDAQ (2024) and SP500-251020, (2023)</w:t>
      </w:r>
      <w:r>
        <w:rPr>
          <w:rFonts w:ascii="Times New Roman" w:hAnsi="Times New Roman" w:cs="Times New Roman"/>
          <w:sz w:val="20"/>
          <w:szCs w:val="20"/>
        </w:rPr>
        <w:t>.</w:t>
      </w:r>
    </w:p>
    <w:p w14:paraId="2DA60CFF" w14:textId="77777777" w:rsidR="00174AB4" w:rsidRPr="00174AB4" w:rsidRDefault="00174AB4" w:rsidP="00222AFD">
      <w:pPr>
        <w:spacing w:line="240" w:lineRule="auto"/>
        <w:jc w:val="both"/>
        <w:rPr>
          <w:rFonts w:ascii="Times New Roman" w:hAnsi="Times New Roman" w:cs="Times New Roman"/>
          <w:b/>
          <w:bCs/>
          <w:sz w:val="24"/>
          <w:szCs w:val="24"/>
        </w:rPr>
      </w:pPr>
    </w:p>
    <w:p w14:paraId="535C90CF" w14:textId="77777777" w:rsidR="0048476E" w:rsidRDefault="0048476E" w:rsidP="0033713D">
      <w:pPr>
        <w:spacing w:line="240" w:lineRule="auto"/>
        <w:jc w:val="both"/>
        <w:rPr>
          <w:rFonts w:ascii="Times New Roman" w:hAnsi="Times New Roman" w:cs="Times New Roman"/>
          <w:b/>
          <w:bCs/>
          <w:sz w:val="28"/>
          <w:szCs w:val="28"/>
        </w:rPr>
      </w:pPr>
      <w:bookmarkStart w:id="0" w:name="_Hlk151061929"/>
      <w:r w:rsidRPr="0048476E">
        <w:rPr>
          <w:rFonts w:ascii="Times New Roman" w:hAnsi="Times New Roman" w:cs="Times New Roman"/>
          <w:b/>
          <w:bCs/>
          <w:sz w:val="28"/>
          <w:szCs w:val="28"/>
        </w:rPr>
        <w:t xml:space="preserve">4 Methodology </w:t>
      </w:r>
    </w:p>
    <w:p w14:paraId="730815FC" w14:textId="36115E54" w:rsidR="0033713D" w:rsidRPr="0033713D" w:rsidRDefault="0033713D" w:rsidP="0033713D">
      <w:p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 xml:space="preserve">To determine the existence of abnormal returns, it is necessary to compare an asset or portfolio with a benchmark. Normally, the benchmark used is the market portfolio. However, if the </w:t>
      </w:r>
      <w:r>
        <w:rPr>
          <w:rFonts w:ascii="Times New Roman" w:hAnsi="Times New Roman" w:cs="Times New Roman"/>
          <w:sz w:val="24"/>
          <w:szCs w:val="24"/>
        </w:rPr>
        <w:t>b</w:t>
      </w:r>
      <w:r w:rsidRPr="0033713D">
        <w:rPr>
          <w:rFonts w:ascii="Times New Roman" w:hAnsi="Times New Roman" w:cs="Times New Roman"/>
          <w:sz w:val="24"/>
          <w:szCs w:val="24"/>
        </w:rPr>
        <w:t>enchmark used also experienced abnormal returns, the event study would fail to identify the abnormal returns of the analyzed asset. Therefore, in this case, it is necessary to evaluate in first place if the market portfolio experiences abnormal returns. Following Rezaee and Pankaj (2004), I evaluate this possibility using the Mean Adjusted Return model as proposed by Brown and Warner (1980) with additional dummy variables for the events. The estimated model is:</w:t>
      </w:r>
    </w:p>
    <w:p w14:paraId="184065F3" w14:textId="77777777" w:rsidR="0033713D" w:rsidRPr="0033713D" w:rsidRDefault="0033713D" w:rsidP="0033713D">
      <w:pPr>
        <w:spacing w:line="240" w:lineRule="auto"/>
        <w:jc w:val="both"/>
        <w:rPr>
          <w:rFonts w:ascii="Times New Roman" w:hAnsi="Times New Roman" w:cs="Times New Roman"/>
          <w:sz w:val="24"/>
          <w:szCs w:val="24"/>
        </w:rPr>
      </w:pPr>
    </w:p>
    <w:p w14:paraId="3ACF554C" w14:textId="5513E8C4" w:rsidR="0033713D" w:rsidRPr="0033713D" w:rsidRDefault="00000000" w:rsidP="0033713D">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i,0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j=1</m:t>
            </m:r>
          </m:sub>
          <m:sup>
            <m:r>
              <w:rPr>
                <w:rFonts w:ascii="Cambria Math" w:hAnsi="Cambria Math" w:cs="Times New Roman"/>
                <w:sz w:val="24"/>
                <w:szCs w:val="24"/>
              </w:rPr>
              <m:t>4</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ϵ</m:t>
            </m:r>
          </m:e>
          <m:sub>
            <m:r>
              <w:rPr>
                <w:rFonts w:ascii="Cambria Math" w:hAnsi="Cambria Math" w:cs="Times New Roman"/>
                <w:sz w:val="24"/>
                <w:szCs w:val="24"/>
              </w:rPr>
              <m:t>i,t</m:t>
            </m:r>
          </m:sub>
        </m:sSub>
      </m:oMath>
      <w:r w:rsidR="0033713D">
        <w:rPr>
          <w:rFonts w:ascii="Times New Roman" w:eastAsiaTheme="minorEastAsia" w:hAnsi="Times New Roman" w:cs="Times New Roman"/>
          <w:sz w:val="24"/>
          <w:szCs w:val="24"/>
        </w:rPr>
        <w:t xml:space="preserve">   </w:t>
      </w:r>
      <w:r w:rsidR="0033713D" w:rsidRPr="0033713D">
        <w:rPr>
          <w:rFonts w:ascii="Times New Roman" w:eastAsiaTheme="minorEastAsia" w:hAnsi="Times New Roman" w:cs="Times New Roman"/>
          <w:b/>
          <w:bCs/>
          <w:sz w:val="24"/>
          <w:szCs w:val="24"/>
        </w:rPr>
        <w:t>(1)</w:t>
      </w:r>
    </w:p>
    <w:p w14:paraId="3F081469" w14:textId="77777777" w:rsidR="0033713D" w:rsidRPr="0033713D" w:rsidRDefault="0033713D" w:rsidP="0033713D">
      <w:p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Where:</w:t>
      </w:r>
    </w:p>
    <w:p w14:paraId="0FA0EED2" w14:textId="067C3ECD" w:rsidR="0033713D" w:rsidRPr="0033713D" w:rsidRDefault="00000000" w:rsidP="0033713D">
      <w:pPr>
        <w:pStyle w:val="ListParagraph"/>
        <w:numPr>
          <w:ilvl w:val="0"/>
          <w:numId w:val="7"/>
        </w:numPr>
        <w:spacing w:line="240" w:lineRule="auto"/>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m,t</m:t>
            </m:r>
          </m:sub>
        </m:sSub>
      </m:oMath>
      <w:r w:rsidR="0033713D" w:rsidRPr="0033713D">
        <w:rPr>
          <w:rFonts w:ascii="Times New Roman" w:hAnsi="Times New Roman" w:cs="Times New Roman"/>
          <w:sz w:val="24"/>
          <w:szCs w:val="24"/>
        </w:rPr>
        <w:t xml:space="preserve"> is the market return for period t.</w:t>
      </w:r>
    </w:p>
    <w:p w14:paraId="2BF6B0AD" w14:textId="387A7746" w:rsidR="0033713D" w:rsidRPr="0033713D" w:rsidRDefault="00000000" w:rsidP="0033713D">
      <w:pPr>
        <w:pStyle w:val="ListParagraph"/>
        <w:numPr>
          <w:ilvl w:val="0"/>
          <w:numId w:val="7"/>
        </w:num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i,0</m:t>
            </m:r>
          </m:sub>
        </m:sSub>
      </m:oMath>
      <w:r w:rsidR="0033713D" w:rsidRPr="0033713D">
        <w:rPr>
          <w:rFonts w:ascii="Times New Roman" w:hAnsi="Times New Roman" w:cs="Times New Roman"/>
          <w:sz w:val="24"/>
          <w:szCs w:val="24"/>
        </w:rPr>
        <w:t xml:space="preserve"> is the average market return.</w:t>
      </w:r>
    </w:p>
    <w:p w14:paraId="31E4B424" w14:textId="11D309B8" w:rsidR="0033713D" w:rsidRPr="0033713D" w:rsidRDefault="00000000" w:rsidP="0033713D">
      <w:pPr>
        <w:pStyle w:val="ListParagraph"/>
        <w:numPr>
          <w:ilvl w:val="0"/>
          <w:numId w:val="7"/>
        </w:num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sidR="0033713D" w:rsidRPr="0033713D">
        <w:rPr>
          <w:rFonts w:ascii="Times New Roman" w:hAnsi="Times New Roman" w:cs="Times New Roman"/>
          <w:sz w:val="24"/>
          <w:szCs w:val="24"/>
        </w:rPr>
        <w:t xml:space="preserve"> is the dummy variable for the event j.</w:t>
      </w:r>
    </w:p>
    <w:p w14:paraId="425332DD" w14:textId="6CE62B31" w:rsidR="0033713D" w:rsidRPr="0033713D" w:rsidRDefault="00000000" w:rsidP="0033713D">
      <w:pPr>
        <w:pStyle w:val="ListParagraph"/>
        <w:numPr>
          <w:ilvl w:val="0"/>
          <w:numId w:val="7"/>
        </w:num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j</m:t>
            </m:r>
          </m:sub>
        </m:sSub>
      </m:oMath>
      <w:r w:rsidR="0033713D" w:rsidRPr="0033713D">
        <w:rPr>
          <w:rFonts w:ascii="Times New Roman" w:hAnsi="Times New Roman" w:cs="Times New Roman"/>
          <w:sz w:val="24"/>
          <w:szCs w:val="24"/>
        </w:rPr>
        <w:t xml:space="preserve"> is the abnormal return of the event j.</w:t>
      </w:r>
    </w:p>
    <w:p w14:paraId="0CD32DF7" w14:textId="258CABC9" w:rsidR="0033713D" w:rsidRPr="0033713D" w:rsidRDefault="0033713D" w:rsidP="0033713D">
      <w:p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Following Fama, Fisher, Jensen and Roll(1969) and Dyckman, Philbrick,</w:t>
      </w:r>
      <w:r>
        <w:rPr>
          <w:rFonts w:ascii="Times New Roman" w:hAnsi="Times New Roman" w:cs="Times New Roman"/>
          <w:sz w:val="24"/>
          <w:szCs w:val="24"/>
        </w:rPr>
        <w:t xml:space="preserve"> and</w:t>
      </w:r>
      <w:r w:rsidRPr="0033713D">
        <w:rPr>
          <w:rFonts w:ascii="Times New Roman" w:hAnsi="Times New Roman" w:cs="Times New Roman"/>
          <w:sz w:val="24"/>
          <w:szCs w:val="24"/>
        </w:rPr>
        <w:t xml:space="preserve"> Stephan (1984), I will estimate the model using OLS estimators and apply the T-test for significance as the indexes evaluated give shape to portfolios big enough to avoid the problems generated by non-normality.</w:t>
      </w:r>
    </w:p>
    <w:p w14:paraId="1C9722DE" w14:textId="77777777" w:rsidR="0033713D" w:rsidRPr="0033713D" w:rsidRDefault="0033713D" w:rsidP="0033713D">
      <w:pPr>
        <w:spacing w:line="240" w:lineRule="auto"/>
        <w:jc w:val="both"/>
        <w:rPr>
          <w:rFonts w:ascii="Times New Roman" w:hAnsi="Times New Roman" w:cs="Times New Roman"/>
          <w:sz w:val="24"/>
          <w:szCs w:val="24"/>
        </w:rPr>
      </w:pPr>
    </w:p>
    <w:p w14:paraId="6D2152B9" w14:textId="77777777" w:rsidR="0033713D" w:rsidRPr="0033713D" w:rsidRDefault="0033713D" w:rsidP="0033713D">
      <w:p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 xml:space="preserve">For the estimation I will use an abnormal return model with dummy variables for the 4 events of interests, therefore, the event period is included in the estimation. Following Ali and </w:t>
      </w:r>
      <w:proofErr w:type="spellStart"/>
      <w:r w:rsidRPr="0033713D">
        <w:rPr>
          <w:rFonts w:ascii="Times New Roman" w:hAnsi="Times New Roman" w:cs="Times New Roman"/>
          <w:sz w:val="24"/>
          <w:szCs w:val="24"/>
        </w:rPr>
        <w:t>Kallapur</w:t>
      </w:r>
      <w:proofErr w:type="spellEnd"/>
      <w:r w:rsidRPr="0033713D">
        <w:rPr>
          <w:rFonts w:ascii="Times New Roman" w:hAnsi="Times New Roman" w:cs="Times New Roman"/>
          <w:sz w:val="24"/>
          <w:szCs w:val="24"/>
        </w:rPr>
        <w:t xml:space="preserve"> (2001) and </w:t>
      </w:r>
      <w:proofErr w:type="spellStart"/>
      <w:r w:rsidRPr="0033713D">
        <w:rPr>
          <w:rFonts w:ascii="Times New Roman" w:hAnsi="Times New Roman" w:cs="Times New Roman"/>
          <w:sz w:val="24"/>
          <w:szCs w:val="24"/>
        </w:rPr>
        <w:t>Khotari</w:t>
      </w:r>
      <w:proofErr w:type="spellEnd"/>
      <w:r w:rsidRPr="0033713D">
        <w:rPr>
          <w:rFonts w:ascii="Times New Roman" w:hAnsi="Times New Roman" w:cs="Times New Roman"/>
          <w:sz w:val="24"/>
          <w:szCs w:val="24"/>
        </w:rPr>
        <w:t xml:space="preserve"> and Warner (2006),the specification of the model to estimate is:</w:t>
      </w:r>
    </w:p>
    <w:p w14:paraId="35E657A3" w14:textId="166BCAE0" w:rsidR="0033713D" w:rsidRPr="00F95B88" w:rsidRDefault="00000000" w:rsidP="00F95B88">
      <w:pPr>
        <w:spacing w:line="240" w:lineRule="auto"/>
        <w:jc w:val="center"/>
        <w:rPr>
          <w:rFonts w:ascii="Times New Roman" w:hAnsi="Times New Roman" w:cs="Times New Roman"/>
          <w:b/>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i,0</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j=1</m:t>
            </m:r>
          </m:sub>
          <m:sup>
            <m:r>
              <w:rPr>
                <w:rFonts w:ascii="Cambria Math" w:hAnsi="Cambria Math" w:cs="Times New Roman"/>
                <w:sz w:val="24"/>
                <w:szCs w:val="24"/>
              </w:rPr>
              <m:t>4</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ϵ</m:t>
            </m:r>
          </m:e>
          <m:sub>
            <m:r>
              <w:rPr>
                <w:rFonts w:ascii="Cambria Math" w:hAnsi="Cambria Math" w:cs="Times New Roman"/>
                <w:sz w:val="24"/>
                <w:szCs w:val="24"/>
              </w:rPr>
              <m:t>i,t</m:t>
            </m:r>
          </m:sub>
        </m:sSub>
      </m:oMath>
      <w:r w:rsidR="0033713D">
        <w:rPr>
          <w:rFonts w:ascii="Times New Roman" w:eastAsiaTheme="minorEastAsia" w:hAnsi="Times New Roman" w:cs="Times New Roman"/>
          <w:sz w:val="24"/>
          <w:szCs w:val="24"/>
        </w:rPr>
        <w:t xml:space="preserve">   </w:t>
      </w:r>
      <w:r w:rsidR="0033713D">
        <w:rPr>
          <w:rFonts w:ascii="Times New Roman" w:eastAsiaTheme="minorEastAsia" w:hAnsi="Times New Roman" w:cs="Times New Roman"/>
          <w:b/>
          <w:bCs/>
          <w:sz w:val="24"/>
          <w:szCs w:val="24"/>
        </w:rPr>
        <w:t>(2)</w:t>
      </w:r>
    </w:p>
    <w:p w14:paraId="60BCC7FA" w14:textId="77777777" w:rsidR="0033713D" w:rsidRPr="0033713D" w:rsidRDefault="0033713D" w:rsidP="0033713D">
      <w:p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Where:</w:t>
      </w:r>
    </w:p>
    <w:p w14:paraId="43C06DEA" w14:textId="0A572812" w:rsidR="0033713D" w:rsidRPr="0033713D" w:rsidRDefault="00000000" w:rsidP="0033713D">
      <w:pPr>
        <w:pStyle w:val="ListParagraph"/>
        <w:numPr>
          <w:ilvl w:val="0"/>
          <w:numId w:val="8"/>
        </w:num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oMath>
      <w:r w:rsidR="0033713D" w:rsidRPr="0033713D">
        <w:rPr>
          <w:rFonts w:ascii="Times New Roman" w:hAnsi="Times New Roman" w:cs="Times New Roman"/>
          <w:sz w:val="24"/>
          <w:szCs w:val="24"/>
        </w:rPr>
        <w:t xml:space="preserve"> is the return of the correspoding index.</w:t>
      </w:r>
    </w:p>
    <w:p w14:paraId="48458F50" w14:textId="064D994C" w:rsidR="0033713D" w:rsidRPr="0033713D" w:rsidRDefault="00000000" w:rsidP="0033713D">
      <w:pPr>
        <w:pStyle w:val="ListParagraph"/>
        <w:numPr>
          <w:ilvl w:val="0"/>
          <w:numId w:val="8"/>
        </w:num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m:t>
            </m:r>
          </m:sub>
        </m:sSub>
      </m:oMath>
      <w:r w:rsidR="0033713D" w:rsidRPr="0033713D">
        <w:rPr>
          <w:rFonts w:ascii="Times New Roman" w:hAnsi="Times New Roman" w:cs="Times New Roman"/>
          <w:sz w:val="24"/>
          <w:szCs w:val="24"/>
        </w:rPr>
        <w:t xml:space="preserve"> is the market return.</w:t>
      </w:r>
    </w:p>
    <w:p w14:paraId="2F97B9B8" w14:textId="04F26468" w:rsidR="0033713D" w:rsidRPr="0033713D" w:rsidRDefault="00000000" w:rsidP="0033713D">
      <w:pPr>
        <w:pStyle w:val="ListParagraph"/>
        <w:numPr>
          <w:ilvl w:val="0"/>
          <w:numId w:val="8"/>
        </w:num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sidR="0033713D" w:rsidRPr="0033713D">
        <w:rPr>
          <w:rFonts w:ascii="Times New Roman" w:hAnsi="Times New Roman" w:cs="Times New Roman"/>
          <w:sz w:val="24"/>
          <w:szCs w:val="24"/>
        </w:rPr>
        <w:t xml:space="preserve"> is the dummy variable for the event j.</w:t>
      </w:r>
    </w:p>
    <w:p w14:paraId="30E11012" w14:textId="414240E7" w:rsidR="0033713D" w:rsidRPr="0033713D" w:rsidRDefault="00000000" w:rsidP="0033713D">
      <w:pPr>
        <w:pStyle w:val="ListParagraph"/>
        <w:numPr>
          <w:ilvl w:val="0"/>
          <w:numId w:val="8"/>
        </w:num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j</m:t>
            </m:r>
          </m:sub>
        </m:sSub>
      </m:oMath>
      <w:r w:rsidR="0033713D" w:rsidRPr="0033713D">
        <w:rPr>
          <w:rFonts w:ascii="Times New Roman" w:hAnsi="Times New Roman" w:cs="Times New Roman"/>
          <w:sz w:val="24"/>
          <w:szCs w:val="24"/>
        </w:rPr>
        <w:t xml:space="preserve"> is the abnormal return of the event j.</w:t>
      </w:r>
    </w:p>
    <w:p w14:paraId="0317419C" w14:textId="77777777" w:rsidR="0048476E" w:rsidRDefault="0048476E" w:rsidP="0033713D">
      <w:pPr>
        <w:spacing w:line="240" w:lineRule="auto"/>
        <w:jc w:val="both"/>
        <w:rPr>
          <w:rFonts w:ascii="Times New Roman" w:hAnsi="Times New Roman" w:cs="Times New Roman"/>
          <w:sz w:val="24"/>
          <w:szCs w:val="24"/>
        </w:rPr>
      </w:pPr>
      <w:r w:rsidRPr="0048476E">
        <w:rPr>
          <w:rFonts w:ascii="Times New Roman" w:hAnsi="Times New Roman" w:cs="Times New Roman"/>
          <w:sz w:val="24"/>
          <w:szCs w:val="24"/>
        </w:rPr>
        <w:t xml:space="preserve">One of the main challenges of event study for law approval processes as highlighted by Ali and </w:t>
      </w:r>
      <w:proofErr w:type="spellStart"/>
      <w:r w:rsidRPr="0048476E">
        <w:rPr>
          <w:rFonts w:ascii="Times New Roman" w:hAnsi="Times New Roman" w:cs="Times New Roman"/>
          <w:sz w:val="24"/>
          <w:szCs w:val="24"/>
        </w:rPr>
        <w:t>Kallapur</w:t>
      </w:r>
      <w:proofErr w:type="spellEnd"/>
      <w:r w:rsidRPr="0048476E">
        <w:rPr>
          <w:rFonts w:ascii="Times New Roman" w:hAnsi="Times New Roman" w:cs="Times New Roman"/>
          <w:sz w:val="24"/>
          <w:szCs w:val="24"/>
        </w:rPr>
        <w:t xml:space="preserve"> (2001) is that the dates of the events analyzed must be identifiable and they must provide new information that was not previously available. However, the information regarding the approval process of a law is something known in advance given the congressional composition and the previous stances of congress members. As I will explain, due to particular circumstances, the Inflation Reduction Act approval process had several events clearly identifiable that provided new information to markets.</w:t>
      </w:r>
    </w:p>
    <w:p w14:paraId="6FCCC510" w14:textId="10C8F443" w:rsidR="0048476E" w:rsidRDefault="0048476E" w:rsidP="0033713D">
      <w:pPr>
        <w:spacing w:line="240" w:lineRule="auto"/>
        <w:jc w:val="both"/>
        <w:rPr>
          <w:rFonts w:ascii="Times New Roman" w:hAnsi="Times New Roman" w:cs="Times New Roman"/>
          <w:sz w:val="24"/>
          <w:szCs w:val="24"/>
        </w:rPr>
      </w:pPr>
      <w:r w:rsidRPr="0048476E">
        <w:rPr>
          <w:rFonts w:ascii="Times New Roman" w:hAnsi="Times New Roman" w:cs="Times New Roman"/>
          <w:sz w:val="24"/>
          <w:szCs w:val="24"/>
        </w:rPr>
        <w:t xml:space="preserve">During the period of the bill debate, Democrats had a comfortable majority in Congress, with 235 Democrats vs. 200 Republicans. However, in the Senate, the composition was 50 Senators for Democrats and 50 for Republicans. In this situation, the </w:t>
      </w:r>
      <w:proofErr w:type="spellStart"/>
      <w:r w:rsidRPr="0048476E">
        <w:rPr>
          <w:rFonts w:ascii="Times New Roman" w:hAnsi="Times New Roman" w:cs="Times New Roman"/>
          <w:sz w:val="24"/>
          <w:szCs w:val="24"/>
        </w:rPr>
        <w:t>Vicepresident</w:t>
      </w:r>
      <w:proofErr w:type="spellEnd"/>
      <w:r w:rsidRPr="0048476E">
        <w:rPr>
          <w:rFonts w:ascii="Times New Roman" w:hAnsi="Times New Roman" w:cs="Times New Roman"/>
          <w:sz w:val="24"/>
          <w:szCs w:val="24"/>
        </w:rPr>
        <w:t xml:space="preserve"> had the tie-breaker vote, which implied that the bill required all the 50 Democrat votes to be approved. However, on December 19, 2021, after the bill had been voted by Congress, Democrat Senator Bill Manchin</w:t>
      </w:r>
      <w:r>
        <w:rPr>
          <w:rFonts w:ascii="Times New Roman" w:hAnsi="Times New Roman" w:cs="Times New Roman"/>
          <w:sz w:val="24"/>
          <w:szCs w:val="24"/>
        </w:rPr>
        <w:t xml:space="preserve"> </w:t>
      </w:r>
      <w:r w:rsidRPr="0048476E">
        <w:rPr>
          <w:rFonts w:ascii="Times New Roman" w:hAnsi="Times New Roman" w:cs="Times New Roman"/>
          <w:sz w:val="24"/>
          <w:szCs w:val="24"/>
        </w:rPr>
        <w:t>publicly announced his vote against the bill and forced a negotiation with the Administration. This announcement made through a public statement represented a surprise and provided new information to the market as the bill could not be approved without Senator Manchin’s vote.</w:t>
      </w:r>
    </w:p>
    <w:p w14:paraId="26944223" w14:textId="77777777" w:rsidR="0048476E" w:rsidRDefault="0048476E" w:rsidP="0033713D">
      <w:pPr>
        <w:spacing w:line="240" w:lineRule="auto"/>
        <w:jc w:val="both"/>
        <w:rPr>
          <w:rFonts w:ascii="Times New Roman" w:hAnsi="Times New Roman" w:cs="Times New Roman"/>
          <w:sz w:val="24"/>
          <w:szCs w:val="24"/>
        </w:rPr>
      </w:pPr>
    </w:p>
    <w:p w14:paraId="568F6847" w14:textId="77777777" w:rsidR="0048476E" w:rsidRDefault="0048476E" w:rsidP="0033713D">
      <w:pPr>
        <w:spacing w:line="240" w:lineRule="auto"/>
        <w:jc w:val="both"/>
        <w:rPr>
          <w:rFonts w:ascii="Times New Roman" w:hAnsi="Times New Roman" w:cs="Times New Roman"/>
          <w:sz w:val="24"/>
          <w:szCs w:val="24"/>
        </w:rPr>
      </w:pPr>
      <w:r w:rsidRPr="0048476E">
        <w:rPr>
          <w:rFonts w:ascii="Times New Roman" w:hAnsi="Times New Roman" w:cs="Times New Roman"/>
          <w:sz w:val="24"/>
          <w:szCs w:val="24"/>
        </w:rPr>
        <w:t xml:space="preserve">During several weeks Senator Manchin’s negative to vote the bill created incertitude regarding whether it would be approved or not. On July 27, 2022, the White House announced an agreement with Senator Manchin to pass the bill. My hypothesis is that the announcements of Manchin vote </w:t>
      </w:r>
      <w:r w:rsidRPr="0048476E">
        <w:rPr>
          <w:rFonts w:ascii="Times New Roman" w:hAnsi="Times New Roman" w:cs="Times New Roman"/>
          <w:sz w:val="24"/>
          <w:szCs w:val="24"/>
        </w:rPr>
        <w:lastRenderedPageBreak/>
        <w:t>against and later in favor, provide new information for markets to internalize, and therefore, it should have created abnormal returns.</w:t>
      </w:r>
    </w:p>
    <w:p w14:paraId="361E40FD" w14:textId="0A1158FC" w:rsidR="0033713D" w:rsidRPr="0033713D" w:rsidRDefault="0033713D" w:rsidP="0033713D">
      <w:p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Consequently I will analyze 4 key dates related with the Inflation Reduction Act approval process:</w:t>
      </w:r>
    </w:p>
    <w:p w14:paraId="19E2BF09" w14:textId="3876C1E9" w:rsidR="0033713D" w:rsidRPr="0033713D" w:rsidRDefault="0033713D" w:rsidP="0033713D">
      <w:pPr>
        <w:pStyle w:val="ListParagraph"/>
        <w:numPr>
          <w:ilvl w:val="0"/>
          <w:numId w:val="9"/>
        </w:num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First, the bill's presentation on September 27 of 2021 under the original name of the Build Back Better act.</w:t>
      </w:r>
    </w:p>
    <w:p w14:paraId="2AC7779D" w14:textId="6D53573A" w:rsidR="0033713D" w:rsidRPr="0033713D" w:rsidRDefault="0033713D" w:rsidP="0033713D">
      <w:pPr>
        <w:pStyle w:val="ListParagraph"/>
        <w:numPr>
          <w:ilvl w:val="0"/>
          <w:numId w:val="9"/>
        </w:num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Second, Senator Manchin's announcement of its opposition to the Build Back Better act on December 19 of 2021.</w:t>
      </w:r>
    </w:p>
    <w:p w14:paraId="4144967B" w14:textId="33A58FEE" w:rsidR="0033713D" w:rsidRPr="0033713D" w:rsidRDefault="0033713D" w:rsidP="0033713D">
      <w:pPr>
        <w:pStyle w:val="ListParagraph"/>
        <w:numPr>
          <w:ilvl w:val="0"/>
          <w:numId w:val="9"/>
        </w:num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Third the agreement with Senator Manchin on July 27 of 2022.</w:t>
      </w:r>
    </w:p>
    <w:p w14:paraId="7AB04BC9" w14:textId="4B42C8D0" w:rsidR="0033713D" w:rsidRPr="0033713D" w:rsidRDefault="0033713D" w:rsidP="0033713D">
      <w:pPr>
        <w:pStyle w:val="ListParagraph"/>
        <w:numPr>
          <w:ilvl w:val="0"/>
          <w:numId w:val="9"/>
        </w:num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And fourth, the Senate approval on August 7 of 2022.</w:t>
      </w:r>
    </w:p>
    <w:p w14:paraId="6835F6C1" w14:textId="04731ED7" w:rsidR="00A61851" w:rsidRDefault="0048476E" w:rsidP="0033713D">
      <w:pPr>
        <w:spacing w:line="240" w:lineRule="auto"/>
        <w:jc w:val="both"/>
        <w:rPr>
          <w:rFonts w:ascii="Times New Roman" w:hAnsi="Times New Roman" w:cs="Times New Roman"/>
          <w:sz w:val="24"/>
          <w:szCs w:val="24"/>
        </w:rPr>
      </w:pPr>
      <w:r w:rsidRPr="0048476E">
        <w:rPr>
          <w:rFonts w:ascii="Times New Roman" w:hAnsi="Times New Roman" w:cs="Times New Roman"/>
          <w:sz w:val="24"/>
          <w:szCs w:val="24"/>
        </w:rPr>
        <w:t>Around these 4 key dates, I will evaluate a window of one day before and after the events, for a total of three trading days including the event. Additionally, as a robustness check, I will evaluate a five-day window: the event day, two days before, and two days after. For the hypothesis test, I will use ordinary T statistics to evaluate the significance of the event parameters, this is in line with Dyckman, Philbrick, and Stephan (1984). In the case of the Senate approval on August 7, 2022, the event occurred on a non-trading day, therefore I use as event day the next trading day which is August 8, August 5, and August 9 were used as the previous and next trading days respectively.</w:t>
      </w:r>
    </w:p>
    <w:p w14:paraId="2555A6C2" w14:textId="77777777" w:rsidR="0048476E" w:rsidRDefault="0048476E" w:rsidP="0033713D">
      <w:pPr>
        <w:spacing w:line="240" w:lineRule="auto"/>
        <w:jc w:val="both"/>
        <w:rPr>
          <w:rFonts w:ascii="Times New Roman" w:hAnsi="Times New Roman" w:cs="Times New Roman"/>
          <w:sz w:val="24"/>
          <w:szCs w:val="24"/>
        </w:rPr>
      </w:pPr>
    </w:p>
    <w:p w14:paraId="14F63E99" w14:textId="77777777" w:rsidR="0048476E" w:rsidRDefault="0048476E" w:rsidP="0033713D">
      <w:pPr>
        <w:spacing w:line="240" w:lineRule="auto"/>
        <w:jc w:val="both"/>
        <w:rPr>
          <w:rFonts w:ascii="Times New Roman" w:hAnsi="Times New Roman" w:cs="Times New Roman"/>
          <w:sz w:val="24"/>
          <w:szCs w:val="24"/>
        </w:rPr>
      </w:pPr>
    </w:p>
    <w:bookmarkEnd w:id="0"/>
    <w:p w14:paraId="0DBF543C" w14:textId="77777777" w:rsidR="0048476E" w:rsidRDefault="0048476E" w:rsidP="0033713D">
      <w:pPr>
        <w:spacing w:line="240" w:lineRule="auto"/>
        <w:jc w:val="both"/>
        <w:rPr>
          <w:rFonts w:ascii="Times New Roman" w:hAnsi="Times New Roman" w:cs="Times New Roman"/>
          <w:b/>
          <w:bCs/>
          <w:sz w:val="28"/>
          <w:szCs w:val="28"/>
        </w:rPr>
      </w:pPr>
      <w:r w:rsidRPr="0048476E">
        <w:rPr>
          <w:rFonts w:ascii="Times New Roman" w:hAnsi="Times New Roman" w:cs="Times New Roman"/>
          <w:b/>
          <w:bCs/>
          <w:sz w:val="28"/>
          <w:szCs w:val="28"/>
        </w:rPr>
        <w:t>5 Results</w:t>
      </w:r>
    </w:p>
    <w:p w14:paraId="46AA9038" w14:textId="77777777" w:rsidR="0048476E" w:rsidRDefault="0048476E" w:rsidP="0048476E">
      <w:pPr>
        <w:spacing w:line="240" w:lineRule="auto"/>
        <w:jc w:val="both"/>
        <w:rPr>
          <w:rFonts w:ascii="Times New Roman" w:hAnsi="Times New Roman" w:cs="Times New Roman"/>
          <w:sz w:val="24"/>
          <w:szCs w:val="24"/>
        </w:rPr>
      </w:pPr>
      <w:r w:rsidRPr="0048476E">
        <w:rPr>
          <w:rFonts w:ascii="Times New Roman" w:hAnsi="Times New Roman" w:cs="Times New Roman"/>
          <w:sz w:val="24"/>
          <w:szCs w:val="24"/>
        </w:rPr>
        <w:t>First, I evaluate if the market in general experienced abnormal returns during the analyzed events. The estimation results for Equation 1 with a three-day window are presented in Table 3. As can be observed, the parameters for the events’ dummy variables are not significant, which means that the market as a whole did not experience abnormal returns during the events. Robustness checks with a five-day window around the events were applied, as can be seen in Table 3, the results are the same. Therefore, market return can be used as a benchmark.</w:t>
      </w:r>
    </w:p>
    <w:p w14:paraId="11F8D1C0" w14:textId="77777777" w:rsidR="0048476E" w:rsidRDefault="0048476E" w:rsidP="0048476E">
      <w:pPr>
        <w:spacing w:line="240" w:lineRule="auto"/>
        <w:jc w:val="both"/>
        <w:rPr>
          <w:rFonts w:ascii="Times New Roman" w:hAnsi="Times New Roman" w:cs="Times New Roman"/>
          <w:sz w:val="24"/>
          <w:szCs w:val="24"/>
        </w:rPr>
      </w:pPr>
    </w:p>
    <w:p w14:paraId="097BF627" w14:textId="77777777" w:rsidR="0048476E" w:rsidRDefault="0048476E" w:rsidP="0048476E">
      <w:pPr>
        <w:spacing w:line="240" w:lineRule="auto"/>
        <w:jc w:val="both"/>
        <w:rPr>
          <w:rFonts w:ascii="Times New Roman" w:hAnsi="Times New Roman" w:cs="Times New Roman"/>
          <w:sz w:val="24"/>
          <w:szCs w:val="24"/>
        </w:rPr>
      </w:pPr>
    </w:p>
    <w:p w14:paraId="31457E53" w14:textId="77777777" w:rsidR="0048476E" w:rsidRDefault="0048476E" w:rsidP="0048476E">
      <w:pPr>
        <w:spacing w:line="240" w:lineRule="auto"/>
        <w:jc w:val="both"/>
        <w:rPr>
          <w:rFonts w:ascii="Times New Roman" w:hAnsi="Times New Roman" w:cs="Times New Roman"/>
          <w:sz w:val="24"/>
          <w:szCs w:val="24"/>
        </w:rPr>
      </w:pPr>
    </w:p>
    <w:p w14:paraId="30367E55" w14:textId="77777777" w:rsidR="0048476E" w:rsidRDefault="0048476E" w:rsidP="0048476E">
      <w:pPr>
        <w:spacing w:line="240" w:lineRule="auto"/>
        <w:jc w:val="both"/>
        <w:rPr>
          <w:rFonts w:ascii="Times New Roman" w:hAnsi="Times New Roman" w:cs="Times New Roman"/>
          <w:sz w:val="24"/>
          <w:szCs w:val="24"/>
        </w:rPr>
      </w:pPr>
    </w:p>
    <w:p w14:paraId="53DDBAAD" w14:textId="77777777" w:rsidR="0048476E" w:rsidRDefault="0048476E" w:rsidP="0048476E">
      <w:pPr>
        <w:spacing w:line="240" w:lineRule="auto"/>
        <w:jc w:val="both"/>
        <w:rPr>
          <w:rFonts w:ascii="Times New Roman" w:hAnsi="Times New Roman" w:cs="Times New Roman"/>
          <w:sz w:val="24"/>
          <w:szCs w:val="24"/>
        </w:rPr>
      </w:pPr>
    </w:p>
    <w:p w14:paraId="0B15A918" w14:textId="77777777" w:rsidR="0048476E" w:rsidRDefault="0048476E" w:rsidP="0048476E">
      <w:pPr>
        <w:spacing w:line="240" w:lineRule="auto"/>
        <w:jc w:val="both"/>
        <w:rPr>
          <w:rFonts w:ascii="Times New Roman" w:hAnsi="Times New Roman" w:cs="Times New Roman"/>
          <w:sz w:val="24"/>
          <w:szCs w:val="24"/>
        </w:rPr>
      </w:pPr>
    </w:p>
    <w:p w14:paraId="274A7798" w14:textId="77777777" w:rsidR="0048476E" w:rsidRDefault="0048476E" w:rsidP="0048476E">
      <w:pPr>
        <w:spacing w:line="240" w:lineRule="auto"/>
        <w:jc w:val="both"/>
        <w:rPr>
          <w:rFonts w:ascii="Times New Roman" w:hAnsi="Times New Roman" w:cs="Times New Roman"/>
          <w:sz w:val="24"/>
          <w:szCs w:val="24"/>
        </w:rPr>
      </w:pPr>
    </w:p>
    <w:p w14:paraId="57C3FBF9" w14:textId="77777777" w:rsidR="0048476E" w:rsidRDefault="0048476E" w:rsidP="0048476E">
      <w:pPr>
        <w:spacing w:line="240" w:lineRule="auto"/>
        <w:jc w:val="both"/>
        <w:rPr>
          <w:rFonts w:ascii="Times New Roman" w:hAnsi="Times New Roman" w:cs="Times New Roman"/>
          <w:sz w:val="24"/>
          <w:szCs w:val="24"/>
        </w:rPr>
      </w:pPr>
    </w:p>
    <w:p w14:paraId="26A3AE5D" w14:textId="77777777" w:rsidR="0048476E" w:rsidRDefault="0048476E" w:rsidP="0048476E">
      <w:pPr>
        <w:spacing w:line="240" w:lineRule="auto"/>
        <w:jc w:val="both"/>
        <w:rPr>
          <w:rFonts w:ascii="Times New Roman" w:hAnsi="Times New Roman" w:cs="Times New Roman"/>
          <w:sz w:val="24"/>
          <w:szCs w:val="24"/>
        </w:rPr>
      </w:pPr>
    </w:p>
    <w:p w14:paraId="4BD90C42" w14:textId="5CC22273" w:rsidR="0033713D" w:rsidRPr="0033713D" w:rsidRDefault="0048476E" w:rsidP="0033713D">
      <w:pPr>
        <w:spacing w:line="240" w:lineRule="auto"/>
        <w:jc w:val="center"/>
        <w:rPr>
          <w:rFonts w:ascii="Times New Roman" w:hAnsi="Times New Roman" w:cs="Times New Roman"/>
          <w:b/>
          <w:bCs/>
          <w:sz w:val="24"/>
          <w:szCs w:val="24"/>
        </w:rPr>
      </w:pPr>
      <w:r w:rsidRPr="0048476E">
        <w:rPr>
          <w:rFonts w:ascii="Times New Roman" w:hAnsi="Times New Roman" w:cs="Times New Roman"/>
          <w:b/>
          <w:bCs/>
          <w:sz w:val="24"/>
          <w:szCs w:val="24"/>
        </w:rPr>
        <w:lastRenderedPageBreak/>
        <w:t>Table 3: OLS estimation of equation 1 with three-days and five-days windows for daily Market abnormal returns between January first 2018 and December 30 2022</w:t>
      </w:r>
    </w:p>
    <w:p w14:paraId="5F36E0FC" w14:textId="68E85247" w:rsidR="0048476E" w:rsidRDefault="0048476E" w:rsidP="0033713D">
      <w:pPr>
        <w:spacing w:line="240" w:lineRule="auto"/>
        <w:jc w:val="center"/>
        <w:rPr>
          <w:rFonts w:ascii="Times New Roman" w:hAnsi="Times New Roman" w:cs="Times New Roman"/>
          <w:sz w:val="20"/>
          <w:szCs w:val="20"/>
        </w:rPr>
      </w:pPr>
      <w:r>
        <w:rPr>
          <w:noProof/>
        </w:rPr>
        <w:drawing>
          <wp:inline distT="0" distB="0" distL="0" distR="0" wp14:anchorId="6722B25E" wp14:editId="45FFA59D">
            <wp:extent cx="3085106" cy="3560202"/>
            <wp:effectExtent l="0" t="0" r="1270" b="2540"/>
            <wp:docPr id="1761886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4329" cy="3582385"/>
                    </a:xfrm>
                    <a:prstGeom prst="rect">
                      <a:avLst/>
                    </a:prstGeom>
                    <a:noFill/>
                    <a:ln>
                      <a:noFill/>
                    </a:ln>
                  </pic:spPr>
                </pic:pic>
              </a:graphicData>
            </a:graphic>
          </wp:inline>
        </w:drawing>
      </w:r>
    </w:p>
    <w:p w14:paraId="5B4CD846" w14:textId="77777777" w:rsidR="0048476E" w:rsidRDefault="0048476E" w:rsidP="0033713D">
      <w:pPr>
        <w:spacing w:line="240" w:lineRule="auto"/>
        <w:jc w:val="center"/>
        <w:rPr>
          <w:rFonts w:ascii="Times New Roman" w:hAnsi="Times New Roman" w:cs="Times New Roman"/>
          <w:sz w:val="20"/>
          <w:szCs w:val="20"/>
        </w:rPr>
      </w:pPr>
      <w:r w:rsidRPr="0048476E">
        <w:rPr>
          <w:rFonts w:ascii="Times New Roman" w:hAnsi="Times New Roman" w:cs="Times New Roman"/>
          <w:sz w:val="20"/>
          <w:szCs w:val="20"/>
        </w:rPr>
        <w:t xml:space="preserve">*sept 27 2021 corresponds to the original bill presentation, dec 19 2021 is the event window when Senator Manchin announced its opposition to the bill, </w:t>
      </w:r>
      <w:proofErr w:type="spellStart"/>
      <w:r w:rsidRPr="0048476E">
        <w:rPr>
          <w:rFonts w:ascii="Times New Roman" w:hAnsi="Times New Roman" w:cs="Times New Roman"/>
          <w:sz w:val="20"/>
          <w:szCs w:val="20"/>
        </w:rPr>
        <w:t>jul</w:t>
      </w:r>
      <w:proofErr w:type="spellEnd"/>
      <w:r w:rsidRPr="0048476E">
        <w:rPr>
          <w:rFonts w:ascii="Times New Roman" w:hAnsi="Times New Roman" w:cs="Times New Roman"/>
          <w:sz w:val="20"/>
          <w:szCs w:val="20"/>
        </w:rPr>
        <w:t xml:space="preserve"> 27 2022 corresponds to the agreement with Senator Manchin, and </w:t>
      </w:r>
      <w:proofErr w:type="spellStart"/>
      <w:r w:rsidRPr="0048476E">
        <w:rPr>
          <w:rFonts w:ascii="Times New Roman" w:hAnsi="Times New Roman" w:cs="Times New Roman"/>
          <w:sz w:val="20"/>
          <w:szCs w:val="20"/>
        </w:rPr>
        <w:t>aug</w:t>
      </w:r>
      <w:proofErr w:type="spellEnd"/>
      <w:r w:rsidRPr="0048476E">
        <w:rPr>
          <w:rFonts w:ascii="Times New Roman" w:hAnsi="Times New Roman" w:cs="Times New Roman"/>
          <w:sz w:val="20"/>
          <w:szCs w:val="20"/>
        </w:rPr>
        <w:t xml:space="preserve"> 07 2022 is the event window of the bill’s approval by Senate.</w:t>
      </w:r>
    </w:p>
    <w:p w14:paraId="39A7F2C9" w14:textId="073DDE72" w:rsidR="0033713D" w:rsidRPr="0033713D" w:rsidRDefault="0048476E" w:rsidP="0033713D">
      <w:pPr>
        <w:spacing w:line="240" w:lineRule="auto"/>
        <w:jc w:val="center"/>
        <w:rPr>
          <w:rFonts w:ascii="Times New Roman" w:hAnsi="Times New Roman" w:cs="Times New Roman"/>
          <w:sz w:val="20"/>
          <w:szCs w:val="20"/>
        </w:rPr>
      </w:pPr>
      <w:r w:rsidRPr="0048476E">
        <w:rPr>
          <w:rFonts w:ascii="Times New Roman" w:hAnsi="Times New Roman" w:cs="Times New Roman"/>
          <w:sz w:val="20"/>
          <w:szCs w:val="20"/>
        </w:rPr>
        <w:t>Source: Own elaboration with data from Fama &amp; French (2023), and S&amp;P Global (2024a)</w:t>
      </w:r>
      <w:r>
        <w:rPr>
          <w:rFonts w:ascii="Times New Roman" w:hAnsi="Times New Roman" w:cs="Times New Roman"/>
          <w:sz w:val="20"/>
          <w:szCs w:val="20"/>
        </w:rPr>
        <w:t>.</w:t>
      </w:r>
    </w:p>
    <w:p w14:paraId="44DC8759" w14:textId="77777777" w:rsidR="0048476E" w:rsidRDefault="0048476E" w:rsidP="0033713D">
      <w:pPr>
        <w:spacing w:line="240" w:lineRule="auto"/>
        <w:jc w:val="both"/>
        <w:rPr>
          <w:rFonts w:ascii="Times New Roman" w:hAnsi="Times New Roman" w:cs="Times New Roman"/>
          <w:sz w:val="24"/>
          <w:szCs w:val="24"/>
        </w:rPr>
      </w:pPr>
      <w:r w:rsidRPr="0048476E">
        <w:rPr>
          <w:rFonts w:ascii="Times New Roman" w:hAnsi="Times New Roman" w:cs="Times New Roman"/>
          <w:sz w:val="24"/>
          <w:szCs w:val="24"/>
        </w:rPr>
        <w:t>In the next step, I estimate equation 2 using the OLS method to evaluate the presence of abnormal returns in the Energy sector in general, for that, I use the S&amp;P500 Energy Index. Results presented in Tables 4 and 9 indicate that the Index experienced a significant and positive abnormal return of approximately 2.4% around the original bill presentation. This result is robust as seen in the estimation for a five-day window presented in Table 9 and Table 4A in Annex 1. Table 4 also shows a positive and significant (at 10% significance) coefficient for the final bill approval, however, as seen in Table 9 and Table 4A on Annex 1, this result does not hold with the robustness check. Graph 5 presents the scatter plot between the daily market returns and the S&amp;P500 Energy Index daily returns.</w:t>
      </w:r>
    </w:p>
    <w:p w14:paraId="2167F6C0" w14:textId="040EBFB0" w:rsidR="0033713D" w:rsidRDefault="0033713D" w:rsidP="0033713D">
      <w:pPr>
        <w:spacing w:line="240" w:lineRule="auto"/>
        <w:jc w:val="both"/>
        <w:rPr>
          <w:rFonts w:ascii="Times New Roman" w:hAnsi="Times New Roman" w:cs="Times New Roman"/>
          <w:sz w:val="24"/>
          <w:szCs w:val="24"/>
        </w:rPr>
      </w:pPr>
      <w:r w:rsidRPr="0033713D">
        <w:rPr>
          <w:rFonts w:ascii="Times New Roman" w:hAnsi="Times New Roman" w:cs="Times New Roman"/>
          <w:sz w:val="24"/>
          <w:szCs w:val="24"/>
        </w:rPr>
        <w:t>However, the results indicate that the agreement with Senator Manchin generated significant abnormal returns of 1.9% with a significance level of 0.1. This result validates the hypothesis that the announcement of the agreement provided new information to the market, generating abnormal returns to the clean energy sector. Graph 6 presents the scatter plot between the daily market returns and the Wilder Hill Clean Energy Index daily returns.</w:t>
      </w:r>
    </w:p>
    <w:p w14:paraId="0D9484B7" w14:textId="77777777" w:rsidR="0048476E" w:rsidRDefault="0048476E" w:rsidP="0033713D">
      <w:pPr>
        <w:spacing w:line="240" w:lineRule="auto"/>
        <w:jc w:val="both"/>
        <w:rPr>
          <w:rFonts w:ascii="Times New Roman" w:hAnsi="Times New Roman" w:cs="Times New Roman"/>
          <w:sz w:val="24"/>
          <w:szCs w:val="24"/>
        </w:rPr>
      </w:pPr>
    </w:p>
    <w:p w14:paraId="39DB7F41" w14:textId="77777777" w:rsidR="0048476E" w:rsidRPr="0033713D" w:rsidRDefault="0048476E" w:rsidP="0033713D">
      <w:pPr>
        <w:spacing w:line="240" w:lineRule="auto"/>
        <w:jc w:val="both"/>
        <w:rPr>
          <w:rFonts w:ascii="Times New Roman" w:hAnsi="Times New Roman" w:cs="Times New Roman"/>
          <w:sz w:val="24"/>
          <w:szCs w:val="24"/>
        </w:rPr>
      </w:pPr>
    </w:p>
    <w:p w14:paraId="58D82FB4" w14:textId="21033B69" w:rsidR="0033713D" w:rsidRDefault="0048476E" w:rsidP="0033713D">
      <w:pPr>
        <w:spacing w:line="240" w:lineRule="auto"/>
        <w:jc w:val="center"/>
        <w:rPr>
          <w:rFonts w:ascii="Times New Roman" w:hAnsi="Times New Roman" w:cs="Times New Roman"/>
          <w:b/>
          <w:bCs/>
          <w:sz w:val="24"/>
          <w:szCs w:val="24"/>
        </w:rPr>
      </w:pPr>
      <w:r w:rsidRPr="0048476E">
        <w:rPr>
          <w:rFonts w:ascii="Times New Roman" w:hAnsi="Times New Roman" w:cs="Times New Roman"/>
          <w:b/>
          <w:bCs/>
          <w:sz w:val="24"/>
          <w:szCs w:val="24"/>
        </w:rPr>
        <w:lastRenderedPageBreak/>
        <w:t>Table 4: OLS estimation of equation 2 with 3-day window for daily S&amp;P500 Energy Index abnormal returns between January first 2018 and December 30 2022</w:t>
      </w:r>
    </w:p>
    <w:p w14:paraId="0413D124" w14:textId="7D2A0FB5" w:rsidR="0048476E" w:rsidRPr="0033713D" w:rsidRDefault="0048476E" w:rsidP="0048476E">
      <w:pPr>
        <w:spacing w:line="240" w:lineRule="auto"/>
        <w:jc w:val="center"/>
        <w:rPr>
          <w:rFonts w:ascii="Times New Roman" w:hAnsi="Times New Roman" w:cs="Times New Roman"/>
          <w:b/>
          <w:bCs/>
          <w:sz w:val="24"/>
          <w:szCs w:val="24"/>
        </w:rPr>
      </w:pPr>
      <w:r w:rsidRPr="0048476E">
        <w:rPr>
          <w:rFonts w:ascii="Times New Roman" w:hAnsi="Times New Roman" w:cs="Times New Roman"/>
          <w:b/>
          <w:bCs/>
          <w:sz w:val="24"/>
          <w:szCs w:val="24"/>
        </w:rPr>
        <w:drawing>
          <wp:inline distT="0" distB="0" distL="0" distR="0" wp14:anchorId="705E2483" wp14:editId="6E36C3BA">
            <wp:extent cx="5943600" cy="2058035"/>
            <wp:effectExtent l="0" t="0" r="0" b="0"/>
            <wp:docPr id="501933553" name="Picture 10"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33553" name="Picture 10" descr="A white sheet with black 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58035"/>
                    </a:xfrm>
                    <a:prstGeom prst="rect">
                      <a:avLst/>
                    </a:prstGeom>
                    <a:noFill/>
                    <a:ln>
                      <a:noFill/>
                    </a:ln>
                  </pic:spPr>
                </pic:pic>
              </a:graphicData>
            </a:graphic>
          </wp:inline>
        </w:drawing>
      </w:r>
    </w:p>
    <w:p w14:paraId="76FA4C2B" w14:textId="469E1CF0" w:rsidR="0033713D" w:rsidRPr="0033713D" w:rsidRDefault="0048476E" w:rsidP="00F95B88">
      <w:pPr>
        <w:spacing w:line="240" w:lineRule="auto"/>
        <w:jc w:val="center"/>
        <w:rPr>
          <w:rFonts w:ascii="Times New Roman" w:hAnsi="Times New Roman" w:cs="Times New Roman"/>
          <w:sz w:val="20"/>
          <w:szCs w:val="20"/>
        </w:rPr>
      </w:pPr>
      <w:r w:rsidRPr="0048476E">
        <w:rPr>
          <w:rFonts w:ascii="Times New Roman" w:hAnsi="Times New Roman" w:cs="Times New Roman"/>
          <w:sz w:val="20"/>
          <w:szCs w:val="20"/>
        </w:rPr>
        <w:t xml:space="preserve">*sept 24 to sept 28 2021 corresponds to the original bill presentation, dec 17 to dec 21 2021 is the event window when Senator Manchin announced its opposition to the bill, </w:t>
      </w:r>
      <w:proofErr w:type="spellStart"/>
      <w:r w:rsidRPr="0048476E">
        <w:rPr>
          <w:rFonts w:ascii="Times New Roman" w:hAnsi="Times New Roman" w:cs="Times New Roman"/>
          <w:sz w:val="20"/>
          <w:szCs w:val="20"/>
        </w:rPr>
        <w:t>jul</w:t>
      </w:r>
      <w:proofErr w:type="spellEnd"/>
      <w:r w:rsidRPr="0048476E">
        <w:rPr>
          <w:rFonts w:ascii="Times New Roman" w:hAnsi="Times New Roman" w:cs="Times New Roman"/>
          <w:sz w:val="20"/>
          <w:szCs w:val="20"/>
        </w:rPr>
        <w:t xml:space="preserve"> 26 to </w:t>
      </w:r>
      <w:proofErr w:type="spellStart"/>
      <w:r w:rsidRPr="0048476E">
        <w:rPr>
          <w:rFonts w:ascii="Times New Roman" w:hAnsi="Times New Roman" w:cs="Times New Roman"/>
          <w:sz w:val="20"/>
          <w:szCs w:val="20"/>
        </w:rPr>
        <w:t>jul</w:t>
      </w:r>
      <w:proofErr w:type="spellEnd"/>
      <w:r w:rsidRPr="0048476E">
        <w:rPr>
          <w:rFonts w:ascii="Times New Roman" w:hAnsi="Times New Roman" w:cs="Times New Roman"/>
          <w:sz w:val="20"/>
          <w:szCs w:val="20"/>
        </w:rPr>
        <w:t xml:space="preserve"> 28 2022 corresponds to the agreement with Senator Manchin, and </w:t>
      </w:r>
      <w:proofErr w:type="spellStart"/>
      <w:r w:rsidRPr="0048476E">
        <w:rPr>
          <w:rFonts w:ascii="Times New Roman" w:hAnsi="Times New Roman" w:cs="Times New Roman"/>
          <w:sz w:val="20"/>
          <w:szCs w:val="20"/>
        </w:rPr>
        <w:t>aug</w:t>
      </w:r>
      <w:proofErr w:type="spellEnd"/>
      <w:r w:rsidRPr="0048476E">
        <w:rPr>
          <w:rFonts w:ascii="Times New Roman" w:hAnsi="Times New Roman" w:cs="Times New Roman"/>
          <w:sz w:val="20"/>
          <w:szCs w:val="20"/>
        </w:rPr>
        <w:t xml:space="preserve"> 05 to </w:t>
      </w:r>
      <w:proofErr w:type="spellStart"/>
      <w:r w:rsidRPr="0048476E">
        <w:rPr>
          <w:rFonts w:ascii="Times New Roman" w:hAnsi="Times New Roman" w:cs="Times New Roman"/>
          <w:sz w:val="20"/>
          <w:szCs w:val="20"/>
        </w:rPr>
        <w:t>aug</w:t>
      </w:r>
      <w:proofErr w:type="spellEnd"/>
      <w:r w:rsidRPr="0048476E">
        <w:rPr>
          <w:rFonts w:ascii="Times New Roman" w:hAnsi="Times New Roman" w:cs="Times New Roman"/>
          <w:sz w:val="20"/>
          <w:szCs w:val="20"/>
        </w:rPr>
        <w:t xml:space="preserve"> 09 2022 is the event window of the bill’s approval by Senate.</w:t>
      </w:r>
      <w:r w:rsidR="00F95B88">
        <w:rPr>
          <w:rFonts w:ascii="Times New Roman" w:hAnsi="Times New Roman" w:cs="Times New Roman"/>
          <w:sz w:val="20"/>
          <w:szCs w:val="20"/>
        </w:rPr>
        <w:br/>
      </w:r>
      <w:r w:rsidRPr="0048476E">
        <w:rPr>
          <w:rFonts w:ascii="Times New Roman" w:hAnsi="Times New Roman" w:cs="Times New Roman"/>
          <w:sz w:val="20"/>
          <w:szCs w:val="20"/>
        </w:rPr>
        <w:t>Source: Own elaboration with data from Fama &amp; French (2023), and S&amp;P Global (2024b)</w:t>
      </w:r>
      <w:r>
        <w:rPr>
          <w:rFonts w:ascii="Times New Roman" w:hAnsi="Times New Roman" w:cs="Times New Roman"/>
          <w:sz w:val="20"/>
          <w:szCs w:val="20"/>
        </w:rPr>
        <w:t>.</w:t>
      </w:r>
    </w:p>
    <w:p w14:paraId="1F932BDD" w14:textId="77777777" w:rsidR="0033713D" w:rsidRDefault="0033713D" w:rsidP="0033713D">
      <w:pPr>
        <w:spacing w:line="240" w:lineRule="auto"/>
        <w:jc w:val="both"/>
        <w:rPr>
          <w:rFonts w:ascii="Times New Roman" w:hAnsi="Times New Roman" w:cs="Times New Roman"/>
          <w:sz w:val="24"/>
          <w:szCs w:val="24"/>
        </w:rPr>
      </w:pPr>
    </w:p>
    <w:p w14:paraId="29B27838" w14:textId="77777777" w:rsidR="0048476E" w:rsidRDefault="0048476E" w:rsidP="0033713D">
      <w:pPr>
        <w:spacing w:line="240" w:lineRule="auto"/>
        <w:jc w:val="center"/>
        <w:rPr>
          <w:noProof/>
        </w:rPr>
      </w:pPr>
      <w:r w:rsidRPr="0048476E">
        <w:rPr>
          <w:rFonts w:ascii="Times New Roman" w:hAnsi="Times New Roman" w:cs="Times New Roman"/>
          <w:b/>
          <w:bCs/>
          <w:sz w:val="24"/>
          <w:szCs w:val="24"/>
        </w:rPr>
        <w:t>Graph 5: Scatter plot between daily Market returns and the S&amp;P500 Energy Index daily returns</w:t>
      </w:r>
    </w:p>
    <w:p w14:paraId="3F427879" w14:textId="5374ED55" w:rsidR="0033713D" w:rsidRPr="0033713D" w:rsidRDefault="0048476E" w:rsidP="0048476E">
      <w:pPr>
        <w:spacing w:line="240" w:lineRule="auto"/>
        <w:jc w:val="center"/>
        <w:rPr>
          <w:rFonts w:ascii="Times New Roman" w:hAnsi="Times New Roman" w:cs="Times New Roman"/>
          <w:sz w:val="24"/>
          <w:szCs w:val="24"/>
        </w:rPr>
      </w:pPr>
      <w:r w:rsidRPr="0048476E">
        <w:rPr>
          <w:rFonts w:ascii="Times New Roman" w:hAnsi="Times New Roman" w:cs="Times New Roman"/>
          <w:sz w:val="24"/>
          <w:szCs w:val="24"/>
        </w:rPr>
        <w:drawing>
          <wp:inline distT="0" distB="0" distL="0" distR="0" wp14:anchorId="104F3A8A" wp14:editId="1ED96161">
            <wp:extent cx="4852706" cy="3200400"/>
            <wp:effectExtent l="0" t="0" r="5080" b="0"/>
            <wp:docPr id="1524769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2706" cy="3200400"/>
                    </a:xfrm>
                    <a:prstGeom prst="rect">
                      <a:avLst/>
                    </a:prstGeom>
                    <a:noFill/>
                    <a:ln>
                      <a:noFill/>
                    </a:ln>
                  </pic:spPr>
                </pic:pic>
              </a:graphicData>
            </a:graphic>
          </wp:inline>
        </w:drawing>
      </w:r>
      <w:r w:rsidR="0033713D">
        <w:rPr>
          <w:rFonts w:ascii="Times New Roman" w:hAnsi="Times New Roman" w:cs="Times New Roman"/>
          <w:sz w:val="24"/>
          <w:szCs w:val="24"/>
        </w:rPr>
        <w:br/>
      </w:r>
      <w:r w:rsidRPr="0048476E">
        <w:rPr>
          <w:rFonts w:ascii="Times New Roman" w:hAnsi="Times New Roman" w:cs="Times New Roman"/>
          <w:sz w:val="20"/>
          <w:szCs w:val="20"/>
        </w:rPr>
        <w:t>Source: Own elaboration with data from Fama &amp; French (2023), and S&amp;P Global (2024b)</w:t>
      </w:r>
    </w:p>
    <w:p w14:paraId="3C9350B9" w14:textId="09C1B529" w:rsidR="0033713D" w:rsidRDefault="00355989" w:rsidP="0033713D">
      <w:pPr>
        <w:spacing w:line="240" w:lineRule="auto"/>
        <w:jc w:val="both"/>
        <w:rPr>
          <w:rFonts w:ascii="Times New Roman" w:hAnsi="Times New Roman" w:cs="Times New Roman"/>
          <w:sz w:val="24"/>
          <w:szCs w:val="24"/>
        </w:rPr>
      </w:pPr>
      <w:r w:rsidRPr="00355989">
        <w:rPr>
          <w:rFonts w:ascii="Times New Roman" w:hAnsi="Times New Roman" w:cs="Times New Roman"/>
          <w:sz w:val="24"/>
          <w:szCs w:val="24"/>
        </w:rPr>
        <w:t>To understand how the bill impacted the renewable energy sector specifically, I use the NASDAQ Clean Energy Edge Index. Table 5 shows the results of the estimations. The dummy corresponding to the agreement with Senator Manchin has a significant and positive coefficient indicating that the announcement was followed by positive abnormal</w:t>
      </w:r>
      <w:r>
        <w:rPr>
          <w:rFonts w:ascii="Times New Roman" w:hAnsi="Times New Roman" w:cs="Times New Roman"/>
          <w:sz w:val="24"/>
          <w:szCs w:val="24"/>
        </w:rPr>
        <w:t xml:space="preserve"> </w:t>
      </w:r>
      <w:r w:rsidRPr="00355989">
        <w:rPr>
          <w:rFonts w:ascii="Times New Roman" w:hAnsi="Times New Roman" w:cs="Times New Roman"/>
          <w:sz w:val="24"/>
          <w:szCs w:val="24"/>
        </w:rPr>
        <w:t xml:space="preserve">returns of approximately 1.91% on the </w:t>
      </w:r>
      <w:r w:rsidRPr="00355989">
        <w:rPr>
          <w:rFonts w:ascii="Times New Roman" w:hAnsi="Times New Roman" w:cs="Times New Roman"/>
          <w:sz w:val="24"/>
          <w:szCs w:val="24"/>
        </w:rPr>
        <w:lastRenderedPageBreak/>
        <w:t>renewable energy sector. This is consistent with the original hypothesis that the announcement provided new information to markets. The other three coefficients are not significant. As presented in Tables 9 and 5A, these results are robust to the 5-day window robustness check. Graph 6 presents the scatter plot between the NASDAQ Clean Energy Edge Index and the market returns.</w:t>
      </w:r>
    </w:p>
    <w:p w14:paraId="07F9FA82" w14:textId="5360E059" w:rsidR="0033713D" w:rsidRPr="0033713D" w:rsidRDefault="00355989" w:rsidP="0033713D">
      <w:pPr>
        <w:spacing w:line="240" w:lineRule="auto"/>
        <w:jc w:val="center"/>
        <w:rPr>
          <w:rFonts w:ascii="Times New Roman" w:hAnsi="Times New Roman" w:cs="Times New Roman"/>
          <w:b/>
          <w:bCs/>
          <w:sz w:val="24"/>
          <w:szCs w:val="24"/>
        </w:rPr>
      </w:pPr>
      <w:r w:rsidRPr="00355989">
        <w:rPr>
          <w:rFonts w:ascii="Times New Roman" w:hAnsi="Times New Roman" w:cs="Times New Roman"/>
          <w:b/>
          <w:bCs/>
          <w:sz w:val="24"/>
          <w:szCs w:val="24"/>
        </w:rPr>
        <w:t>Table 5: OLS estimation of equation 2 with 3-day window for daily NASDAQ Clean Energy Edge Index abnormal returns between January first 2018 and December 30 2022</w:t>
      </w:r>
    </w:p>
    <w:p w14:paraId="42D67E2C" w14:textId="47942986" w:rsidR="0033713D" w:rsidRDefault="00355989" w:rsidP="0033713D">
      <w:pPr>
        <w:spacing w:line="240" w:lineRule="auto"/>
        <w:jc w:val="center"/>
        <w:rPr>
          <w:rFonts w:ascii="Times New Roman" w:hAnsi="Times New Roman" w:cs="Times New Roman"/>
          <w:sz w:val="20"/>
          <w:szCs w:val="20"/>
        </w:rPr>
      </w:pPr>
      <w:r>
        <w:rPr>
          <w:noProof/>
        </w:rPr>
        <w:drawing>
          <wp:inline distT="0" distB="0" distL="0" distR="0" wp14:anchorId="50281024" wp14:editId="74FC722A">
            <wp:extent cx="5943600" cy="2047875"/>
            <wp:effectExtent l="0" t="0" r="0" b="9525"/>
            <wp:docPr id="15199027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02778" name="Picture 1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r w:rsidRPr="00355989">
        <w:t xml:space="preserve"> </w:t>
      </w:r>
      <w:r w:rsidRPr="00355989">
        <w:rPr>
          <w:rFonts w:ascii="Times New Roman" w:hAnsi="Times New Roman" w:cs="Times New Roman"/>
          <w:sz w:val="20"/>
          <w:szCs w:val="20"/>
        </w:rPr>
        <w:t xml:space="preserve">*sept 24 to sept 28 2021 corresponds to the original bill presentation, dec 17 to dec 21 2021 is the event window when Senator Manchin announced its opposition to the bill, </w:t>
      </w:r>
      <w:proofErr w:type="spellStart"/>
      <w:r w:rsidRPr="00355989">
        <w:rPr>
          <w:rFonts w:ascii="Times New Roman" w:hAnsi="Times New Roman" w:cs="Times New Roman"/>
          <w:sz w:val="20"/>
          <w:szCs w:val="20"/>
        </w:rPr>
        <w:t>jul</w:t>
      </w:r>
      <w:proofErr w:type="spellEnd"/>
      <w:r w:rsidRPr="00355989">
        <w:rPr>
          <w:rFonts w:ascii="Times New Roman" w:hAnsi="Times New Roman" w:cs="Times New Roman"/>
          <w:sz w:val="20"/>
          <w:szCs w:val="20"/>
        </w:rPr>
        <w:t xml:space="preserve"> 26 to </w:t>
      </w:r>
      <w:proofErr w:type="spellStart"/>
      <w:r w:rsidRPr="00355989">
        <w:rPr>
          <w:rFonts w:ascii="Times New Roman" w:hAnsi="Times New Roman" w:cs="Times New Roman"/>
          <w:sz w:val="20"/>
          <w:szCs w:val="20"/>
        </w:rPr>
        <w:t>jul</w:t>
      </w:r>
      <w:proofErr w:type="spellEnd"/>
      <w:r w:rsidRPr="00355989">
        <w:rPr>
          <w:rFonts w:ascii="Times New Roman" w:hAnsi="Times New Roman" w:cs="Times New Roman"/>
          <w:sz w:val="20"/>
          <w:szCs w:val="20"/>
        </w:rPr>
        <w:t xml:space="preserve"> 28 2022 corresponds to the agreement with Senator Manchin, and </w:t>
      </w:r>
      <w:proofErr w:type="spellStart"/>
      <w:r w:rsidRPr="00355989">
        <w:rPr>
          <w:rFonts w:ascii="Times New Roman" w:hAnsi="Times New Roman" w:cs="Times New Roman"/>
          <w:sz w:val="20"/>
          <w:szCs w:val="20"/>
        </w:rPr>
        <w:t>aug</w:t>
      </w:r>
      <w:proofErr w:type="spellEnd"/>
      <w:r w:rsidRPr="00355989">
        <w:rPr>
          <w:rFonts w:ascii="Times New Roman" w:hAnsi="Times New Roman" w:cs="Times New Roman"/>
          <w:sz w:val="20"/>
          <w:szCs w:val="20"/>
        </w:rPr>
        <w:t xml:space="preserve"> 05 to </w:t>
      </w:r>
      <w:proofErr w:type="spellStart"/>
      <w:r w:rsidRPr="00355989">
        <w:rPr>
          <w:rFonts w:ascii="Times New Roman" w:hAnsi="Times New Roman" w:cs="Times New Roman"/>
          <w:sz w:val="20"/>
          <w:szCs w:val="20"/>
        </w:rPr>
        <w:t>aug</w:t>
      </w:r>
      <w:proofErr w:type="spellEnd"/>
      <w:r w:rsidRPr="00355989">
        <w:rPr>
          <w:rFonts w:ascii="Times New Roman" w:hAnsi="Times New Roman" w:cs="Times New Roman"/>
          <w:sz w:val="20"/>
          <w:szCs w:val="20"/>
        </w:rPr>
        <w:t xml:space="preserve"> 09 2022 is the event window of the bill’s approval by Senate.</w:t>
      </w:r>
    </w:p>
    <w:p w14:paraId="016F4279" w14:textId="32BB0D31" w:rsidR="0033713D" w:rsidRPr="0033713D" w:rsidRDefault="00355989" w:rsidP="00355989">
      <w:pPr>
        <w:spacing w:line="240" w:lineRule="auto"/>
        <w:jc w:val="center"/>
        <w:rPr>
          <w:rFonts w:ascii="Times New Roman" w:hAnsi="Times New Roman" w:cs="Times New Roman"/>
          <w:b/>
          <w:bCs/>
          <w:sz w:val="24"/>
          <w:szCs w:val="24"/>
        </w:rPr>
      </w:pPr>
      <w:r w:rsidRPr="00355989">
        <w:rPr>
          <w:rFonts w:ascii="Times New Roman" w:hAnsi="Times New Roman" w:cs="Times New Roman"/>
          <w:sz w:val="20"/>
          <w:szCs w:val="20"/>
        </w:rPr>
        <w:t>Source: Own elaboration with data from Fama &amp; French (2023), and NASDAQ (2024)</w:t>
      </w:r>
      <w:r>
        <w:rPr>
          <w:rFonts w:ascii="Times New Roman" w:hAnsi="Times New Roman" w:cs="Times New Roman"/>
          <w:sz w:val="20"/>
          <w:szCs w:val="20"/>
        </w:rPr>
        <w:t>.</w:t>
      </w:r>
    </w:p>
    <w:p w14:paraId="44E07DF0" w14:textId="77777777" w:rsidR="00355989" w:rsidRDefault="00355989" w:rsidP="0033713D">
      <w:pPr>
        <w:spacing w:line="240" w:lineRule="auto"/>
        <w:jc w:val="center"/>
        <w:rPr>
          <w:noProof/>
        </w:rPr>
      </w:pPr>
      <w:r w:rsidRPr="00355989">
        <w:rPr>
          <w:rFonts w:ascii="Times New Roman" w:hAnsi="Times New Roman" w:cs="Times New Roman"/>
          <w:b/>
          <w:bCs/>
          <w:sz w:val="24"/>
          <w:szCs w:val="24"/>
        </w:rPr>
        <w:t>Graph 6: Scatter plot between daily Market returns and the NASDAQ Clean Energy Edge Index daily returns</w:t>
      </w:r>
    </w:p>
    <w:p w14:paraId="165B1429" w14:textId="77777777" w:rsidR="00355989" w:rsidRDefault="00355989" w:rsidP="00355989">
      <w:pPr>
        <w:spacing w:line="240" w:lineRule="auto"/>
        <w:jc w:val="center"/>
        <w:rPr>
          <w:rFonts w:ascii="Times New Roman" w:hAnsi="Times New Roman" w:cs="Times New Roman"/>
          <w:sz w:val="20"/>
          <w:szCs w:val="20"/>
        </w:rPr>
      </w:pPr>
      <w:r>
        <w:rPr>
          <w:noProof/>
        </w:rPr>
        <w:drawing>
          <wp:inline distT="0" distB="0" distL="0" distR="0" wp14:anchorId="680ADEF4" wp14:editId="3B03D98A">
            <wp:extent cx="4842504" cy="3200400"/>
            <wp:effectExtent l="0" t="0" r="0" b="0"/>
            <wp:docPr id="13192104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504" cy="3200400"/>
                    </a:xfrm>
                    <a:prstGeom prst="rect">
                      <a:avLst/>
                    </a:prstGeom>
                    <a:noFill/>
                    <a:ln>
                      <a:noFill/>
                    </a:ln>
                  </pic:spPr>
                </pic:pic>
              </a:graphicData>
            </a:graphic>
          </wp:inline>
        </w:drawing>
      </w:r>
      <w:r w:rsidR="0033713D">
        <w:rPr>
          <w:rFonts w:ascii="Times New Roman" w:hAnsi="Times New Roman" w:cs="Times New Roman"/>
          <w:sz w:val="24"/>
          <w:szCs w:val="24"/>
        </w:rPr>
        <w:br/>
      </w:r>
      <w:bookmarkStart w:id="1" w:name="_Hlk151061945"/>
      <w:r w:rsidRPr="00355989">
        <w:rPr>
          <w:rFonts w:ascii="Times New Roman" w:hAnsi="Times New Roman" w:cs="Times New Roman"/>
          <w:sz w:val="20"/>
          <w:szCs w:val="20"/>
        </w:rPr>
        <w:t>Source: Own elaboration with data from Fama &amp; French (2023), and NASDAQ (2024)</w:t>
      </w:r>
    </w:p>
    <w:p w14:paraId="0E28A902" w14:textId="1360B8CE" w:rsidR="00EA397A" w:rsidRDefault="00EA397A" w:rsidP="00EA397A">
      <w:pPr>
        <w:spacing w:line="240" w:lineRule="auto"/>
        <w:jc w:val="both"/>
        <w:rPr>
          <w:rFonts w:ascii="Times New Roman" w:hAnsi="Times New Roman" w:cs="Times New Roman"/>
          <w:sz w:val="24"/>
          <w:szCs w:val="24"/>
        </w:rPr>
      </w:pPr>
      <w:r w:rsidRPr="00EA397A">
        <w:rPr>
          <w:rFonts w:ascii="Times New Roman" w:hAnsi="Times New Roman" w:cs="Times New Roman"/>
          <w:sz w:val="24"/>
          <w:szCs w:val="24"/>
        </w:rPr>
        <w:lastRenderedPageBreak/>
        <w:t xml:space="preserve">According to the findings of </w:t>
      </w:r>
      <w:proofErr w:type="spellStart"/>
      <w:r w:rsidRPr="00EA397A">
        <w:rPr>
          <w:rFonts w:ascii="Times New Roman" w:hAnsi="Times New Roman" w:cs="Times New Roman"/>
          <w:sz w:val="24"/>
          <w:szCs w:val="24"/>
        </w:rPr>
        <w:t>Bessec</w:t>
      </w:r>
      <w:proofErr w:type="spellEnd"/>
      <w:r w:rsidRPr="00EA397A">
        <w:rPr>
          <w:rFonts w:ascii="Times New Roman" w:hAnsi="Times New Roman" w:cs="Times New Roman"/>
          <w:sz w:val="24"/>
          <w:szCs w:val="24"/>
        </w:rPr>
        <w:t xml:space="preserve"> and </w:t>
      </w:r>
      <w:proofErr w:type="spellStart"/>
      <w:r w:rsidRPr="00EA397A">
        <w:rPr>
          <w:rFonts w:ascii="Times New Roman" w:hAnsi="Times New Roman" w:cs="Times New Roman"/>
          <w:sz w:val="24"/>
          <w:szCs w:val="24"/>
        </w:rPr>
        <w:t>Fouqau</w:t>
      </w:r>
      <w:proofErr w:type="spellEnd"/>
      <w:r w:rsidRPr="00EA397A">
        <w:rPr>
          <w:rFonts w:ascii="Times New Roman" w:hAnsi="Times New Roman" w:cs="Times New Roman"/>
          <w:sz w:val="24"/>
          <w:szCs w:val="24"/>
        </w:rPr>
        <w:t xml:space="preserve"> (2024) and Ardia et al.(2022), polluting or “brown companies” shares tend to be more sensitive to news and information related to the environment. To evaluate if this is the case also for the IRA’s approval, I evaluate the impact of the events on the Dow Jones U.S. Oil &amp; Gas Index. Results are presented in Table 6. Surprisingly the oil and gas industries experienced positive abnormal returns of 2.3% during the announcement of the original bill. This result is robust to the 5-day window check (See Tables 9 and 6A).</w:t>
      </w:r>
    </w:p>
    <w:p w14:paraId="3A009DBB" w14:textId="26A58968" w:rsidR="00EA397A" w:rsidRDefault="00EA397A" w:rsidP="00EA397A">
      <w:pPr>
        <w:spacing w:line="240" w:lineRule="auto"/>
        <w:jc w:val="both"/>
        <w:rPr>
          <w:rFonts w:ascii="Times New Roman" w:hAnsi="Times New Roman" w:cs="Times New Roman"/>
          <w:sz w:val="24"/>
          <w:szCs w:val="24"/>
        </w:rPr>
      </w:pPr>
      <w:r w:rsidRPr="00EA397A">
        <w:rPr>
          <w:rFonts w:ascii="Times New Roman" w:hAnsi="Times New Roman" w:cs="Times New Roman"/>
          <w:sz w:val="24"/>
          <w:szCs w:val="24"/>
        </w:rPr>
        <w:t>One possible explanation for this unexpected finding is the presence of a carbon removal tax break in the bill, which might have been interpreted by the market as an opportunity for oil and gas companies to compensate for their CO2 emissions without affecting their core business. Another possibility is simply that the market expected tougher measures against the gas and oil industries, and that the actual content of the bill was softer than expected. In any case, it is important to remark that the content of the bill originally presented experienced important changes before the final approval. Graph 7 presents the scatter plot between market returns and the Dow Jones U.S. Oil &amp; Gas Index.</w:t>
      </w:r>
    </w:p>
    <w:p w14:paraId="0E70147C" w14:textId="22E5B107" w:rsidR="00EA397A" w:rsidRDefault="00EA397A" w:rsidP="00EA397A">
      <w:pPr>
        <w:spacing w:line="240" w:lineRule="auto"/>
        <w:jc w:val="both"/>
        <w:rPr>
          <w:rFonts w:ascii="Times New Roman" w:hAnsi="Times New Roman" w:cs="Times New Roman"/>
          <w:sz w:val="24"/>
          <w:szCs w:val="24"/>
        </w:rPr>
      </w:pPr>
      <w:r w:rsidRPr="00EA397A">
        <w:rPr>
          <w:rFonts w:ascii="Times New Roman" w:hAnsi="Times New Roman" w:cs="Times New Roman"/>
          <w:sz w:val="24"/>
          <w:szCs w:val="24"/>
        </w:rPr>
        <w:t xml:space="preserve">Table 6 also reveals the existence of a positive abnormal return of 1.72% </w:t>
      </w:r>
      <w:proofErr w:type="spellStart"/>
      <w:r w:rsidRPr="00EA397A">
        <w:rPr>
          <w:rFonts w:ascii="Times New Roman" w:hAnsi="Times New Roman" w:cs="Times New Roman"/>
          <w:sz w:val="24"/>
          <w:szCs w:val="24"/>
        </w:rPr>
        <w:t>arownd</w:t>
      </w:r>
      <w:proofErr w:type="spellEnd"/>
      <w:r w:rsidRPr="00EA397A">
        <w:rPr>
          <w:rFonts w:ascii="Times New Roman" w:hAnsi="Times New Roman" w:cs="Times New Roman"/>
          <w:sz w:val="24"/>
          <w:szCs w:val="24"/>
        </w:rPr>
        <w:t xml:space="preserve"> the final bill approval for the Dow Jones U.S. Oil &amp; Gas Index. However, as seen in tables 9 and 6A, this result is not robust to the 5-days window check.</w:t>
      </w:r>
    </w:p>
    <w:p w14:paraId="70197C24" w14:textId="77777777" w:rsidR="00EA397A" w:rsidRDefault="00EA397A" w:rsidP="00EA397A">
      <w:pPr>
        <w:spacing w:line="240" w:lineRule="auto"/>
        <w:jc w:val="both"/>
        <w:rPr>
          <w:rFonts w:ascii="Times New Roman" w:hAnsi="Times New Roman" w:cs="Times New Roman"/>
          <w:sz w:val="24"/>
          <w:szCs w:val="24"/>
        </w:rPr>
      </w:pPr>
    </w:p>
    <w:p w14:paraId="21887762" w14:textId="2B4F621D" w:rsidR="00EA397A" w:rsidRDefault="00EA397A" w:rsidP="00EA397A">
      <w:pPr>
        <w:spacing w:line="240" w:lineRule="auto"/>
        <w:jc w:val="center"/>
        <w:rPr>
          <w:rFonts w:ascii="Times New Roman" w:hAnsi="Times New Roman" w:cs="Times New Roman"/>
          <w:b/>
          <w:bCs/>
          <w:sz w:val="24"/>
          <w:szCs w:val="24"/>
        </w:rPr>
      </w:pPr>
      <w:r w:rsidRPr="00EA397A">
        <w:rPr>
          <w:rFonts w:ascii="Times New Roman" w:hAnsi="Times New Roman" w:cs="Times New Roman"/>
          <w:b/>
          <w:bCs/>
          <w:sz w:val="24"/>
          <w:szCs w:val="24"/>
        </w:rPr>
        <w:t>Table 6: OLS estimation of equation 2 with 3-day window for daily Dow Jones U.S. Oil &amp; Gas Index abnormal returns between January first 2018 and December 30 2022</w:t>
      </w:r>
    </w:p>
    <w:p w14:paraId="7F8A1FFE" w14:textId="3443419E" w:rsidR="00EA397A" w:rsidRPr="00EA397A" w:rsidRDefault="00EA397A" w:rsidP="00EA397A">
      <w:pPr>
        <w:spacing w:line="240" w:lineRule="auto"/>
        <w:jc w:val="center"/>
        <w:rPr>
          <w:rFonts w:ascii="Times New Roman" w:hAnsi="Times New Roman" w:cs="Times New Roman"/>
          <w:b/>
          <w:bCs/>
          <w:sz w:val="24"/>
          <w:szCs w:val="24"/>
        </w:rPr>
      </w:pPr>
      <w:r>
        <w:rPr>
          <w:noProof/>
        </w:rPr>
        <w:drawing>
          <wp:inline distT="0" distB="0" distL="0" distR="0" wp14:anchorId="2E6A15C2" wp14:editId="645F8475">
            <wp:extent cx="5943600" cy="2051050"/>
            <wp:effectExtent l="0" t="0" r="0" b="6350"/>
            <wp:docPr id="13410792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79215" name="Picture 1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51050"/>
                    </a:xfrm>
                    <a:prstGeom prst="rect">
                      <a:avLst/>
                    </a:prstGeom>
                    <a:noFill/>
                    <a:ln>
                      <a:noFill/>
                    </a:ln>
                  </pic:spPr>
                </pic:pic>
              </a:graphicData>
            </a:graphic>
          </wp:inline>
        </w:drawing>
      </w:r>
    </w:p>
    <w:p w14:paraId="661364A1" w14:textId="4A5B10A4" w:rsidR="00EA397A" w:rsidRDefault="00EA397A" w:rsidP="00EA397A">
      <w:pPr>
        <w:spacing w:line="240" w:lineRule="auto"/>
        <w:jc w:val="center"/>
        <w:rPr>
          <w:rFonts w:ascii="Times New Roman" w:hAnsi="Times New Roman" w:cs="Times New Roman"/>
          <w:sz w:val="20"/>
          <w:szCs w:val="20"/>
        </w:rPr>
      </w:pPr>
      <w:r w:rsidRPr="00EA397A">
        <w:rPr>
          <w:rFonts w:ascii="Times New Roman" w:hAnsi="Times New Roman" w:cs="Times New Roman"/>
          <w:sz w:val="20"/>
          <w:szCs w:val="20"/>
        </w:rPr>
        <w:t xml:space="preserve">*sept 24 to sept 28 2021 corresponds to the original bill presentation, dec 17 to dec 21 2021 is the event window when Senator Manchin announced its opposition to the bill, </w:t>
      </w:r>
      <w:proofErr w:type="spellStart"/>
      <w:r w:rsidRPr="00EA397A">
        <w:rPr>
          <w:rFonts w:ascii="Times New Roman" w:hAnsi="Times New Roman" w:cs="Times New Roman"/>
          <w:sz w:val="20"/>
          <w:szCs w:val="20"/>
        </w:rPr>
        <w:t>jul</w:t>
      </w:r>
      <w:proofErr w:type="spellEnd"/>
      <w:r w:rsidRPr="00EA397A">
        <w:rPr>
          <w:rFonts w:ascii="Times New Roman" w:hAnsi="Times New Roman" w:cs="Times New Roman"/>
          <w:sz w:val="20"/>
          <w:szCs w:val="20"/>
        </w:rPr>
        <w:t xml:space="preserve"> 26 to </w:t>
      </w:r>
      <w:proofErr w:type="spellStart"/>
      <w:r w:rsidRPr="00EA397A">
        <w:rPr>
          <w:rFonts w:ascii="Times New Roman" w:hAnsi="Times New Roman" w:cs="Times New Roman"/>
          <w:sz w:val="20"/>
          <w:szCs w:val="20"/>
        </w:rPr>
        <w:t>jul</w:t>
      </w:r>
      <w:proofErr w:type="spellEnd"/>
      <w:r w:rsidRPr="00EA397A">
        <w:rPr>
          <w:rFonts w:ascii="Times New Roman" w:hAnsi="Times New Roman" w:cs="Times New Roman"/>
          <w:sz w:val="20"/>
          <w:szCs w:val="20"/>
        </w:rPr>
        <w:t xml:space="preserve"> 28 2022 corresponds to the agreement with Senator Manchin, and </w:t>
      </w:r>
      <w:proofErr w:type="spellStart"/>
      <w:r w:rsidRPr="00EA397A">
        <w:rPr>
          <w:rFonts w:ascii="Times New Roman" w:hAnsi="Times New Roman" w:cs="Times New Roman"/>
          <w:sz w:val="20"/>
          <w:szCs w:val="20"/>
        </w:rPr>
        <w:t>aug</w:t>
      </w:r>
      <w:proofErr w:type="spellEnd"/>
      <w:r w:rsidRPr="00EA397A">
        <w:rPr>
          <w:rFonts w:ascii="Times New Roman" w:hAnsi="Times New Roman" w:cs="Times New Roman"/>
          <w:sz w:val="20"/>
          <w:szCs w:val="20"/>
        </w:rPr>
        <w:t xml:space="preserve"> 05 to </w:t>
      </w:r>
      <w:proofErr w:type="spellStart"/>
      <w:r w:rsidRPr="00EA397A">
        <w:rPr>
          <w:rFonts w:ascii="Times New Roman" w:hAnsi="Times New Roman" w:cs="Times New Roman"/>
          <w:sz w:val="20"/>
          <w:szCs w:val="20"/>
        </w:rPr>
        <w:t>aug</w:t>
      </w:r>
      <w:proofErr w:type="spellEnd"/>
      <w:r w:rsidRPr="00EA397A">
        <w:rPr>
          <w:rFonts w:ascii="Times New Roman" w:hAnsi="Times New Roman" w:cs="Times New Roman"/>
          <w:sz w:val="20"/>
          <w:szCs w:val="20"/>
        </w:rPr>
        <w:t xml:space="preserve"> 09 2022 is the event window of the bill’s approval by Senate.</w:t>
      </w:r>
    </w:p>
    <w:p w14:paraId="127EB196" w14:textId="638E04DF" w:rsidR="00EA397A" w:rsidRDefault="00EA397A" w:rsidP="00EA397A">
      <w:pPr>
        <w:spacing w:line="240" w:lineRule="auto"/>
        <w:jc w:val="center"/>
        <w:rPr>
          <w:rFonts w:ascii="Times New Roman" w:hAnsi="Times New Roman" w:cs="Times New Roman"/>
          <w:sz w:val="20"/>
          <w:szCs w:val="20"/>
        </w:rPr>
      </w:pPr>
      <w:r w:rsidRPr="00EA397A">
        <w:rPr>
          <w:rFonts w:ascii="Times New Roman" w:hAnsi="Times New Roman" w:cs="Times New Roman"/>
          <w:sz w:val="20"/>
          <w:szCs w:val="20"/>
        </w:rPr>
        <w:t>Source: Own elaboration with data from Fama &amp; French (2023), and S&amp;P Global (2024c)</w:t>
      </w:r>
      <w:r>
        <w:rPr>
          <w:rFonts w:ascii="Times New Roman" w:hAnsi="Times New Roman" w:cs="Times New Roman"/>
          <w:sz w:val="20"/>
          <w:szCs w:val="20"/>
        </w:rPr>
        <w:t>.</w:t>
      </w:r>
    </w:p>
    <w:p w14:paraId="07F1D9AD" w14:textId="77777777" w:rsidR="00EA397A" w:rsidRDefault="00EA397A" w:rsidP="00EA397A">
      <w:pPr>
        <w:spacing w:line="240" w:lineRule="auto"/>
        <w:jc w:val="center"/>
        <w:rPr>
          <w:rFonts w:ascii="Times New Roman" w:hAnsi="Times New Roman" w:cs="Times New Roman"/>
          <w:sz w:val="20"/>
          <w:szCs w:val="20"/>
        </w:rPr>
      </w:pPr>
    </w:p>
    <w:p w14:paraId="0417B478" w14:textId="77777777" w:rsidR="00EA397A" w:rsidRDefault="00EA397A" w:rsidP="00EA397A">
      <w:pPr>
        <w:spacing w:line="240" w:lineRule="auto"/>
        <w:jc w:val="center"/>
        <w:rPr>
          <w:rFonts w:ascii="Times New Roman" w:hAnsi="Times New Roman" w:cs="Times New Roman"/>
          <w:sz w:val="20"/>
          <w:szCs w:val="20"/>
        </w:rPr>
      </w:pPr>
    </w:p>
    <w:p w14:paraId="07223A88" w14:textId="77777777" w:rsidR="00EA397A" w:rsidRDefault="00EA397A" w:rsidP="00EA397A">
      <w:pPr>
        <w:spacing w:line="240" w:lineRule="auto"/>
        <w:jc w:val="center"/>
        <w:rPr>
          <w:rFonts w:ascii="Times New Roman" w:hAnsi="Times New Roman" w:cs="Times New Roman"/>
          <w:sz w:val="20"/>
          <w:szCs w:val="20"/>
        </w:rPr>
      </w:pPr>
    </w:p>
    <w:p w14:paraId="049D151D" w14:textId="77777777" w:rsidR="00EA397A" w:rsidRDefault="00EA397A" w:rsidP="00EA397A">
      <w:pPr>
        <w:spacing w:line="240" w:lineRule="auto"/>
        <w:jc w:val="center"/>
        <w:rPr>
          <w:rFonts w:ascii="Times New Roman" w:hAnsi="Times New Roman" w:cs="Times New Roman"/>
          <w:sz w:val="20"/>
          <w:szCs w:val="20"/>
        </w:rPr>
      </w:pPr>
    </w:p>
    <w:p w14:paraId="5C40CA0F" w14:textId="6BC508A2" w:rsidR="00EA397A" w:rsidRPr="00EA397A" w:rsidRDefault="00EA397A" w:rsidP="00EA397A">
      <w:pPr>
        <w:spacing w:line="240" w:lineRule="auto"/>
        <w:jc w:val="center"/>
        <w:rPr>
          <w:rFonts w:ascii="Times New Roman" w:hAnsi="Times New Roman" w:cs="Times New Roman"/>
          <w:b/>
          <w:bCs/>
          <w:sz w:val="24"/>
          <w:szCs w:val="24"/>
        </w:rPr>
      </w:pPr>
      <w:r w:rsidRPr="00EA397A">
        <w:rPr>
          <w:rFonts w:ascii="Times New Roman" w:hAnsi="Times New Roman" w:cs="Times New Roman"/>
          <w:b/>
          <w:bCs/>
          <w:sz w:val="24"/>
          <w:szCs w:val="24"/>
        </w:rPr>
        <w:lastRenderedPageBreak/>
        <w:t>Graph 7: Scatter plot between daily Market returns and the Dow Jones U.S. Oil &amp; Gas Index daily returns</w:t>
      </w:r>
    </w:p>
    <w:p w14:paraId="3FE23167" w14:textId="349FD28E" w:rsidR="00EA397A" w:rsidRDefault="00EA397A" w:rsidP="00EA397A">
      <w:pPr>
        <w:spacing w:line="240" w:lineRule="auto"/>
        <w:jc w:val="center"/>
        <w:rPr>
          <w:rFonts w:ascii="Times New Roman" w:hAnsi="Times New Roman" w:cs="Times New Roman"/>
          <w:sz w:val="20"/>
          <w:szCs w:val="20"/>
        </w:rPr>
      </w:pPr>
      <w:r>
        <w:rPr>
          <w:noProof/>
        </w:rPr>
        <w:drawing>
          <wp:inline distT="0" distB="0" distL="0" distR="0" wp14:anchorId="160FC78D" wp14:editId="12E8ABAD">
            <wp:extent cx="4645570" cy="3108960"/>
            <wp:effectExtent l="0" t="0" r="3175" b="0"/>
            <wp:docPr id="116136466" name="Picture 16" descr="A graph showing a line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6466" name="Picture 16" descr="A graph showing a line with dot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5570" cy="3108960"/>
                    </a:xfrm>
                    <a:prstGeom prst="rect">
                      <a:avLst/>
                    </a:prstGeom>
                    <a:noFill/>
                    <a:ln>
                      <a:noFill/>
                    </a:ln>
                  </pic:spPr>
                </pic:pic>
              </a:graphicData>
            </a:graphic>
          </wp:inline>
        </w:drawing>
      </w:r>
    </w:p>
    <w:p w14:paraId="347FAFFD" w14:textId="04D006C1" w:rsidR="00EA397A" w:rsidRDefault="00EA397A" w:rsidP="00EA397A">
      <w:pPr>
        <w:spacing w:line="240" w:lineRule="auto"/>
        <w:jc w:val="center"/>
        <w:rPr>
          <w:rFonts w:ascii="Times New Roman" w:hAnsi="Times New Roman" w:cs="Times New Roman"/>
          <w:sz w:val="20"/>
          <w:szCs w:val="20"/>
        </w:rPr>
      </w:pPr>
      <w:r w:rsidRPr="00EA397A">
        <w:rPr>
          <w:rFonts w:ascii="Times New Roman" w:hAnsi="Times New Roman" w:cs="Times New Roman"/>
          <w:sz w:val="20"/>
          <w:szCs w:val="20"/>
        </w:rPr>
        <w:t>Source: Own elaboration with data from Fama &amp; French (2023), and S&amp;P Global. (2024c)</w:t>
      </w:r>
    </w:p>
    <w:p w14:paraId="578C34D6" w14:textId="6D15DD49" w:rsidR="00EA397A" w:rsidRDefault="00EA397A" w:rsidP="00EA397A">
      <w:pPr>
        <w:spacing w:line="240" w:lineRule="auto"/>
        <w:jc w:val="both"/>
        <w:rPr>
          <w:rFonts w:ascii="Times New Roman" w:hAnsi="Times New Roman" w:cs="Times New Roman"/>
          <w:sz w:val="20"/>
          <w:szCs w:val="20"/>
        </w:rPr>
      </w:pPr>
      <w:r w:rsidRPr="00EA397A">
        <w:rPr>
          <w:rFonts w:ascii="Times New Roman" w:hAnsi="Times New Roman" w:cs="Times New Roman"/>
          <w:sz w:val="20"/>
          <w:szCs w:val="20"/>
        </w:rPr>
        <w:t>In the case of the automotive industry represented by the S&amp;P 500 Automobiles Industry Group Index, the results of the estimation of equation 2 are presented in Table 7. The dummy for the presentation of the bill has a significant and positive coefficient indicating abnormal returns of 2.1% approximately. This result is significant on the 5-day window robustness check as seen in Tables 9 and 7A. Therefore it is possible to conclude that the original bill presentation impacted positively the returns of the automobile industry. Graph 8 shows the scatter plot between the S&amp;P 500 Automobiles Industry Group index returns and market returns.</w:t>
      </w:r>
    </w:p>
    <w:p w14:paraId="28A9E914" w14:textId="77777777" w:rsidR="00EA397A" w:rsidRDefault="00EA397A" w:rsidP="00EA397A">
      <w:pPr>
        <w:spacing w:line="240" w:lineRule="auto"/>
        <w:jc w:val="both"/>
        <w:rPr>
          <w:rFonts w:ascii="Times New Roman" w:hAnsi="Times New Roman" w:cs="Times New Roman"/>
          <w:sz w:val="20"/>
          <w:szCs w:val="20"/>
        </w:rPr>
      </w:pPr>
    </w:p>
    <w:p w14:paraId="7D8CF976" w14:textId="4E8F875B" w:rsidR="00EA397A" w:rsidRDefault="00EA397A" w:rsidP="00EA397A">
      <w:pPr>
        <w:spacing w:line="240" w:lineRule="auto"/>
        <w:jc w:val="center"/>
        <w:rPr>
          <w:rFonts w:ascii="Times New Roman" w:hAnsi="Times New Roman" w:cs="Times New Roman"/>
          <w:b/>
          <w:bCs/>
          <w:sz w:val="24"/>
          <w:szCs w:val="24"/>
        </w:rPr>
      </w:pPr>
      <w:r w:rsidRPr="00EA397A">
        <w:rPr>
          <w:rFonts w:ascii="Times New Roman" w:hAnsi="Times New Roman" w:cs="Times New Roman"/>
          <w:b/>
          <w:bCs/>
          <w:sz w:val="24"/>
          <w:szCs w:val="24"/>
        </w:rPr>
        <w:t>Table 7: OLS estimation of equation 2 with 3-day window for daily S&amp;P 500 Automobiles Industry Index abnormal returns between January first 2018 and December 30 2022</w:t>
      </w:r>
    </w:p>
    <w:p w14:paraId="439CB275" w14:textId="70ED1AF9" w:rsidR="00EA397A" w:rsidRPr="00EA397A" w:rsidRDefault="00EA397A" w:rsidP="00EA397A">
      <w:pPr>
        <w:spacing w:line="240" w:lineRule="auto"/>
        <w:jc w:val="center"/>
        <w:rPr>
          <w:rFonts w:ascii="Times New Roman" w:hAnsi="Times New Roman" w:cs="Times New Roman"/>
          <w:b/>
          <w:bCs/>
          <w:sz w:val="24"/>
          <w:szCs w:val="24"/>
        </w:rPr>
      </w:pPr>
      <w:r>
        <w:rPr>
          <w:noProof/>
        </w:rPr>
        <w:drawing>
          <wp:inline distT="0" distB="0" distL="0" distR="0" wp14:anchorId="51C04276" wp14:editId="16052C89">
            <wp:extent cx="5275690" cy="1850437"/>
            <wp:effectExtent l="0" t="0" r="1270" b="0"/>
            <wp:docPr id="2022917344" name="Picture 17"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17344" name="Picture 17" descr="A number of numbers on a white backgroun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6857" cy="1875399"/>
                    </a:xfrm>
                    <a:prstGeom prst="rect">
                      <a:avLst/>
                    </a:prstGeom>
                    <a:noFill/>
                    <a:ln>
                      <a:noFill/>
                    </a:ln>
                  </pic:spPr>
                </pic:pic>
              </a:graphicData>
            </a:graphic>
          </wp:inline>
        </w:drawing>
      </w:r>
    </w:p>
    <w:p w14:paraId="345BAFEF" w14:textId="66A28BED" w:rsidR="00EA397A" w:rsidRDefault="00EA397A" w:rsidP="00EA397A">
      <w:pPr>
        <w:spacing w:line="240" w:lineRule="auto"/>
        <w:jc w:val="center"/>
        <w:rPr>
          <w:rFonts w:ascii="Times New Roman" w:hAnsi="Times New Roman" w:cs="Times New Roman"/>
          <w:sz w:val="20"/>
          <w:szCs w:val="20"/>
        </w:rPr>
      </w:pPr>
      <w:r w:rsidRPr="00EA397A">
        <w:rPr>
          <w:rFonts w:ascii="Times New Roman" w:hAnsi="Times New Roman" w:cs="Times New Roman"/>
          <w:sz w:val="20"/>
          <w:szCs w:val="20"/>
        </w:rPr>
        <w:t xml:space="preserve">*sept 24 to sept 28 2021 corresponds to the original bill presentation, dec 17 to dec 21 2021 is the event window when Senator Manchin announced its opposition to the bill, </w:t>
      </w:r>
      <w:proofErr w:type="spellStart"/>
      <w:r w:rsidRPr="00EA397A">
        <w:rPr>
          <w:rFonts w:ascii="Times New Roman" w:hAnsi="Times New Roman" w:cs="Times New Roman"/>
          <w:sz w:val="20"/>
          <w:szCs w:val="20"/>
        </w:rPr>
        <w:t>jul</w:t>
      </w:r>
      <w:proofErr w:type="spellEnd"/>
      <w:r w:rsidRPr="00EA397A">
        <w:rPr>
          <w:rFonts w:ascii="Times New Roman" w:hAnsi="Times New Roman" w:cs="Times New Roman"/>
          <w:sz w:val="20"/>
          <w:szCs w:val="20"/>
        </w:rPr>
        <w:t xml:space="preserve"> 26 to </w:t>
      </w:r>
      <w:proofErr w:type="spellStart"/>
      <w:r w:rsidRPr="00EA397A">
        <w:rPr>
          <w:rFonts w:ascii="Times New Roman" w:hAnsi="Times New Roman" w:cs="Times New Roman"/>
          <w:sz w:val="20"/>
          <w:szCs w:val="20"/>
        </w:rPr>
        <w:t>jul</w:t>
      </w:r>
      <w:proofErr w:type="spellEnd"/>
      <w:r w:rsidRPr="00EA397A">
        <w:rPr>
          <w:rFonts w:ascii="Times New Roman" w:hAnsi="Times New Roman" w:cs="Times New Roman"/>
          <w:sz w:val="20"/>
          <w:szCs w:val="20"/>
        </w:rPr>
        <w:t xml:space="preserve"> 28 2022 corresponds to the agreement with</w:t>
      </w:r>
      <w:r>
        <w:rPr>
          <w:rFonts w:ascii="Times New Roman" w:hAnsi="Times New Roman" w:cs="Times New Roman"/>
          <w:sz w:val="20"/>
          <w:szCs w:val="20"/>
        </w:rPr>
        <w:t xml:space="preserve"> </w:t>
      </w:r>
      <w:r w:rsidRPr="00EA397A">
        <w:rPr>
          <w:rFonts w:ascii="Times New Roman" w:hAnsi="Times New Roman" w:cs="Times New Roman"/>
          <w:sz w:val="20"/>
          <w:szCs w:val="20"/>
        </w:rPr>
        <w:t xml:space="preserve">Senator Manchin, and </w:t>
      </w:r>
      <w:proofErr w:type="spellStart"/>
      <w:r w:rsidRPr="00EA397A">
        <w:rPr>
          <w:rFonts w:ascii="Times New Roman" w:hAnsi="Times New Roman" w:cs="Times New Roman"/>
          <w:sz w:val="20"/>
          <w:szCs w:val="20"/>
        </w:rPr>
        <w:t>aug</w:t>
      </w:r>
      <w:proofErr w:type="spellEnd"/>
      <w:r w:rsidRPr="00EA397A">
        <w:rPr>
          <w:rFonts w:ascii="Times New Roman" w:hAnsi="Times New Roman" w:cs="Times New Roman"/>
          <w:sz w:val="20"/>
          <w:szCs w:val="20"/>
        </w:rPr>
        <w:t xml:space="preserve"> 05 to </w:t>
      </w:r>
      <w:proofErr w:type="spellStart"/>
      <w:r w:rsidRPr="00EA397A">
        <w:rPr>
          <w:rFonts w:ascii="Times New Roman" w:hAnsi="Times New Roman" w:cs="Times New Roman"/>
          <w:sz w:val="20"/>
          <w:szCs w:val="20"/>
        </w:rPr>
        <w:t>aug</w:t>
      </w:r>
      <w:proofErr w:type="spellEnd"/>
      <w:r w:rsidRPr="00EA397A">
        <w:rPr>
          <w:rFonts w:ascii="Times New Roman" w:hAnsi="Times New Roman" w:cs="Times New Roman"/>
          <w:sz w:val="20"/>
          <w:szCs w:val="20"/>
        </w:rPr>
        <w:t xml:space="preserve"> 09 2022 is the event window of the bill’s approval by Senate.</w:t>
      </w:r>
    </w:p>
    <w:p w14:paraId="29DBF9C1" w14:textId="44BF88EC" w:rsidR="00EA397A" w:rsidRDefault="00EA397A" w:rsidP="00EA397A">
      <w:pPr>
        <w:spacing w:line="240" w:lineRule="auto"/>
        <w:jc w:val="center"/>
        <w:rPr>
          <w:rFonts w:ascii="Times New Roman" w:hAnsi="Times New Roman" w:cs="Times New Roman"/>
          <w:sz w:val="20"/>
          <w:szCs w:val="20"/>
        </w:rPr>
      </w:pPr>
      <w:r w:rsidRPr="00EA397A">
        <w:rPr>
          <w:rFonts w:ascii="Times New Roman" w:hAnsi="Times New Roman" w:cs="Times New Roman"/>
          <w:sz w:val="20"/>
          <w:szCs w:val="20"/>
        </w:rPr>
        <w:t>Source: Own elaboration with data from Fama &amp; French (2023), and SP500-251020, (2023)</w:t>
      </w:r>
    </w:p>
    <w:p w14:paraId="3CCFE2A2" w14:textId="41FBD867" w:rsidR="00EA397A" w:rsidRDefault="00EA397A" w:rsidP="00E94DF2">
      <w:pPr>
        <w:spacing w:line="240" w:lineRule="auto"/>
        <w:jc w:val="center"/>
        <w:rPr>
          <w:rFonts w:ascii="Times New Roman" w:hAnsi="Times New Roman" w:cs="Times New Roman"/>
          <w:sz w:val="24"/>
          <w:szCs w:val="24"/>
        </w:rPr>
      </w:pPr>
      <w:r w:rsidRPr="00EA397A">
        <w:rPr>
          <w:rFonts w:ascii="Times New Roman" w:hAnsi="Times New Roman" w:cs="Times New Roman"/>
          <w:b/>
          <w:bCs/>
          <w:sz w:val="24"/>
          <w:szCs w:val="24"/>
        </w:rPr>
        <w:lastRenderedPageBreak/>
        <w:t>Graph 8: Scatter plot between daily Market returns and the S&amp;P 500 Automobiles Industry Group Index daily returns</w:t>
      </w:r>
    </w:p>
    <w:p w14:paraId="5613DD6D" w14:textId="3CF07B8F" w:rsidR="00EA397A" w:rsidRDefault="00EA397A" w:rsidP="00EA397A">
      <w:pPr>
        <w:spacing w:line="240" w:lineRule="auto"/>
        <w:jc w:val="center"/>
        <w:rPr>
          <w:rFonts w:ascii="Times New Roman" w:hAnsi="Times New Roman" w:cs="Times New Roman"/>
          <w:sz w:val="24"/>
          <w:szCs w:val="24"/>
        </w:rPr>
      </w:pPr>
      <w:r>
        <w:rPr>
          <w:noProof/>
        </w:rPr>
        <w:drawing>
          <wp:inline distT="0" distB="0" distL="0" distR="0" wp14:anchorId="58388418" wp14:editId="2B847BC7">
            <wp:extent cx="4851134" cy="3200400"/>
            <wp:effectExtent l="0" t="0" r="6985" b="0"/>
            <wp:docPr id="1857637509" name="Picture 18" descr="A graph showing a line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37509" name="Picture 18" descr="A graph showing a line with blue and orange dot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1134" cy="3200400"/>
                    </a:xfrm>
                    <a:prstGeom prst="rect">
                      <a:avLst/>
                    </a:prstGeom>
                    <a:noFill/>
                    <a:ln>
                      <a:noFill/>
                    </a:ln>
                  </pic:spPr>
                </pic:pic>
              </a:graphicData>
            </a:graphic>
          </wp:inline>
        </w:drawing>
      </w:r>
    </w:p>
    <w:p w14:paraId="583B8A66" w14:textId="67B01F45" w:rsidR="00EA397A" w:rsidRDefault="00EA397A" w:rsidP="00EA397A">
      <w:pPr>
        <w:spacing w:line="240" w:lineRule="auto"/>
        <w:jc w:val="center"/>
        <w:rPr>
          <w:rFonts w:ascii="Times New Roman" w:hAnsi="Times New Roman" w:cs="Times New Roman"/>
          <w:sz w:val="20"/>
          <w:szCs w:val="20"/>
        </w:rPr>
      </w:pPr>
      <w:r w:rsidRPr="00EA397A">
        <w:rPr>
          <w:rFonts w:ascii="Times New Roman" w:hAnsi="Times New Roman" w:cs="Times New Roman"/>
          <w:sz w:val="20"/>
          <w:szCs w:val="20"/>
        </w:rPr>
        <w:t>Source: Own elaboration with data from Fama &amp; French (2023) and SP500-251020, (2023)</w:t>
      </w:r>
    </w:p>
    <w:p w14:paraId="7BEE725D" w14:textId="44463FE6" w:rsidR="00EA397A" w:rsidRDefault="00EA397A" w:rsidP="00EA397A">
      <w:pPr>
        <w:spacing w:line="240" w:lineRule="auto"/>
        <w:jc w:val="both"/>
        <w:rPr>
          <w:rFonts w:ascii="Times New Roman" w:hAnsi="Times New Roman" w:cs="Times New Roman"/>
          <w:sz w:val="24"/>
          <w:szCs w:val="24"/>
        </w:rPr>
      </w:pPr>
      <w:r w:rsidRPr="00EA397A">
        <w:rPr>
          <w:rFonts w:ascii="Times New Roman" w:hAnsi="Times New Roman" w:cs="Times New Roman"/>
          <w:sz w:val="24"/>
          <w:szCs w:val="24"/>
        </w:rPr>
        <w:t xml:space="preserve">Arguably, the impact of the IRA on the automotive industry as a whole might be mixed, with leading companies in the electric vehicle space benefiting and the companies that depend on combustion models experiencing a negative impact. To understand the impact specifically in the electric vehicle segment, I evaluate the S&amp;P </w:t>
      </w:r>
      <w:proofErr w:type="spellStart"/>
      <w:r w:rsidRPr="00EA397A">
        <w:rPr>
          <w:rFonts w:ascii="Times New Roman" w:hAnsi="Times New Roman" w:cs="Times New Roman"/>
          <w:sz w:val="24"/>
          <w:szCs w:val="24"/>
        </w:rPr>
        <w:t>Kensho</w:t>
      </w:r>
      <w:proofErr w:type="spellEnd"/>
      <w:r w:rsidRPr="00EA397A">
        <w:rPr>
          <w:rFonts w:ascii="Times New Roman" w:hAnsi="Times New Roman" w:cs="Times New Roman"/>
          <w:sz w:val="24"/>
          <w:szCs w:val="24"/>
        </w:rPr>
        <w:t xml:space="preserve"> Electric Vehicles Index which contains 44 U.S.-listed companies directly linked to the production of electric vehicles and their infrastructure. Results of the estimations for the S&amp;P </w:t>
      </w:r>
      <w:proofErr w:type="spellStart"/>
      <w:r w:rsidRPr="00EA397A">
        <w:rPr>
          <w:rFonts w:ascii="Times New Roman" w:hAnsi="Times New Roman" w:cs="Times New Roman"/>
          <w:sz w:val="24"/>
          <w:szCs w:val="24"/>
        </w:rPr>
        <w:t>Kensho</w:t>
      </w:r>
      <w:proofErr w:type="spellEnd"/>
      <w:r w:rsidRPr="00EA397A">
        <w:rPr>
          <w:rFonts w:ascii="Times New Roman" w:hAnsi="Times New Roman" w:cs="Times New Roman"/>
          <w:sz w:val="24"/>
          <w:szCs w:val="24"/>
        </w:rPr>
        <w:t xml:space="preserve"> Electric Vehicles Index are presented in Table 8. Results do not indicate evidence of significant abnormal returns around the events. These results hold on the robustness check presented in Tables 9 and 8A.</w:t>
      </w:r>
    </w:p>
    <w:p w14:paraId="01034274" w14:textId="77777777" w:rsidR="00EA397A" w:rsidRDefault="00EA397A" w:rsidP="00EA397A">
      <w:pPr>
        <w:spacing w:line="240" w:lineRule="auto"/>
        <w:jc w:val="both"/>
        <w:rPr>
          <w:rFonts w:ascii="Times New Roman" w:hAnsi="Times New Roman" w:cs="Times New Roman"/>
          <w:sz w:val="24"/>
          <w:szCs w:val="24"/>
        </w:rPr>
      </w:pPr>
    </w:p>
    <w:p w14:paraId="0919F0A3" w14:textId="77777777" w:rsidR="00E94DF2" w:rsidRDefault="00E94DF2" w:rsidP="00EA397A">
      <w:pPr>
        <w:spacing w:line="240" w:lineRule="auto"/>
        <w:jc w:val="both"/>
        <w:rPr>
          <w:rFonts w:ascii="Times New Roman" w:hAnsi="Times New Roman" w:cs="Times New Roman"/>
          <w:sz w:val="24"/>
          <w:szCs w:val="24"/>
        </w:rPr>
      </w:pPr>
    </w:p>
    <w:p w14:paraId="56F9DC13" w14:textId="77777777" w:rsidR="00E94DF2" w:rsidRDefault="00E94DF2" w:rsidP="00EA397A">
      <w:pPr>
        <w:spacing w:line="240" w:lineRule="auto"/>
        <w:jc w:val="both"/>
        <w:rPr>
          <w:rFonts w:ascii="Times New Roman" w:hAnsi="Times New Roman" w:cs="Times New Roman"/>
          <w:sz w:val="24"/>
          <w:szCs w:val="24"/>
        </w:rPr>
      </w:pPr>
    </w:p>
    <w:p w14:paraId="2A7DE9B7" w14:textId="77777777" w:rsidR="00E94DF2" w:rsidRDefault="00E94DF2" w:rsidP="00EA397A">
      <w:pPr>
        <w:spacing w:line="240" w:lineRule="auto"/>
        <w:jc w:val="both"/>
        <w:rPr>
          <w:rFonts w:ascii="Times New Roman" w:hAnsi="Times New Roman" w:cs="Times New Roman"/>
          <w:sz w:val="24"/>
          <w:szCs w:val="24"/>
        </w:rPr>
      </w:pPr>
    </w:p>
    <w:p w14:paraId="1753B043" w14:textId="77777777" w:rsidR="00E94DF2" w:rsidRDefault="00E94DF2" w:rsidP="00EA397A">
      <w:pPr>
        <w:spacing w:line="240" w:lineRule="auto"/>
        <w:jc w:val="both"/>
        <w:rPr>
          <w:rFonts w:ascii="Times New Roman" w:hAnsi="Times New Roman" w:cs="Times New Roman"/>
          <w:sz w:val="24"/>
          <w:szCs w:val="24"/>
        </w:rPr>
      </w:pPr>
    </w:p>
    <w:p w14:paraId="40048FDA" w14:textId="77777777" w:rsidR="00E94DF2" w:rsidRDefault="00E94DF2" w:rsidP="00EA397A">
      <w:pPr>
        <w:spacing w:line="240" w:lineRule="auto"/>
        <w:jc w:val="both"/>
        <w:rPr>
          <w:rFonts w:ascii="Times New Roman" w:hAnsi="Times New Roman" w:cs="Times New Roman"/>
          <w:sz w:val="24"/>
          <w:szCs w:val="24"/>
        </w:rPr>
      </w:pPr>
    </w:p>
    <w:p w14:paraId="0D745A4F" w14:textId="77777777" w:rsidR="00E94DF2" w:rsidRDefault="00E94DF2" w:rsidP="00EA397A">
      <w:pPr>
        <w:spacing w:line="240" w:lineRule="auto"/>
        <w:jc w:val="both"/>
        <w:rPr>
          <w:rFonts w:ascii="Times New Roman" w:hAnsi="Times New Roman" w:cs="Times New Roman"/>
          <w:sz w:val="24"/>
          <w:szCs w:val="24"/>
        </w:rPr>
      </w:pPr>
    </w:p>
    <w:p w14:paraId="32551265" w14:textId="77777777" w:rsidR="00E94DF2" w:rsidRDefault="00E94DF2" w:rsidP="00EA397A">
      <w:pPr>
        <w:spacing w:line="240" w:lineRule="auto"/>
        <w:jc w:val="both"/>
        <w:rPr>
          <w:rFonts w:ascii="Times New Roman" w:hAnsi="Times New Roman" w:cs="Times New Roman"/>
          <w:sz w:val="24"/>
          <w:szCs w:val="24"/>
        </w:rPr>
      </w:pPr>
    </w:p>
    <w:p w14:paraId="5A535D66" w14:textId="77777777" w:rsidR="00E94DF2" w:rsidRDefault="00E94DF2" w:rsidP="00EA397A">
      <w:pPr>
        <w:spacing w:line="240" w:lineRule="auto"/>
        <w:jc w:val="both"/>
        <w:rPr>
          <w:rFonts w:ascii="Times New Roman" w:hAnsi="Times New Roman" w:cs="Times New Roman"/>
          <w:sz w:val="24"/>
          <w:szCs w:val="24"/>
        </w:rPr>
      </w:pPr>
    </w:p>
    <w:p w14:paraId="5A6DF51E" w14:textId="07904799" w:rsidR="00EA397A" w:rsidRDefault="00EA397A" w:rsidP="00EA397A">
      <w:pPr>
        <w:spacing w:line="240" w:lineRule="auto"/>
        <w:jc w:val="center"/>
        <w:rPr>
          <w:rFonts w:ascii="Times New Roman" w:hAnsi="Times New Roman" w:cs="Times New Roman"/>
          <w:b/>
          <w:bCs/>
          <w:sz w:val="24"/>
          <w:szCs w:val="24"/>
        </w:rPr>
      </w:pPr>
      <w:r w:rsidRPr="00EA397A">
        <w:rPr>
          <w:rFonts w:ascii="Times New Roman" w:hAnsi="Times New Roman" w:cs="Times New Roman"/>
          <w:b/>
          <w:bCs/>
          <w:sz w:val="24"/>
          <w:szCs w:val="24"/>
        </w:rPr>
        <w:lastRenderedPageBreak/>
        <w:t xml:space="preserve">Table 8: OLS estimation of equation 2 with 3-day window for daily S&amp;P </w:t>
      </w:r>
      <w:proofErr w:type="spellStart"/>
      <w:r w:rsidRPr="00EA397A">
        <w:rPr>
          <w:rFonts w:ascii="Times New Roman" w:hAnsi="Times New Roman" w:cs="Times New Roman"/>
          <w:b/>
          <w:bCs/>
          <w:sz w:val="24"/>
          <w:szCs w:val="24"/>
        </w:rPr>
        <w:t>Kensho</w:t>
      </w:r>
      <w:proofErr w:type="spellEnd"/>
      <w:r w:rsidRPr="00EA397A">
        <w:rPr>
          <w:rFonts w:ascii="Times New Roman" w:hAnsi="Times New Roman" w:cs="Times New Roman"/>
          <w:b/>
          <w:bCs/>
          <w:sz w:val="24"/>
          <w:szCs w:val="24"/>
        </w:rPr>
        <w:t xml:space="preserve"> Electric Vehicles Index abnormal returns between January first 2018 and December 30 2022</w:t>
      </w:r>
    </w:p>
    <w:p w14:paraId="50319896" w14:textId="00CCDD16" w:rsidR="00EA397A" w:rsidRDefault="00EA397A" w:rsidP="00EA397A">
      <w:pPr>
        <w:spacing w:line="240" w:lineRule="auto"/>
        <w:jc w:val="center"/>
        <w:rPr>
          <w:rFonts w:ascii="Times New Roman" w:hAnsi="Times New Roman" w:cs="Times New Roman"/>
          <w:sz w:val="20"/>
          <w:szCs w:val="20"/>
        </w:rPr>
      </w:pPr>
      <w:r>
        <w:rPr>
          <w:noProof/>
        </w:rPr>
        <w:drawing>
          <wp:inline distT="0" distB="0" distL="0" distR="0" wp14:anchorId="6F42669C" wp14:editId="030ED5F5">
            <wp:extent cx="5943600" cy="2096770"/>
            <wp:effectExtent l="0" t="0" r="0" b="0"/>
            <wp:docPr id="18056255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6770"/>
                    </a:xfrm>
                    <a:prstGeom prst="rect">
                      <a:avLst/>
                    </a:prstGeom>
                    <a:noFill/>
                    <a:ln>
                      <a:noFill/>
                    </a:ln>
                  </pic:spPr>
                </pic:pic>
              </a:graphicData>
            </a:graphic>
          </wp:inline>
        </w:drawing>
      </w:r>
      <w:r w:rsidRPr="00EA397A">
        <w:t xml:space="preserve"> </w:t>
      </w:r>
      <w:r w:rsidRPr="00EA397A">
        <w:rPr>
          <w:rFonts w:ascii="Times New Roman" w:hAnsi="Times New Roman" w:cs="Times New Roman"/>
          <w:sz w:val="20"/>
          <w:szCs w:val="20"/>
        </w:rPr>
        <w:t xml:space="preserve">*sept 24 to sept 28 2021 corresponds to the original bill presentation, dec 17 to dec 21 2021 is the event window when Senator Manchin announced its opposition to the bill, </w:t>
      </w:r>
      <w:proofErr w:type="spellStart"/>
      <w:r w:rsidRPr="00EA397A">
        <w:rPr>
          <w:rFonts w:ascii="Times New Roman" w:hAnsi="Times New Roman" w:cs="Times New Roman"/>
          <w:sz w:val="20"/>
          <w:szCs w:val="20"/>
        </w:rPr>
        <w:t>jul</w:t>
      </w:r>
      <w:proofErr w:type="spellEnd"/>
      <w:r w:rsidRPr="00EA397A">
        <w:rPr>
          <w:rFonts w:ascii="Times New Roman" w:hAnsi="Times New Roman" w:cs="Times New Roman"/>
          <w:sz w:val="20"/>
          <w:szCs w:val="20"/>
        </w:rPr>
        <w:t xml:space="preserve"> 26 to </w:t>
      </w:r>
      <w:proofErr w:type="spellStart"/>
      <w:r w:rsidRPr="00EA397A">
        <w:rPr>
          <w:rFonts w:ascii="Times New Roman" w:hAnsi="Times New Roman" w:cs="Times New Roman"/>
          <w:sz w:val="20"/>
          <w:szCs w:val="20"/>
        </w:rPr>
        <w:t>jul</w:t>
      </w:r>
      <w:proofErr w:type="spellEnd"/>
      <w:r w:rsidRPr="00EA397A">
        <w:rPr>
          <w:rFonts w:ascii="Times New Roman" w:hAnsi="Times New Roman" w:cs="Times New Roman"/>
          <w:sz w:val="20"/>
          <w:szCs w:val="20"/>
        </w:rPr>
        <w:t xml:space="preserve"> 28 2022 corresponds to the agreement with Senator Manchin, and </w:t>
      </w:r>
      <w:proofErr w:type="spellStart"/>
      <w:r w:rsidRPr="00EA397A">
        <w:rPr>
          <w:rFonts w:ascii="Times New Roman" w:hAnsi="Times New Roman" w:cs="Times New Roman"/>
          <w:sz w:val="20"/>
          <w:szCs w:val="20"/>
        </w:rPr>
        <w:t>aug</w:t>
      </w:r>
      <w:proofErr w:type="spellEnd"/>
      <w:r w:rsidRPr="00EA397A">
        <w:rPr>
          <w:rFonts w:ascii="Times New Roman" w:hAnsi="Times New Roman" w:cs="Times New Roman"/>
          <w:sz w:val="20"/>
          <w:szCs w:val="20"/>
        </w:rPr>
        <w:t xml:space="preserve"> 05 to </w:t>
      </w:r>
      <w:proofErr w:type="spellStart"/>
      <w:r w:rsidRPr="00EA397A">
        <w:rPr>
          <w:rFonts w:ascii="Times New Roman" w:hAnsi="Times New Roman" w:cs="Times New Roman"/>
          <w:sz w:val="20"/>
          <w:szCs w:val="20"/>
        </w:rPr>
        <w:t>aug</w:t>
      </w:r>
      <w:proofErr w:type="spellEnd"/>
      <w:r w:rsidRPr="00EA397A">
        <w:rPr>
          <w:rFonts w:ascii="Times New Roman" w:hAnsi="Times New Roman" w:cs="Times New Roman"/>
          <w:sz w:val="20"/>
          <w:szCs w:val="20"/>
        </w:rPr>
        <w:t xml:space="preserve"> 09 2022 is the event window of the bill’s approval by Senate.</w:t>
      </w:r>
    </w:p>
    <w:p w14:paraId="7F7FB4D3" w14:textId="521F2568" w:rsidR="00EA397A" w:rsidRDefault="00EA397A" w:rsidP="00EA397A">
      <w:pPr>
        <w:spacing w:line="240" w:lineRule="auto"/>
        <w:jc w:val="center"/>
        <w:rPr>
          <w:rFonts w:ascii="Times New Roman" w:hAnsi="Times New Roman" w:cs="Times New Roman"/>
          <w:sz w:val="20"/>
          <w:szCs w:val="20"/>
        </w:rPr>
      </w:pPr>
      <w:r w:rsidRPr="00EA397A">
        <w:rPr>
          <w:rFonts w:ascii="Times New Roman" w:hAnsi="Times New Roman" w:cs="Times New Roman"/>
          <w:sz w:val="20"/>
          <w:szCs w:val="20"/>
        </w:rPr>
        <w:t>Source: Own elaboration with data from Fama &amp; French (2023), and S&amp;P Global (2024a)</w:t>
      </w:r>
      <w:r>
        <w:rPr>
          <w:rFonts w:ascii="Times New Roman" w:hAnsi="Times New Roman" w:cs="Times New Roman"/>
          <w:sz w:val="20"/>
          <w:szCs w:val="20"/>
        </w:rPr>
        <w:t>.</w:t>
      </w:r>
    </w:p>
    <w:p w14:paraId="4324E980" w14:textId="77777777" w:rsidR="00EA397A" w:rsidRDefault="00EA397A" w:rsidP="00EA397A">
      <w:pPr>
        <w:spacing w:line="240" w:lineRule="auto"/>
        <w:jc w:val="center"/>
        <w:rPr>
          <w:rFonts w:ascii="Times New Roman" w:hAnsi="Times New Roman" w:cs="Times New Roman"/>
          <w:sz w:val="20"/>
          <w:szCs w:val="20"/>
        </w:rPr>
      </w:pPr>
    </w:p>
    <w:p w14:paraId="381D1FFF" w14:textId="49A29BAC" w:rsidR="00EA397A" w:rsidRDefault="00EA397A" w:rsidP="00EA397A">
      <w:pPr>
        <w:spacing w:line="240" w:lineRule="auto"/>
        <w:jc w:val="center"/>
        <w:rPr>
          <w:rFonts w:ascii="Times New Roman" w:hAnsi="Times New Roman" w:cs="Times New Roman"/>
          <w:sz w:val="24"/>
          <w:szCs w:val="24"/>
        </w:rPr>
      </w:pPr>
      <w:r w:rsidRPr="00EA397A">
        <w:rPr>
          <w:rFonts w:ascii="Times New Roman" w:hAnsi="Times New Roman" w:cs="Times New Roman"/>
          <w:b/>
          <w:bCs/>
          <w:sz w:val="24"/>
          <w:szCs w:val="24"/>
        </w:rPr>
        <w:t xml:space="preserve">Graph 9: Scatter plot between daily Market returns and the S&amp;P </w:t>
      </w:r>
      <w:proofErr w:type="spellStart"/>
      <w:r w:rsidRPr="00EA397A">
        <w:rPr>
          <w:rFonts w:ascii="Times New Roman" w:hAnsi="Times New Roman" w:cs="Times New Roman"/>
          <w:b/>
          <w:bCs/>
          <w:sz w:val="24"/>
          <w:szCs w:val="24"/>
        </w:rPr>
        <w:t>Kensho</w:t>
      </w:r>
      <w:proofErr w:type="spellEnd"/>
      <w:r w:rsidRPr="00EA397A">
        <w:rPr>
          <w:rFonts w:ascii="Times New Roman" w:hAnsi="Times New Roman" w:cs="Times New Roman"/>
          <w:b/>
          <w:bCs/>
          <w:sz w:val="24"/>
          <w:szCs w:val="24"/>
        </w:rPr>
        <w:t xml:space="preserve"> Electric Vehicles Index daily returns</w:t>
      </w:r>
    </w:p>
    <w:p w14:paraId="08925A3F" w14:textId="1F2B3618" w:rsidR="00EA397A" w:rsidRDefault="00EA397A" w:rsidP="00EA397A">
      <w:pPr>
        <w:spacing w:line="240" w:lineRule="auto"/>
        <w:jc w:val="center"/>
        <w:rPr>
          <w:rFonts w:ascii="Times New Roman" w:hAnsi="Times New Roman" w:cs="Times New Roman"/>
          <w:sz w:val="24"/>
          <w:szCs w:val="24"/>
        </w:rPr>
      </w:pPr>
      <w:r>
        <w:rPr>
          <w:noProof/>
        </w:rPr>
        <w:drawing>
          <wp:inline distT="0" distB="0" distL="0" distR="0" wp14:anchorId="53444ECF" wp14:editId="74CE78CA">
            <wp:extent cx="4855064" cy="3200400"/>
            <wp:effectExtent l="0" t="0" r="3175" b="0"/>
            <wp:docPr id="2092892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5064" cy="3200400"/>
                    </a:xfrm>
                    <a:prstGeom prst="rect">
                      <a:avLst/>
                    </a:prstGeom>
                    <a:noFill/>
                    <a:ln>
                      <a:noFill/>
                    </a:ln>
                  </pic:spPr>
                </pic:pic>
              </a:graphicData>
            </a:graphic>
          </wp:inline>
        </w:drawing>
      </w:r>
    </w:p>
    <w:p w14:paraId="7E847FD9" w14:textId="40560E69" w:rsidR="00E94DF2" w:rsidRDefault="00E94DF2" w:rsidP="00EA397A">
      <w:pPr>
        <w:spacing w:line="240" w:lineRule="auto"/>
        <w:jc w:val="center"/>
        <w:rPr>
          <w:rFonts w:ascii="Times New Roman" w:hAnsi="Times New Roman" w:cs="Times New Roman"/>
          <w:sz w:val="20"/>
          <w:szCs w:val="20"/>
        </w:rPr>
      </w:pPr>
      <w:r w:rsidRPr="00E94DF2">
        <w:rPr>
          <w:rFonts w:ascii="Times New Roman" w:hAnsi="Times New Roman" w:cs="Times New Roman"/>
          <w:sz w:val="20"/>
          <w:szCs w:val="20"/>
        </w:rPr>
        <w:t xml:space="preserve">Source: Own elaboration with data from Fama &amp; French (2023)and </w:t>
      </w:r>
      <w:proofErr w:type="spellStart"/>
      <w:r w:rsidRPr="00E94DF2">
        <w:rPr>
          <w:rFonts w:ascii="Times New Roman" w:hAnsi="Times New Roman" w:cs="Times New Roman"/>
          <w:sz w:val="20"/>
          <w:szCs w:val="20"/>
        </w:rPr>
        <w:t>and</w:t>
      </w:r>
      <w:proofErr w:type="spellEnd"/>
      <w:r w:rsidRPr="00E94DF2">
        <w:rPr>
          <w:rFonts w:ascii="Times New Roman" w:hAnsi="Times New Roman" w:cs="Times New Roman"/>
          <w:sz w:val="20"/>
          <w:szCs w:val="20"/>
        </w:rPr>
        <w:t xml:space="preserve"> S&amp;P Global (2024a)</w:t>
      </w:r>
    </w:p>
    <w:p w14:paraId="51B14517" w14:textId="1697DFAB" w:rsidR="00E94DF2" w:rsidRDefault="00E94DF2" w:rsidP="00EA397A">
      <w:pPr>
        <w:spacing w:line="240" w:lineRule="auto"/>
        <w:jc w:val="center"/>
        <w:rPr>
          <w:rFonts w:ascii="Times New Roman" w:hAnsi="Times New Roman" w:cs="Times New Roman"/>
          <w:sz w:val="20"/>
          <w:szCs w:val="20"/>
        </w:rPr>
      </w:pPr>
      <w:r w:rsidRPr="00E94DF2">
        <w:rPr>
          <w:rFonts w:ascii="Times New Roman" w:hAnsi="Times New Roman" w:cs="Times New Roman"/>
          <w:sz w:val="20"/>
          <w:szCs w:val="20"/>
        </w:rPr>
        <w:t xml:space="preserve">Finally, a summary of all the regressions and their corresponding robustness checks is </w:t>
      </w:r>
      <w:proofErr w:type="spellStart"/>
      <w:r w:rsidRPr="00E94DF2">
        <w:rPr>
          <w:rFonts w:ascii="Times New Roman" w:hAnsi="Times New Roman" w:cs="Times New Roman"/>
          <w:sz w:val="20"/>
          <w:szCs w:val="20"/>
        </w:rPr>
        <w:t>is</w:t>
      </w:r>
      <w:proofErr w:type="spellEnd"/>
      <w:r w:rsidRPr="00E94DF2">
        <w:rPr>
          <w:rFonts w:ascii="Times New Roman" w:hAnsi="Times New Roman" w:cs="Times New Roman"/>
          <w:sz w:val="20"/>
          <w:szCs w:val="20"/>
        </w:rPr>
        <w:t xml:space="preserve"> presented in table 9</w:t>
      </w:r>
    </w:p>
    <w:p w14:paraId="4B6E1DA4" w14:textId="77777777" w:rsidR="00E94DF2" w:rsidRDefault="00E94DF2" w:rsidP="00EA397A">
      <w:pPr>
        <w:spacing w:line="240" w:lineRule="auto"/>
        <w:jc w:val="center"/>
        <w:rPr>
          <w:rFonts w:ascii="Times New Roman" w:hAnsi="Times New Roman" w:cs="Times New Roman"/>
          <w:sz w:val="20"/>
          <w:szCs w:val="20"/>
        </w:rPr>
      </w:pPr>
    </w:p>
    <w:p w14:paraId="2D0F0090" w14:textId="77777777" w:rsidR="00E94DF2" w:rsidRDefault="00E94DF2" w:rsidP="00EA397A">
      <w:pPr>
        <w:spacing w:line="240" w:lineRule="auto"/>
        <w:jc w:val="center"/>
        <w:rPr>
          <w:rFonts w:ascii="Times New Roman" w:hAnsi="Times New Roman" w:cs="Times New Roman"/>
          <w:sz w:val="20"/>
          <w:szCs w:val="20"/>
        </w:rPr>
      </w:pPr>
    </w:p>
    <w:p w14:paraId="04AA371F" w14:textId="17A5A16C" w:rsidR="00E94DF2" w:rsidRDefault="00E94DF2" w:rsidP="00EA397A">
      <w:pPr>
        <w:spacing w:line="240" w:lineRule="auto"/>
        <w:jc w:val="center"/>
        <w:rPr>
          <w:rFonts w:ascii="Times New Roman" w:hAnsi="Times New Roman" w:cs="Times New Roman"/>
          <w:b/>
          <w:bCs/>
          <w:sz w:val="24"/>
          <w:szCs w:val="24"/>
        </w:rPr>
      </w:pPr>
      <w:r w:rsidRPr="00E94DF2">
        <w:rPr>
          <w:rFonts w:ascii="Times New Roman" w:hAnsi="Times New Roman" w:cs="Times New Roman"/>
          <w:b/>
          <w:bCs/>
          <w:sz w:val="24"/>
          <w:szCs w:val="24"/>
        </w:rPr>
        <w:lastRenderedPageBreak/>
        <w:t>Table 9: Summary results of equation 2 with three-days and five-days windows for all the analyzed indexes</w:t>
      </w:r>
    </w:p>
    <w:p w14:paraId="532CEA61" w14:textId="711125D9" w:rsidR="00E94DF2" w:rsidRPr="00E94DF2" w:rsidRDefault="00E94DF2" w:rsidP="00E94DF2">
      <w:pPr>
        <w:spacing w:line="240" w:lineRule="auto"/>
        <w:jc w:val="center"/>
        <w:rPr>
          <w:rFonts w:ascii="Times New Roman" w:hAnsi="Times New Roman" w:cs="Times New Roman"/>
          <w:sz w:val="24"/>
          <w:szCs w:val="24"/>
        </w:rPr>
      </w:pPr>
      <w:r w:rsidRPr="00E94DF2">
        <w:rPr>
          <w:rFonts w:ascii="Times New Roman" w:hAnsi="Times New Roman" w:cs="Times New Roman"/>
          <w:sz w:val="24"/>
          <w:szCs w:val="24"/>
        </w:rPr>
        <w:drawing>
          <wp:inline distT="0" distB="0" distL="0" distR="0" wp14:anchorId="0FAF4D15" wp14:editId="613A5614">
            <wp:extent cx="5943600" cy="2825115"/>
            <wp:effectExtent l="0" t="0" r="0" b="0"/>
            <wp:docPr id="1784374517" name="Picture 22" descr="A table of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74517" name="Picture 22" descr="A table of numbers and a few word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064910DC" w14:textId="6E652117" w:rsidR="00E94DF2" w:rsidRDefault="00E94DF2" w:rsidP="00EA397A">
      <w:pPr>
        <w:spacing w:line="240" w:lineRule="auto"/>
        <w:jc w:val="center"/>
        <w:rPr>
          <w:rFonts w:ascii="Times New Roman" w:hAnsi="Times New Roman" w:cs="Times New Roman"/>
          <w:sz w:val="20"/>
          <w:szCs w:val="20"/>
        </w:rPr>
      </w:pPr>
      <w:r w:rsidRPr="00E94DF2">
        <w:rPr>
          <w:rFonts w:ascii="Times New Roman" w:hAnsi="Times New Roman" w:cs="Times New Roman"/>
          <w:sz w:val="20"/>
          <w:szCs w:val="20"/>
        </w:rPr>
        <w:t xml:space="preserve">*sept 27 2021 corresponds to the original bill presentation, dec 19 2021 is the event window when Senator Manchin announced its opposition to the bill, </w:t>
      </w:r>
      <w:proofErr w:type="spellStart"/>
      <w:r w:rsidRPr="00E94DF2">
        <w:rPr>
          <w:rFonts w:ascii="Times New Roman" w:hAnsi="Times New Roman" w:cs="Times New Roman"/>
          <w:sz w:val="20"/>
          <w:szCs w:val="20"/>
        </w:rPr>
        <w:t>jul</w:t>
      </w:r>
      <w:proofErr w:type="spellEnd"/>
      <w:r w:rsidRPr="00E94DF2">
        <w:rPr>
          <w:rFonts w:ascii="Times New Roman" w:hAnsi="Times New Roman" w:cs="Times New Roman"/>
          <w:sz w:val="20"/>
          <w:szCs w:val="20"/>
        </w:rPr>
        <w:t xml:space="preserve"> 27 2022 corresponds to the agreement with Senator Manchin, and </w:t>
      </w:r>
      <w:proofErr w:type="spellStart"/>
      <w:r w:rsidRPr="00E94DF2">
        <w:rPr>
          <w:rFonts w:ascii="Times New Roman" w:hAnsi="Times New Roman" w:cs="Times New Roman"/>
          <w:sz w:val="20"/>
          <w:szCs w:val="20"/>
        </w:rPr>
        <w:t>aug</w:t>
      </w:r>
      <w:proofErr w:type="spellEnd"/>
      <w:r w:rsidRPr="00E94DF2">
        <w:rPr>
          <w:rFonts w:ascii="Times New Roman" w:hAnsi="Times New Roman" w:cs="Times New Roman"/>
          <w:sz w:val="20"/>
          <w:szCs w:val="20"/>
        </w:rPr>
        <w:t xml:space="preserve"> 07 2022 is the event window of the bill’s approval by Senate.</w:t>
      </w:r>
    </w:p>
    <w:p w14:paraId="030FF45E" w14:textId="356D0FB5" w:rsidR="00E94DF2" w:rsidRDefault="00E94DF2" w:rsidP="00EA397A">
      <w:pPr>
        <w:spacing w:line="240" w:lineRule="auto"/>
        <w:jc w:val="center"/>
        <w:rPr>
          <w:rFonts w:ascii="Times New Roman" w:hAnsi="Times New Roman" w:cs="Times New Roman"/>
          <w:sz w:val="20"/>
          <w:szCs w:val="20"/>
        </w:rPr>
      </w:pPr>
      <w:r w:rsidRPr="00E94DF2">
        <w:rPr>
          <w:rFonts w:ascii="Times New Roman" w:hAnsi="Times New Roman" w:cs="Times New Roman"/>
          <w:sz w:val="20"/>
          <w:szCs w:val="20"/>
        </w:rPr>
        <w:t>Source: Own elaboration with data from Fama &amp; French (2023), and S&amp;P Global (2024a)</w:t>
      </w:r>
    </w:p>
    <w:p w14:paraId="09027DB3" w14:textId="77777777" w:rsidR="00E94DF2" w:rsidRPr="00EA397A" w:rsidRDefault="00E94DF2" w:rsidP="00E94DF2">
      <w:pPr>
        <w:spacing w:line="240" w:lineRule="auto"/>
        <w:rPr>
          <w:rFonts w:ascii="Times New Roman" w:hAnsi="Times New Roman" w:cs="Times New Roman"/>
          <w:sz w:val="20"/>
          <w:szCs w:val="20"/>
        </w:rPr>
      </w:pPr>
    </w:p>
    <w:bookmarkEnd w:id="1"/>
    <w:p w14:paraId="1EB2CDFA" w14:textId="2085E683" w:rsidR="00E94DF2" w:rsidRDefault="00E94DF2" w:rsidP="0033713D">
      <w:pPr>
        <w:spacing w:line="240" w:lineRule="auto"/>
        <w:jc w:val="both"/>
        <w:rPr>
          <w:rFonts w:ascii="Times New Roman" w:hAnsi="Times New Roman" w:cs="Times New Roman"/>
          <w:b/>
          <w:bCs/>
          <w:sz w:val="28"/>
          <w:szCs w:val="28"/>
        </w:rPr>
      </w:pPr>
      <w:r w:rsidRPr="00E94DF2">
        <w:rPr>
          <w:rFonts w:ascii="Times New Roman" w:hAnsi="Times New Roman" w:cs="Times New Roman"/>
          <w:b/>
          <w:bCs/>
          <w:sz w:val="28"/>
          <w:szCs w:val="28"/>
        </w:rPr>
        <w:t>6 Conclusions</w:t>
      </w:r>
    </w:p>
    <w:p w14:paraId="50A972CD" w14:textId="77777777" w:rsidR="00E94DF2" w:rsidRDefault="00E94DF2" w:rsidP="0033713D">
      <w:pPr>
        <w:spacing w:line="240" w:lineRule="auto"/>
        <w:jc w:val="both"/>
        <w:rPr>
          <w:rFonts w:ascii="Times New Roman" w:hAnsi="Times New Roman" w:cs="Times New Roman"/>
          <w:sz w:val="24"/>
          <w:szCs w:val="24"/>
        </w:rPr>
      </w:pPr>
      <w:r w:rsidRPr="00E94DF2">
        <w:rPr>
          <w:rFonts w:ascii="Times New Roman" w:hAnsi="Times New Roman" w:cs="Times New Roman"/>
          <w:sz w:val="24"/>
          <w:szCs w:val="24"/>
        </w:rPr>
        <w:t>The Inflation Reduction Act represents one of the major policy decisions in the last decades to address climate change and reduce greenhouse emissions. It has an estimated total investment of $384.9 billion (Huntley Ricco and Arnon 2022) during the next 10 years, mainly on renewable energies and electric vehicles. The present article applied the event study methodology to analyze the impact of the bill on the US stock market specifically on the energy sector and in the automotive industry.</w:t>
      </w:r>
    </w:p>
    <w:p w14:paraId="6D7E9292" w14:textId="77777777" w:rsidR="00E94DF2" w:rsidRDefault="00E94DF2" w:rsidP="0033713D">
      <w:pPr>
        <w:spacing w:line="240" w:lineRule="auto"/>
        <w:jc w:val="both"/>
        <w:rPr>
          <w:rFonts w:ascii="Times New Roman" w:hAnsi="Times New Roman" w:cs="Times New Roman"/>
          <w:sz w:val="24"/>
          <w:szCs w:val="24"/>
        </w:rPr>
      </w:pPr>
      <w:r w:rsidRPr="00E94DF2">
        <w:rPr>
          <w:rFonts w:ascii="Times New Roman" w:hAnsi="Times New Roman" w:cs="Times New Roman"/>
          <w:sz w:val="24"/>
          <w:szCs w:val="24"/>
        </w:rPr>
        <w:t>By analyzing the abnormal returns of the market in general, the present study concludes that the United States stock market as a whole did not experience abnormal returns during the main events related to the bill’s approval. Regarding the energy industry, the S&amp;P500 Energy Index experienced a positive abnormal return of approximately 2.4% around the original bill presentation, while it did not experienced abnormal returns around the other key dates.</w:t>
      </w:r>
    </w:p>
    <w:p w14:paraId="3B2A8D1D" w14:textId="77777777" w:rsidR="00E94DF2" w:rsidRDefault="00E94DF2">
      <w:pPr>
        <w:rPr>
          <w:rFonts w:ascii="Times New Roman" w:hAnsi="Times New Roman" w:cs="Times New Roman"/>
          <w:sz w:val="24"/>
          <w:szCs w:val="24"/>
        </w:rPr>
      </w:pPr>
      <w:r w:rsidRPr="00E94DF2">
        <w:rPr>
          <w:rFonts w:ascii="Times New Roman" w:hAnsi="Times New Roman" w:cs="Times New Roman"/>
          <w:sz w:val="24"/>
          <w:szCs w:val="24"/>
        </w:rPr>
        <w:t>Additionally, the NASDAQ Clean Energy Edge Index that measures the performance of companies in the renewable energy segment experienced positive and significant abnormal returns of approximately 1.91% around the agreement with Senator Manchin. This confirms the original hypothesis that the announcement of the agreement provided valuable information to markets.</w:t>
      </w:r>
    </w:p>
    <w:p w14:paraId="29F33637" w14:textId="77777777" w:rsidR="00E94DF2" w:rsidRDefault="00E94DF2">
      <w:pPr>
        <w:rPr>
          <w:rFonts w:ascii="Times New Roman" w:hAnsi="Times New Roman" w:cs="Times New Roman"/>
          <w:sz w:val="24"/>
          <w:szCs w:val="24"/>
        </w:rPr>
      </w:pPr>
      <w:r w:rsidRPr="00E94DF2">
        <w:rPr>
          <w:rFonts w:ascii="Times New Roman" w:hAnsi="Times New Roman" w:cs="Times New Roman"/>
          <w:sz w:val="24"/>
          <w:szCs w:val="24"/>
        </w:rPr>
        <w:lastRenderedPageBreak/>
        <w:t xml:space="preserve">Surprisingly the Dow Jones U.S. Oil &amp; Gas Index experienced positive abnormal returns of 2.3% during the presentation of the original bill, the Build Back Better Act. </w:t>
      </w:r>
    </w:p>
    <w:p w14:paraId="5D7293E6" w14:textId="77777777" w:rsidR="00E94DF2" w:rsidRDefault="00E94DF2">
      <w:pPr>
        <w:rPr>
          <w:rFonts w:ascii="Times New Roman" w:hAnsi="Times New Roman" w:cs="Times New Roman"/>
          <w:sz w:val="24"/>
          <w:szCs w:val="24"/>
        </w:rPr>
      </w:pPr>
      <w:r w:rsidRPr="00E94DF2">
        <w:rPr>
          <w:rFonts w:ascii="Times New Roman" w:hAnsi="Times New Roman" w:cs="Times New Roman"/>
          <w:sz w:val="24"/>
          <w:szCs w:val="24"/>
        </w:rPr>
        <w:t>In the case of the automobiles industry, the study found a positive abnormal return of 2.12% around the presentation of the original bill. Despite the bill’s incentives for the production and adoption of electric vehicles in the United Sates, the electric vehicle segment did not experience abnormal returns around key dates of the approval process.</w:t>
      </w:r>
    </w:p>
    <w:p w14:paraId="30E7A958" w14:textId="0736D413" w:rsidR="00222AFD" w:rsidRPr="00E94DF2" w:rsidRDefault="00222AFD">
      <w:pPr>
        <w:rPr>
          <w:rFonts w:ascii="Times New Roman" w:hAnsi="Times New Roman" w:cs="Times New Roman"/>
          <w:sz w:val="24"/>
          <w:szCs w:val="24"/>
        </w:rPr>
      </w:pPr>
      <w:r w:rsidRPr="00E94DF2">
        <w:rPr>
          <w:rFonts w:ascii="Times New Roman" w:hAnsi="Times New Roman" w:cs="Times New Roman"/>
          <w:sz w:val="24"/>
          <w:szCs w:val="24"/>
        </w:rPr>
        <w:br w:type="page"/>
      </w:r>
    </w:p>
    <w:p w14:paraId="4AECC753" w14:textId="77777777" w:rsidR="00E94DF2" w:rsidRPr="00E94DF2" w:rsidRDefault="00E94DF2" w:rsidP="00F95B88">
      <w:pPr>
        <w:rPr>
          <w:rFonts w:ascii="Times New Roman" w:hAnsi="Times New Roman" w:cs="Times New Roman"/>
          <w:b/>
          <w:bCs/>
          <w:sz w:val="28"/>
          <w:szCs w:val="28"/>
          <w:lang w:val="es-CR"/>
        </w:rPr>
      </w:pPr>
      <w:r w:rsidRPr="00E94DF2">
        <w:rPr>
          <w:rFonts w:ascii="Times New Roman" w:hAnsi="Times New Roman" w:cs="Times New Roman"/>
          <w:b/>
          <w:bCs/>
          <w:sz w:val="28"/>
          <w:szCs w:val="28"/>
          <w:lang w:val="es-CR"/>
        </w:rPr>
        <w:lastRenderedPageBreak/>
        <w:t xml:space="preserve">7 </w:t>
      </w:r>
      <w:proofErr w:type="spellStart"/>
      <w:r w:rsidRPr="00E94DF2">
        <w:rPr>
          <w:rFonts w:ascii="Times New Roman" w:hAnsi="Times New Roman" w:cs="Times New Roman"/>
          <w:b/>
          <w:bCs/>
          <w:sz w:val="28"/>
          <w:szCs w:val="28"/>
          <w:lang w:val="es-CR"/>
        </w:rPr>
        <w:t>References</w:t>
      </w:r>
      <w:proofErr w:type="spellEnd"/>
    </w:p>
    <w:p w14:paraId="55639602" w14:textId="5F6543F4" w:rsidR="00F95B88" w:rsidRDefault="00F95B88" w:rsidP="00F95B88">
      <w:proofErr w:type="spellStart"/>
      <w:r w:rsidRPr="0011635A">
        <w:rPr>
          <w:lang w:val="es-CR"/>
        </w:rPr>
        <w:t>Afik</w:t>
      </w:r>
      <w:proofErr w:type="spellEnd"/>
      <w:r w:rsidRPr="0011635A">
        <w:rPr>
          <w:lang w:val="es-CR"/>
        </w:rPr>
        <w:t xml:space="preserve">, Z., &amp; </w:t>
      </w:r>
      <w:proofErr w:type="spellStart"/>
      <w:r w:rsidRPr="0011635A">
        <w:rPr>
          <w:lang w:val="es-CR"/>
        </w:rPr>
        <w:t>Zabolotnyuk</w:t>
      </w:r>
      <w:proofErr w:type="spellEnd"/>
      <w:r w:rsidRPr="0011635A">
        <w:rPr>
          <w:lang w:val="es-CR"/>
        </w:rPr>
        <w:t xml:space="preserve">, Y. (2023). </w:t>
      </w:r>
      <w:r>
        <w:t xml:space="preserve">Information effect of credit rating announcements in transition economies. </w:t>
      </w:r>
      <w:r>
        <w:rPr>
          <w:i/>
          <w:iCs/>
        </w:rPr>
        <w:t>Journal of International Financial Markets, Institutions and Money</w:t>
      </w:r>
      <w:r>
        <w:t xml:space="preserve"> , 89, 101878. https://doi.org/10.1016/j.intfin.2023.101878.</w:t>
      </w:r>
    </w:p>
    <w:p w14:paraId="687EB7AC" w14:textId="122B2122" w:rsidR="00F95B88" w:rsidRPr="00E94DF2" w:rsidRDefault="00F95B88" w:rsidP="00F95B88">
      <w:pPr>
        <w:rPr>
          <w:lang w:val="fr-FR"/>
        </w:rPr>
      </w:pPr>
      <w:r>
        <w:t xml:space="preserve">Ali, A., &amp;  </w:t>
      </w:r>
      <w:proofErr w:type="spellStart"/>
      <w:r>
        <w:t>Kallapur</w:t>
      </w:r>
      <w:proofErr w:type="spellEnd"/>
      <w:r>
        <w:t xml:space="preserve">, S. (2001). Securities price consequences of the private securities litigation reform act of 1995 and related events. </w:t>
      </w:r>
      <w:r>
        <w:rPr>
          <w:i/>
          <w:iCs/>
        </w:rPr>
        <w:t>The Accounting Review</w:t>
      </w:r>
      <w:r>
        <w:t xml:space="preserve">, 76(3), 431–460. </w:t>
      </w:r>
      <w:hyperlink r:id="rId27" w:history="1">
        <w:r w:rsidR="00E94DF2" w:rsidRPr="00E94DF2">
          <w:rPr>
            <w:rStyle w:val="Hyperlink"/>
            <w:lang w:val="fr-FR"/>
          </w:rPr>
          <w:t>http://www.jstor.org/stable/3068943</w:t>
        </w:r>
      </w:hyperlink>
      <w:r w:rsidRPr="00E94DF2">
        <w:rPr>
          <w:lang w:val="fr-FR"/>
        </w:rPr>
        <w:t xml:space="preserve">. </w:t>
      </w:r>
    </w:p>
    <w:p w14:paraId="4FC988EB" w14:textId="1E0B55D4" w:rsidR="00E94DF2" w:rsidRDefault="00E94DF2" w:rsidP="00F95B88">
      <w:proofErr w:type="spellStart"/>
      <w:r w:rsidRPr="00E94DF2">
        <w:rPr>
          <w:lang w:val="fr-FR"/>
        </w:rPr>
        <w:t>Ardia</w:t>
      </w:r>
      <w:proofErr w:type="spellEnd"/>
      <w:r w:rsidRPr="00E94DF2">
        <w:rPr>
          <w:lang w:val="fr-FR"/>
        </w:rPr>
        <w:t xml:space="preserve">, D., Bluteau, K., </w:t>
      </w:r>
      <w:proofErr w:type="spellStart"/>
      <w:r w:rsidRPr="00E94DF2">
        <w:rPr>
          <w:lang w:val="fr-FR"/>
        </w:rPr>
        <w:t>Boudt</w:t>
      </w:r>
      <w:proofErr w:type="spellEnd"/>
      <w:r w:rsidRPr="00E94DF2">
        <w:rPr>
          <w:lang w:val="fr-FR"/>
        </w:rPr>
        <w:t xml:space="preserve">, K., &amp; Inghelbrecht, K. (2023). </w:t>
      </w:r>
      <w:r w:rsidRPr="00E94DF2">
        <w:t xml:space="preserve">Climate change concerns and the performance of green vs. brown stocks. </w:t>
      </w:r>
      <w:r w:rsidRPr="00E94DF2">
        <w:rPr>
          <w:i/>
          <w:iCs/>
        </w:rPr>
        <w:t>Management Science</w:t>
      </w:r>
      <w:r w:rsidRPr="00E94DF2">
        <w:t>, 69(12), 7607-7632.</w:t>
      </w:r>
    </w:p>
    <w:p w14:paraId="60591F5E" w14:textId="77777777" w:rsidR="00F95B88" w:rsidRDefault="00F95B88" w:rsidP="00F95B88">
      <w:r>
        <w:t xml:space="preserve">Badlam J. et al. (2022). The Inflation Reduction Act: Here’s what’s in it. McKinsey &amp; Company. https://www.mckinsey.com/industries/public-sector/our-insights/the-inflation-reduction-act-heres-whats-in-it#/. </w:t>
      </w:r>
    </w:p>
    <w:p w14:paraId="7E6C0B8E" w14:textId="26D4AD6A" w:rsidR="00E94DF2" w:rsidRDefault="00E94DF2" w:rsidP="00F95B88">
      <w:proofErr w:type="spellStart"/>
      <w:r w:rsidRPr="00E94DF2">
        <w:t>Bessec</w:t>
      </w:r>
      <w:proofErr w:type="spellEnd"/>
      <w:r w:rsidRPr="00E94DF2">
        <w:t xml:space="preserve">, M., &amp; </w:t>
      </w:r>
      <w:proofErr w:type="spellStart"/>
      <w:r w:rsidRPr="00E94DF2">
        <w:t>Fouquau</w:t>
      </w:r>
      <w:proofErr w:type="spellEnd"/>
      <w:r w:rsidRPr="00E94DF2">
        <w:t xml:space="preserve">, J. (2024). A green wave in media, a change of tack in stock markets. </w:t>
      </w:r>
      <w:r w:rsidRPr="00E94DF2">
        <w:rPr>
          <w:i/>
          <w:iCs/>
        </w:rPr>
        <w:t>Oxford Bulletin of Economics and Statistics</w:t>
      </w:r>
      <w:r w:rsidRPr="00E94DF2">
        <w:t>. Available at: https://doi.org/10.1111/obes.12597</w:t>
      </w:r>
    </w:p>
    <w:p w14:paraId="561549D7" w14:textId="77777777" w:rsidR="00F95B88" w:rsidRDefault="00F95B88" w:rsidP="00F95B88">
      <w:r>
        <w:t xml:space="preserve">Bhattacharya, U., </w:t>
      </w:r>
      <w:proofErr w:type="spellStart"/>
      <w:r>
        <w:t>Daouk</w:t>
      </w:r>
      <w:proofErr w:type="spellEnd"/>
      <w:r>
        <w:t xml:space="preserve">, H., Jorgenson, B. &amp; Kehr, C.H. (2000). When an event is not an event: the curious case of an emerging market. </w:t>
      </w:r>
      <w:r>
        <w:rPr>
          <w:i/>
          <w:iCs/>
        </w:rPr>
        <w:t>Journal of Financial Economics</w:t>
      </w:r>
      <w:r>
        <w:t>, 55 (1), 69–101.</w:t>
      </w:r>
    </w:p>
    <w:p w14:paraId="09BE9E24" w14:textId="77777777" w:rsidR="00F95B88" w:rsidRDefault="00F95B88" w:rsidP="00F95B88">
      <w:r>
        <w:t xml:space="preserve">Binder, J. (1998). The Event Study Methodology Since 1969. </w:t>
      </w:r>
      <w:r>
        <w:rPr>
          <w:i/>
          <w:iCs/>
        </w:rPr>
        <w:t>Review of Quantitative Finance  and Accounting</w:t>
      </w:r>
      <w:r>
        <w:t>, 11, 111–137.</w:t>
      </w:r>
    </w:p>
    <w:p w14:paraId="70C5872B" w14:textId="77777777" w:rsidR="00F95B88" w:rsidRDefault="00F95B88" w:rsidP="00F95B88">
      <w:r>
        <w:t xml:space="preserve">Boehmer, E., </w:t>
      </w:r>
      <w:proofErr w:type="spellStart"/>
      <w:r>
        <w:t>Masumeci</w:t>
      </w:r>
      <w:proofErr w:type="spellEnd"/>
      <w:r>
        <w:t xml:space="preserve">, J., &amp; Poulsen, A.B. (1991). Event study methodology under conditions of event-induced variance. </w:t>
      </w:r>
      <w:r>
        <w:rPr>
          <w:i/>
          <w:iCs/>
        </w:rPr>
        <w:t>Journal of Financial Economics</w:t>
      </w:r>
      <w:r>
        <w:t>, 30 253–272.</w:t>
      </w:r>
    </w:p>
    <w:p w14:paraId="64DF7062" w14:textId="77777777" w:rsidR="00F95B88" w:rsidRDefault="00F95B88" w:rsidP="00F95B88">
      <w:r>
        <w:t>Brown, S. &amp; Warner, J. (1980). Measuring security price performance</w:t>
      </w:r>
      <w:r>
        <w:rPr>
          <w:i/>
          <w:iCs/>
        </w:rPr>
        <w:t>. Journal of Financial Economics</w:t>
      </w:r>
      <w:r>
        <w:t>, 8, 205-258.</w:t>
      </w:r>
    </w:p>
    <w:p w14:paraId="6AE751DD" w14:textId="77777777" w:rsidR="00F95B88" w:rsidRDefault="00F95B88" w:rsidP="00F95B88">
      <w:r>
        <w:t xml:space="preserve">Brown, S. J., &amp; Warner, J. B. (1985). Using daily stock returns: The case of event studies. </w:t>
      </w:r>
      <w:r>
        <w:rPr>
          <w:i/>
          <w:iCs/>
        </w:rPr>
        <w:t>Journal of Financial Economics</w:t>
      </w:r>
      <w:r>
        <w:t>, 14(1) 3-31. https://doi.org/10.1016/0304-405X(85)90042-X.</w:t>
      </w:r>
    </w:p>
    <w:p w14:paraId="78C2EBF3" w14:textId="6293A7A3" w:rsidR="00F95B88" w:rsidRDefault="00F95B88" w:rsidP="00F95B88">
      <w:r>
        <w:t xml:space="preserve">Dyckman, T., Philbrick, D., &amp; Stephan, J. (1984). A Comparison of Event Study Methodologies Using Daily Stock Returns: A Simulation Approach. </w:t>
      </w:r>
      <w:r>
        <w:rPr>
          <w:i/>
          <w:iCs/>
        </w:rPr>
        <w:t>Journal of Accounting Research</w:t>
      </w:r>
      <w:r>
        <w:t>, 22, 1–30. https://doi.org/10.2307/2490855.</w:t>
      </w:r>
    </w:p>
    <w:p w14:paraId="5EA8ED65" w14:textId="48AF4942" w:rsidR="00F95B88" w:rsidRDefault="00F95B88" w:rsidP="00F95B88">
      <w:r>
        <w:t xml:space="preserve">Fama, E., Fisher L., Jensen M., &amp;  Roll R.(1969). The adjustment of stock prices to new information. </w:t>
      </w:r>
      <w:r>
        <w:rPr>
          <w:i/>
          <w:iCs/>
        </w:rPr>
        <w:t>International Economic Review,</w:t>
      </w:r>
      <w:r>
        <w:t xml:space="preserve"> 10,1-21. </w:t>
      </w:r>
    </w:p>
    <w:p w14:paraId="77C1FA69" w14:textId="4338E6A7" w:rsidR="00F95B88" w:rsidRDefault="00F95B88" w:rsidP="00F95B88">
      <w:r>
        <w:t xml:space="preserve">Fama, E. (1991). Efficient capital markets: II. </w:t>
      </w:r>
      <w:r w:rsidRPr="00F95B88">
        <w:rPr>
          <w:i/>
          <w:iCs/>
        </w:rPr>
        <w:t>Journal of Finance</w:t>
      </w:r>
      <w:r>
        <w:t xml:space="preserve">, 46, 1575-1617. </w:t>
      </w:r>
    </w:p>
    <w:p w14:paraId="7CC48D51" w14:textId="78F55B9F" w:rsidR="00F95B88" w:rsidRDefault="00F95B88" w:rsidP="00F95B88">
      <w:r>
        <w:t xml:space="preserve">Fama, E., &amp; French, K. (2023). Production of U.S. Rm-Rf, SMB, and HML in the Fama-French Data Library. Chicago Booth Research Paper No. 23-22, Fama-Miller Working Paper, Available at SSRN: https://ssrn.com/abstract=4629613. </w:t>
      </w:r>
    </w:p>
    <w:p w14:paraId="74A4F5A4" w14:textId="77C8E37C" w:rsidR="00F95B88" w:rsidRDefault="00F95B88" w:rsidP="00F95B88">
      <w:r>
        <w:t xml:space="preserve">Fama, E. &amp; French, K. (2024). Fama-French data library [Data set]. Dartmouth </w:t>
      </w:r>
      <w:proofErr w:type="spellStart"/>
      <w:r>
        <w:t>Colleger</w:t>
      </w:r>
      <w:proofErr w:type="spellEnd"/>
      <w:r>
        <w:t>. Obtained on January 10, 2024. https://mba.tuck.dartmouth.edu/pages/faculty/ken.french/data_library.html.</w:t>
      </w:r>
    </w:p>
    <w:p w14:paraId="35EBA443" w14:textId="4D77D0D5" w:rsidR="00F95B88" w:rsidRDefault="00F95B88" w:rsidP="00F95B88">
      <w:r>
        <w:rPr>
          <w:lang w:val="es-CR"/>
        </w:rPr>
        <w:lastRenderedPageBreak/>
        <w:t xml:space="preserve">Ferrer, R., </w:t>
      </w:r>
      <w:proofErr w:type="spellStart"/>
      <w:r>
        <w:rPr>
          <w:lang w:val="es-CR"/>
        </w:rPr>
        <w:t>Shahzad</w:t>
      </w:r>
      <w:proofErr w:type="spellEnd"/>
      <w:r>
        <w:rPr>
          <w:lang w:val="es-CR"/>
        </w:rPr>
        <w:t xml:space="preserve">, S., López, R., &amp; Jareño, F. (2018). </w:t>
      </w:r>
      <w:r>
        <w:t xml:space="preserve">Time and frequency dynamics of connectedness between renewable energy stocks and crude oil prices. </w:t>
      </w:r>
      <w:r w:rsidRPr="00F95B88">
        <w:rPr>
          <w:i/>
          <w:iCs/>
        </w:rPr>
        <w:t>Energy Economics</w:t>
      </w:r>
      <w:r>
        <w:t xml:space="preserve">, 76, 1-20. https://doi.org/10.1016/j.eneco.2018.09.022. </w:t>
      </w:r>
    </w:p>
    <w:p w14:paraId="0190D72E" w14:textId="17E58F42" w:rsidR="00F95B88" w:rsidRDefault="00F95B88" w:rsidP="00F95B88">
      <w:r>
        <w:t xml:space="preserve">Garewal, R. (2021). Airlines Stock Market Response to Stimulus Bill Expectation On March 25th, 2020 An Event Study. Available at SSRN: https://ssrn.com/abstract=3760118. </w:t>
      </w:r>
    </w:p>
    <w:p w14:paraId="6DE536B6" w14:textId="5CB59F48" w:rsidR="00F95B88" w:rsidRDefault="00F95B88" w:rsidP="00F95B88">
      <w:r>
        <w:t xml:space="preserve">Goh, J.C., &amp; </w:t>
      </w:r>
      <w:proofErr w:type="spellStart"/>
      <w:r>
        <w:t>Ederington</w:t>
      </w:r>
      <w:proofErr w:type="spellEnd"/>
      <w:r>
        <w:t xml:space="preserve">, L.H. (1999). Cross‐sectional variation in the stock market reaction to bond rating changes. </w:t>
      </w:r>
      <w:r w:rsidRPr="00F95B88">
        <w:rPr>
          <w:i/>
          <w:iCs/>
        </w:rPr>
        <w:t>The Quarterly Review of Economics and Finance</w:t>
      </w:r>
      <w:r>
        <w:t xml:space="preserve">, 39, 101–112. </w:t>
      </w:r>
      <w:r>
        <w:tab/>
      </w:r>
    </w:p>
    <w:p w14:paraId="3A357637" w14:textId="7898E38E" w:rsidR="00F95B88" w:rsidRDefault="00F95B88" w:rsidP="00F95B88">
      <w:r>
        <w:t xml:space="preserve">Hooper, V., Timothy, H. &amp; Kim, S. (2008). Sovereign Rating Changes – Do they Provide New Information to Stock Markets. </w:t>
      </w:r>
      <w:r w:rsidRPr="00F95B88">
        <w:rPr>
          <w:i/>
          <w:iCs/>
        </w:rPr>
        <w:t>Economic  Systems</w:t>
      </w:r>
      <w:r>
        <w:t xml:space="preserve">, 32 (2), 142–166. </w:t>
      </w:r>
    </w:p>
    <w:p w14:paraId="474F025E" w14:textId="7668E421" w:rsidR="00F95B88" w:rsidRDefault="00F95B88" w:rsidP="00F95B88">
      <w:r>
        <w:t xml:space="preserve">Huntley, J., Ricco, J. &amp; Arnon, A. (2022). Senate-Passed Inflation Reduction Act: Estimates of Budgetary and Macroeconomic Effects. University of Pennsylvania, Penn-Wharton Budget Model. https://budgetmodel.wharton.upenn.edu/issues/2022/8/12/senate-passed-inflation-reduction-act. </w:t>
      </w:r>
    </w:p>
    <w:p w14:paraId="45736400" w14:textId="1D654C72" w:rsidR="00F95B88" w:rsidRDefault="00F95B88" w:rsidP="00F95B88">
      <w:r>
        <w:t xml:space="preserve">Iza &amp; Haji Y. (1978). An Empirical Analysis of the Economic Effects of Mandatory Government Audit Requirements. Ph.D. dissertation, University of Chicago. </w:t>
      </w:r>
    </w:p>
    <w:p w14:paraId="2CE8725B" w14:textId="52327DB1" w:rsidR="00F95B88" w:rsidRDefault="00F95B88" w:rsidP="00F95B88">
      <w:r>
        <w:t xml:space="preserve">Johnson, M., </w:t>
      </w:r>
      <w:proofErr w:type="spellStart"/>
      <w:r>
        <w:t>Kasznik</w:t>
      </w:r>
      <w:proofErr w:type="spellEnd"/>
      <w:r>
        <w:t xml:space="preserve">, R., &amp;  Nelson K. (2000). Shareholder wealth effects of the private securities litigation reform act of 1995. </w:t>
      </w:r>
      <w:r w:rsidRPr="00F95B88">
        <w:rPr>
          <w:i/>
          <w:iCs/>
        </w:rPr>
        <w:t>Review of Accounting Studies</w:t>
      </w:r>
      <w:r>
        <w:t xml:space="preserve">, 513, 217–233. </w:t>
      </w:r>
    </w:p>
    <w:p w14:paraId="4B21C26C" w14:textId="760CC5B1" w:rsidR="00F95B88" w:rsidRDefault="00F95B88" w:rsidP="00F95B88">
      <w:r>
        <w:t xml:space="preserve">Jenkins, J.D., Mayfield, E.N., </w:t>
      </w:r>
      <w:proofErr w:type="spellStart"/>
      <w:r>
        <w:t>Farbes</w:t>
      </w:r>
      <w:proofErr w:type="spellEnd"/>
      <w:r>
        <w:t xml:space="preserve">, J., Jones, R., Patankar, N., Xu, Q., &amp; </w:t>
      </w:r>
      <w:proofErr w:type="spellStart"/>
      <w:r>
        <w:t>Schivley</w:t>
      </w:r>
      <w:proofErr w:type="spellEnd"/>
      <w:r>
        <w:t>, G. (2022). Preliminary Report: The Climate and Energy Impacts of the Inflation Reduction Act of 2022. REPEAT Project, Princeton, NJ. https://repeatproject.org/docs/REPEAT_IRA_Prelminary_Report_2022-08-04.pdf..</w:t>
      </w:r>
    </w:p>
    <w:p w14:paraId="6AE9CA5E" w14:textId="6B93072B" w:rsidR="00F95B88" w:rsidRDefault="00F95B88" w:rsidP="00F95B88">
      <w:r>
        <w:t xml:space="preserve">Kliger, D., &amp;  Sarig, O. (2000). The information value of bond ratings. </w:t>
      </w:r>
      <w:r w:rsidRPr="00F95B88">
        <w:rPr>
          <w:i/>
          <w:iCs/>
        </w:rPr>
        <w:t>The Journal of Finance</w:t>
      </w:r>
      <w:r>
        <w:t xml:space="preserve">, 55 (6), 2879-2902. </w:t>
      </w:r>
    </w:p>
    <w:p w14:paraId="36D65542" w14:textId="0B4B4E45" w:rsidR="00F95B88" w:rsidRDefault="00F95B88" w:rsidP="00F95B88">
      <w:proofErr w:type="spellStart"/>
      <w:r>
        <w:t>Khotari</w:t>
      </w:r>
      <w:proofErr w:type="spellEnd"/>
      <w:r>
        <w:t xml:space="preserve">, S.P., &amp; Warner J.B (2006). Econometrics of Event Studies. Center for Corporate Governance, Tuck School of Business at Dartmouth. </w:t>
      </w:r>
      <w:r>
        <w:tab/>
      </w:r>
    </w:p>
    <w:p w14:paraId="08D9E5DA" w14:textId="0506506F" w:rsidR="00F95B88" w:rsidRDefault="00F95B88" w:rsidP="00F95B88">
      <w:proofErr w:type="spellStart"/>
      <w:r>
        <w:rPr>
          <w:lang w:val="es-CR"/>
        </w:rPr>
        <w:t>Lobão</w:t>
      </w:r>
      <w:proofErr w:type="spellEnd"/>
      <w:r>
        <w:rPr>
          <w:lang w:val="es-CR"/>
        </w:rPr>
        <w:t xml:space="preserve">, J., Pacheco, L., &amp; Campos, S. (2019). </w:t>
      </w:r>
      <w:r>
        <w:t xml:space="preserve">Stock price effects of bank rating announcements: An application to European Union countries. </w:t>
      </w:r>
      <w:r w:rsidRPr="00F95B88">
        <w:rPr>
          <w:i/>
          <w:iCs/>
        </w:rPr>
        <w:t>International Journal of Finance &amp; Economics</w:t>
      </w:r>
      <w:r>
        <w:t xml:space="preserve">, 24(1), 4–19. https://doi.org/10.1002/ijfe.1645. </w:t>
      </w:r>
    </w:p>
    <w:p w14:paraId="6200B390" w14:textId="5E487396" w:rsidR="00F95B88" w:rsidRDefault="00F95B88" w:rsidP="00F95B88">
      <w:proofErr w:type="spellStart"/>
      <w:r>
        <w:t>MacKinlay</w:t>
      </w:r>
      <w:proofErr w:type="spellEnd"/>
      <w:r>
        <w:t xml:space="preserve">, A.C. (1997). Event Studies in Economics and Finance. </w:t>
      </w:r>
      <w:r w:rsidRPr="00F95B88">
        <w:rPr>
          <w:i/>
          <w:iCs/>
        </w:rPr>
        <w:t>Journal of Economic Literature</w:t>
      </w:r>
      <w:r>
        <w:t xml:space="preserve">, 35 (1), 13–39. </w:t>
      </w:r>
      <w:r>
        <w:tab/>
      </w:r>
    </w:p>
    <w:p w14:paraId="038D5B8B" w14:textId="712BC049" w:rsidR="00E94DF2" w:rsidRDefault="00E94DF2" w:rsidP="00F95B88">
      <w:r w:rsidRPr="00E94DF2">
        <w:t>NASDAQ. (2024). CELS: NASDAQ Clean Edge Green Energy (CELS), index quote. NASDAQ. Obtained on March 19, 2024 from: https://indexes.nasdaqomx.com/Index/History/CELS.</w:t>
      </w:r>
    </w:p>
    <w:p w14:paraId="16710CC8" w14:textId="0763EFB7" w:rsidR="00F95B88" w:rsidRDefault="00F95B88" w:rsidP="00F95B88">
      <w:r>
        <w:t xml:space="preserve">Pandey, D.K., &amp; Kumari, V. (2020). Event study on the reaction of the developed and emerging stock markets to the 2019-nCoV outbreak. </w:t>
      </w:r>
      <w:r w:rsidRPr="00F95B88">
        <w:rPr>
          <w:i/>
          <w:iCs/>
        </w:rPr>
        <w:t>International Review of Economics &amp; Finance</w:t>
      </w:r>
      <w:r>
        <w:t xml:space="preserve">, 71, 467-483. https://doi.org/10.1016/j.iref.2020.09.014. </w:t>
      </w:r>
    </w:p>
    <w:p w14:paraId="5B2B4A52" w14:textId="561FB1F5" w:rsidR="00F95B88" w:rsidRDefault="00F95B88" w:rsidP="00F95B88">
      <w:r>
        <w:t xml:space="preserve">Rezaee, Z., &amp; Pankaj J.K. (2005). The Sarbanes-Oxley Act of 2002 and Security Market Behavior: Early Evidence. </w:t>
      </w:r>
      <w:r w:rsidRPr="00F95B88">
        <w:rPr>
          <w:i/>
          <w:iCs/>
        </w:rPr>
        <w:t>Contemporary accounting research</w:t>
      </w:r>
      <w:r>
        <w:t xml:space="preserve">, 23(3), 629-654. </w:t>
      </w:r>
    </w:p>
    <w:p w14:paraId="6F262283" w14:textId="31EFC267" w:rsidR="00F95B88" w:rsidRDefault="00F95B88" w:rsidP="00F95B88">
      <w:r>
        <w:lastRenderedPageBreak/>
        <w:t xml:space="preserve">Richards, A., &amp; </w:t>
      </w:r>
      <w:proofErr w:type="spellStart"/>
      <w:r>
        <w:t>Deddouche</w:t>
      </w:r>
      <w:proofErr w:type="spellEnd"/>
      <w:r>
        <w:t xml:space="preserve">, D. (2003). Bank rating changes and bank stock returns—Puzzling evidence from the emerging markets. </w:t>
      </w:r>
      <w:r w:rsidRPr="00F95B88">
        <w:rPr>
          <w:i/>
          <w:iCs/>
        </w:rPr>
        <w:t>Journal of Emerging Market Finance</w:t>
      </w:r>
      <w:r>
        <w:t xml:space="preserve">, 2, 337–363. </w:t>
      </w:r>
    </w:p>
    <w:p w14:paraId="14CEB0E9" w14:textId="6A06A5AF" w:rsidR="00F95B88" w:rsidRPr="00F95B88" w:rsidRDefault="00F95B88" w:rsidP="00F95B88">
      <w:pPr>
        <w:rPr>
          <w:lang w:val="es-CR"/>
        </w:rPr>
      </w:pPr>
      <w:r>
        <w:t xml:space="preserve">Reboredo, J. C. (2015). Is there dependence and systemic risk between oil and renewable energy stock prices? </w:t>
      </w:r>
      <w:r w:rsidRPr="00F95B88">
        <w:rPr>
          <w:i/>
          <w:iCs/>
          <w:lang w:val="es-CR"/>
        </w:rPr>
        <w:t xml:space="preserve">Energy </w:t>
      </w:r>
      <w:proofErr w:type="spellStart"/>
      <w:r w:rsidRPr="00F95B88">
        <w:rPr>
          <w:i/>
          <w:iCs/>
          <w:lang w:val="es-CR"/>
        </w:rPr>
        <w:t>Economics</w:t>
      </w:r>
      <w:proofErr w:type="spellEnd"/>
      <w:r w:rsidRPr="00F95B88">
        <w:rPr>
          <w:lang w:val="es-CR"/>
        </w:rPr>
        <w:t xml:space="preserve">, 48, 32-45. https://doi.org/10.1016/j.eneco.2014.12.009. </w:t>
      </w:r>
    </w:p>
    <w:p w14:paraId="4E20895E" w14:textId="0981ED27" w:rsidR="00F95B88" w:rsidRPr="00F95B88" w:rsidRDefault="00F95B88" w:rsidP="00F95B88">
      <w:pPr>
        <w:rPr>
          <w:lang w:val="fr-FR"/>
        </w:rPr>
      </w:pPr>
      <w:r>
        <w:rPr>
          <w:lang w:val="es-CR"/>
        </w:rPr>
        <w:t xml:space="preserve">Reboredo, J.C., Rivera-Castro, M.A., &amp; </w:t>
      </w:r>
      <w:proofErr w:type="spellStart"/>
      <w:r>
        <w:rPr>
          <w:lang w:val="es-CR"/>
        </w:rPr>
        <w:t>Ugolini</w:t>
      </w:r>
      <w:proofErr w:type="spellEnd"/>
      <w:r>
        <w:rPr>
          <w:lang w:val="es-CR"/>
        </w:rPr>
        <w:t xml:space="preserve">, A. (2016). </w:t>
      </w:r>
      <w:r>
        <w:t xml:space="preserve">Wavelet-based test of co-movement and causality between oil and renewable energy stock prices. </w:t>
      </w:r>
      <w:r w:rsidRPr="00F95B88">
        <w:rPr>
          <w:i/>
          <w:iCs/>
          <w:lang w:val="fr-FR"/>
        </w:rPr>
        <w:t xml:space="preserve">Energy </w:t>
      </w:r>
      <w:proofErr w:type="spellStart"/>
      <w:r w:rsidRPr="00F95B88">
        <w:rPr>
          <w:i/>
          <w:iCs/>
          <w:lang w:val="fr-FR"/>
        </w:rPr>
        <w:t>Economics</w:t>
      </w:r>
      <w:proofErr w:type="spellEnd"/>
      <w:r w:rsidRPr="00F95B88">
        <w:rPr>
          <w:lang w:val="fr-FR"/>
        </w:rPr>
        <w:t xml:space="preserve">, 61, 241-252. https://www.sciencedirect.com/science/article/pii/S0140988316302961?via%3Dihub. </w:t>
      </w:r>
    </w:p>
    <w:p w14:paraId="09B861F8" w14:textId="6A969C0C" w:rsidR="00F95B88" w:rsidRDefault="00F95B88" w:rsidP="00F95B88">
      <w:r>
        <w:rPr>
          <w:lang w:val="fr-FR"/>
        </w:rPr>
        <w:t xml:space="preserve">Song, Y., Ji, Q., Du, Y., &amp; Geng, J. (2019). </w:t>
      </w:r>
      <w:r>
        <w:t xml:space="preserve">The dynamic dependence of fossil energy, investor sentiment and renewable energy stock markets. </w:t>
      </w:r>
      <w:r w:rsidRPr="00F95B88">
        <w:rPr>
          <w:i/>
          <w:iCs/>
        </w:rPr>
        <w:t>Energy Economics</w:t>
      </w:r>
      <w:r>
        <w:t xml:space="preserve">, 84, 104564. </w:t>
      </w:r>
    </w:p>
    <w:p w14:paraId="20D1E32D" w14:textId="2A27920C" w:rsidR="00E94DF2" w:rsidRDefault="00E94DF2" w:rsidP="00F95B88">
      <w:r w:rsidRPr="00E94DF2">
        <w:t xml:space="preserve">S&amp;P Global. (2024a). KEVP: S&amp;P </w:t>
      </w:r>
      <w:proofErr w:type="spellStart"/>
      <w:r w:rsidRPr="00E94DF2">
        <w:t>Kensho</w:t>
      </w:r>
      <w:proofErr w:type="spellEnd"/>
      <w:r w:rsidRPr="00E94DF2">
        <w:t xml:space="preserve"> Electric Vehicles Index (KEVP), index quote. S&amp;P Global. Obtained on March 19, 2024 from: </w:t>
      </w:r>
      <w:hyperlink r:id="rId28" w:history="1">
        <w:r w:rsidRPr="00984FDF">
          <w:rPr>
            <w:rStyle w:val="Hyperlink"/>
          </w:rPr>
          <w:t>https://www.spglobal.com/spdji/en/indices/equity/sp-kensho-electric-vehicles-index/#overview</w:t>
        </w:r>
      </w:hyperlink>
      <w:r w:rsidRPr="00E94DF2">
        <w:t>.</w:t>
      </w:r>
    </w:p>
    <w:p w14:paraId="6D0D3134" w14:textId="47539858" w:rsidR="00E94DF2" w:rsidRDefault="00E94DF2" w:rsidP="00F95B88">
      <w:r w:rsidRPr="00E94DF2">
        <w:t xml:space="preserve">S&amp;P Global. (2024b). SPN: S&amp;P 500 Energy Index (SPN), index quote. S&amp;P Global. Obtained on March 19, 2024 from: </w:t>
      </w:r>
      <w:hyperlink r:id="rId29" w:history="1">
        <w:r w:rsidRPr="00984FDF">
          <w:rPr>
            <w:rStyle w:val="Hyperlink"/>
          </w:rPr>
          <w:t>https://www.spglobal.com/spdji/en/indices/equity/sp-500-energy-sector/#overview</w:t>
        </w:r>
      </w:hyperlink>
      <w:r w:rsidRPr="00E94DF2">
        <w:t>.</w:t>
      </w:r>
    </w:p>
    <w:p w14:paraId="5DE8535E" w14:textId="590D2432" w:rsidR="00E94DF2" w:rsidRDefault="00E94DF2" w:rsidP="00F95B88">
      <w:r w:rsidRPr="00E94DF2">
        <w:t>S&amp;P Global. (2024c). DJUSEN: Dow Jones U.S. Oil &amp; Gas Index (DJUSEN), index quote. S&amp;P Global. Obtained on March 19, 2024 from: https://www.spglobal.com/spdji/en/indices/equity/dow-jones-us-oil-gas-index/ #overview.</w:t>
      </w:r>
    </w:p>
    <w:p w14:paraId="5B3FF5CF" w14:textId="39F1BE4F" w:rsidR="00E94DF2" w:rsidRDefault="00E94DF2" w:rsidP="00F95B88">
      <w:r w:rsidRPr="00E94DF2">
        <w:t>SP500-251020. (2023). S&amp;P 500 Automobiles Industry index, stock quote. Yahoo Finance. Obtained on December 17, 2023. https://finance.yahoo.com/quote/%5ESP500-251020/.</w:t>
      </w:r>
    </w:p>
    <w:p w14:paraId="129C83C1" w14:textId="4D71C651" w:rsidR="00F95B88" w:rsidRDefault="00F95B88" w:rsidP="00F95B88">
      <w:r>
        <w:t xml:space="preserve">The White House (2023). Building a Clean Energy Economy: A Guidebook To The Inflation Reduction Act’s Investments in Clean Energy And Climate Action. https://www.whitehouse.gov/wp-content/uploads/2022/12/Inflation-Reduction-Act-Guidebook.pdf. </w:t>
      </w:r>
    </w:p>
    <w:p w14:paraId="6A1D21D0" w14:textId="07E0C7F4" w:rsidR="00204631" w:rsidRDefault="00204631" w:rsidP="0033713D">
      <w:pPr>
        <w:spacing w:line="240" w:lineRule="auto"/>
        <w:jc w:val="both"/>
        <w:rPr>
          <w:rFonts w:ascii="Times New Roman" w:hAnsi="Times New Roman" w:cs="Times New Roman"/>
          <w:sz w:val="24"/>
          <w:szCs w:val="24"/>
        </w:rPr>
      </w:pPr>
    </w:p>
    <w:p w14:paraId="5BE376E1" w14:textId="77777777" w:rsidR="00F95B88" w:rsidRDefault="00F95B88">
      <w:pPr>
        <w:rPr>
          <w:rFonts w:ascii="Times New Roman" w:hAnsi="Times New Roman" w:cs="Times New Roman"/>
          <w:b/>
          <w:bCs/>
          <w:sz w:val="28"/>
          <w:szCs w:val="28"/>
        </w:rPr>
      </w:pPr>
      <w:r>
        <w:rPr>
          <w:rFonts w:ascii="Times New Roman" w:hAnsi="Times New Roman" w:cs="Times New Roman"/>
          <w:b/>
          <w:bCs/>
          <w:sz w:val="28"/>
          <w:szCs w:val="28"/>
        </w:rPr>
        <w:br w:type="page"/>
      </w:r>
    </w:p>
    <w:p w14:paraId="1D154AFC" w14:textId="64098295" w:rsidR="00204631" w:rsidRPr="00060515" w:rsidRDefault="00060515" w:rsidP="00204631">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ANNEX </w:t>
      </w:r>
      <w:r w:rsidR="00204631" w:rsidRPr="00060515">
        <w:rPr>
          <w:rFonts w:ascii="Times New Roman" w:hAnsi="Times New Roman" w:cs="Times New Roman"/>
          <w:b/>
          <w:bCs/>
          <w:sz w:val="28"/>
          <w:szCs w:val="28"/>
        </w:rPr>
        <w:t>I:</w:t>
      </w:r>
    </w:p>
    <w:p w14:paraId="2A48D623" w14:textId="4CEE01C9" w:rsidR="0006183C" w:rsidRPr="0006183C" w:rsidRDefault="00060515" w:rsidP="0006183C">
      <w:pPr>
        <w:spacing w:before="240" w:line="240" w:lineRule="auto"/>
        <w:jc w:val="center"/>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 xml:space="preserve">Table 5. Regression result for specification 1 of </w:t>
      </w:r>
      <w:r w:rsidR="002E11D9">
        <w:rPr>
          <w:rFonts w:ascii="Times New Roman" w:eastAsiaTheme="minorEastAsia" w:hAnsi="Times New Roman" w:cs="Times New Roman"/>
          <w:b/>
          <w:bCs/>
          <w:sz w:val="24"/>
          <w:szCs w:val="24"/>
          <w:u w:val="single"/>
        </w:rPr>
        <w:t>E</w:t>
      </w:r>
      <w:r>
        <w:rPr>
          <w:rFonts w:ascii="Times New Roman" w:eastAsiaTheme="minorEastAsia" w:hAnsi="Times New Roman" w:cs="Times New Roman"/>
          <w:b/>
          <w:bCs/>
          <w:sz w:val="24"/>
          <w:szCs w:val="24"/>
          <w:u w:val="single"/>
        </w:rPr>
        <w:t>quation 1</w:t>
      </w:r>
      <w:r w:rsidR="00370D75">
        <w:tab/>
      </w:r>
      <w:r w:rsidR="00370D75">
        <w:fldChar w:fldCharType="begin"/>
      </w:r>
      <w:r w:rsidR="00370D75">
        <w:instrText xml:space="preserve"> LINK </w:instrText>
      </w:r>
      <w:r w:rsidR="0011635A">
        <w:instrText xml:space="preserve">Excel.Sheet.12 "C:\\Users\\camil\\Dropbox\\Artículos académicos\\Similarity of ECB’s communication\\2Tables.xlsx" "Reg 1!R3C1:R18C7" </w:instrText>
      </w:r>
      <w:r w:rsidR="00370D75">
        <w:instrText xml:space="preserve">\a \f 4 \h  \* MERGEFORMAT </w:instrText>
      </w:r>
      <w:r w:rsidR="00370D75">
        <w:fldChar w:fldCharType="separate"/>
      </w:r>
    </w:p>
    <w:tbl>
      <w:tblPr>
        <w:tblW w:w="7639" w:type="dxa"/>
        <w:jc w:val="center"/>
        <w:tblLook w:val="04A0" w:firstRow="1" w:lastRow="0" w:firstColumn="1" w:lastColumn="0" w:noHBand="0" w:noVBand="1"/>
      </w:tblPr>
      <w:tblGrid>
        <w:gridCol w:w="1671"/>
        <w:gridCol w:w="718"/>
        <w:gridCol w:w="1257"/>
        <w:gridCol w:w="1000"/>
        <w:gridCol w:w="864"/>
        <w:gridCol w:w="1136"/>
        <w:gridCol w:w="1000"/>
      </w:tblGrid>
      <w:tr w:rsidR="0006183C" w:rsidRPr="0006183C" w14:paraId="4B4782E4" w14:textId="77777777" w:rsidTr="0006183C">
        <w:trPr>
          <w:divId w:val="45837384"/>
          <w:trHeight w:val="288"/>
          <w:jc w:val="center"/>
        </w:trPr>
        <w:tc>
          <w:tcPr>
            <w:tcW w:w="2382" w:type="dxa"/>
            <w:gridSpan w:val="2"/>
            <w:tcBorders>
              <w:top w:val="single" w:sz="4" w:space="0" w:color="auto"/>
              <w:left w:val="nil"/>
              <w:bottom w:val="nil"/>
              <w:right w:val="nil"/>
            </w:tcBorders>
            <w:shd w:val="clear" w:color="auto" w:fill="auto"/>
            <w:noWrap/>
            <w:vAlign w:val="bottom"/>
            <w:hideMark/>
          </w:tcPr>
          <w:p w14:paraId="1F363ED5" w14:textId="60760273"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Dep. Variable:   </w:t>
            </w:r>
          </w:p>
        </w:tc>
        <w:tc>
          <w:tcPr>
            <w:tcW w:w="1257" w:type="dxa"/>
            <w:tcBorders>
              <w:top w:val="single" w:sz="4" w:space="0" w:color="auto"/>
              <w:left w:val="nil"/>
              <w:bottom w:val="nil"/>
              <w:right w:val="nil"/>
            </w:tcBorders>
            <w:shd w:val="clear" w:color="auto" w:fill="auto"/>
            <w:noWrap/>
            <w:vAlign w:val="center"/>
            <w:hideMark/>
          </w:tcPr>
          <w:p w14:paraId="7F15235A"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Similarity      </w:t>
            </w:r>
          </w:p>
        </w:tc>
        <w:tc>
          <w:tcPr>
            <w:tcW w:w="1000" w:type="dxa"/>
            <w:tcBorders>
              <w:top w:val="single" w:sz="4" w:space="0" w:color="auto"/>
              <w:left w:val="nil"/>
              <w:bottom w:val="nil"/>
              <w:right w:val="nil"/>
            </w:tcBorders>
            <w:shd w:val="clear" w:color="auto" w:fill="auto"/>
            <w:noWrap/>
            <w:vAlign w:val="bottom"/>
            <w:hideMark/>
          </w:tcPr>
          <w:p w14:paraId="68FA39D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single" w:sz="4" w:space="0" w:color="auto"/>
              <w:left w:val="nil"/>
              <w:bottom w:val="nil"/>
              <w:right w:val="nil"/>
            </w:tcBorders>
            <w:shd w:val="clear" w:color="auto" w:fill="auto"/>
            <w:noWrap/>
            <w:vAlign w:val="bottom"/>
            <w:hideMark/>
          </w:tcPr>
          <w:p w14:paraId="6288E62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R-squared:         </w:t>
            </w:r>
          </w:p>
        </w:tc>
        <w:tc>
          <w:tcPr>
            <w:tcW w:w="1000" w:type="dxa"/>
            <w:tcBorders>
              <w:top w:val="single" w:sz="4" w:space="0" w:color="auto"/>
              <w:left w:val="nil"/>
              <w:bottom w:val="nil"/>
              <w:right w:val="nil"/>
            </w:tcBorders>
            <w:shd w:val="clear" w:color="auto" w:fill="auto"/>
            <w:noWrap/>
            <w:vAlign w:val="bottom"/>
            <w:hideMark/>
          </w:tcPr>
          <w:p w14:paraId="38F2879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0.088</w:t>
            </w:r>
          </w:p>
        </w:tc>
      </w:tr>
      <w:tr w:rsidR="0006183C" w:rsidRPr="0006183C" w14:paraId="1E0A2CA3" w14:textId="77777777" w:rsidTr="0006183C">
        <w:trPr>
          <w:divId w:val="45837384"/>
          <w:trHeight w:val="288"/>
          <w:jc w:val="center"/>
        </w:trPr>
        <w:tc>
          <w:tcPr>
            <w:tcW w:w="2382" w:type="dxa"/>
            <w:gridSpan w:val="2"/>
            <w:tcBorders>
              <w:top w:val="nil"/>
              <w:left w:val="nil"/>
              <w:bottom w:val="nil"/>
              <w:right w:val="nil"/>
            </w:tcBorders>
            <w:shd w:val="clear" w:color="auto" w:fill="auto"/>
            <w:noWrap/>
            <w:vAlign w:val="bottom"/>
            <w:hideMark/>
          </w:tcPr>
          <w:p w14:paraId="11754E0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Model:           </w:t>
            </w:r>
          </w:p>
        </w:tc>
        <w:tc>
          <w:tcPr>
            <w:tcW w:w="1257" w:type="dxa"/>
            <w:tcBorders>
              <w:top w:val="nil"/>
              <w:left w:val="nil"/>
              <w:bottom w:val="nil"/>
              <w:right w:val="nil"/>
            </w:tcBorders>
            <w:shd w:val="clear" w:color="auto" w:fill="auto"/>
            <w:noWrap/>
            <w:vAlign w:val="center"/>
            <w:hideMark/>
          </w:tcPr>
          <w:p w14:paraId="5C3F3D48"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OLS             </w:t>
            </w:r>
          </w:p>
        </w:tc>
        <w:tc>
          <w:tcPr>
            <w:tcW w:w="1000" w:type="dxa"/>
            <w:tcBorders>
              <w:top w:val="nil"/>
              <w:left w:val="nil"/>
              <w:bottom w:val="nil"/>
              <w:right w:val="nil"/>
            </w:tcBorders>
            <w:shd w:val="clear" w:color="auto" w:fill="auto"/>
            <w:noWrap/>
            <w:vAlign w:val="bottom"/>
            <w:hideMark/>
          </w:tcPr>
          <w:p w14:paraId="011ECBBA"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157A468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Adj. R-squared:    </w:t>
            </w:r>
          </w:p>
        </w:tc>
        <w:tc>
          <w:tcPr>
            <w:tcW w:w="1000" w:type="dxa"/>
            <w:tcBorders>
              <w:top w:val="nil"/>
              <w:left w:val="nil"/>
              <w:bottom w:val="nil"/>
              <w:right w:val="nil"/>
            </w:tcBorders>
            <w:shd w:val="clear" w:color="auto" w:fill="auto"/>
            <w:noWrap/>
            <w:vAlign w:val="bottom"/>
            <w:hideMark/>
          </w:tcPr>
          <w:p w14:paraId="0EEFBBF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0.077</w:t>
            </w:r>
          </w:p>
        </w:tc>
      </w:tr>
      <w:tr w:rsidR="0006183C" w:rsidRPr="0006183C" w14:paraId="0D4A43DF" w14:textId="77777777" w:rsidTr="0006183C">
        <w:trPr>
          <w:divId w:val="45837384"/>
          <w:trHeight w:val="288"/>
          <w:jc w:val="center"/>
        </w:trPr>
        <w:tc>
          <w:tcPr>
            <w:tcW w:w="2382" w:type="dxa"/>
            <w:gridSpan w:val="2"/>
            <w:tcBorders>
              <w:top w:val="nil"/>
              <w:left w:val="nil"/>
              <w:bottom w:val="nil"/>
              <w:right w:val="nil"/>
            </w:tcBorders>
            <w:shd w:val="clear" w:color="auto" w:fill="auto"/>
            <w:noWrap/>
            <w:vAlign w:val="bottom"/>
            <w:hideMark/>
          </w:tcPr>
          <w:p w14:paraId="075F32C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Method:          </w:t>
            </w:r>
          </w:p>
        </w:tc>
        <w:tc>
          <w:tcPr>
            <w:tcW w:w="1257" w:type="dxa"/>
            <w:tcBorders>
              <w:top w:val="nil"/>
              <w:left w:val="nil"/>
              <w:bottom w:val="nil"/>
              <w:right w:val="nil"/>
            </w:tcBorders>
            <w:shd w:val="clear" w:color="auto" w:fill="auto"/>
            <w:noWrap/>
            <w:vAlign w:val="center"/>
            <w:hideMark/>
          </w:tcPr>
          <w:p w14:paraId="6A2B0DE2"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Least Squares   </w:t>
            </w:r>
          </w:p>
        </w:tc>
        <w:tc>
          <w:tcPr>
            <w:tcW w:w="1000" w:type="dxa"/>
            <w:tcBorders>
              <w:top w:val="nil"/>
              <w:left w:val="nil"/>
              <w:bottom w:val="nil"/>
              <w:right w:val="nil"/>
            </w:tcBorders>
            <w:shd w:val="clear" w:color="auto" w:fill="auto"/>
            <w:noWrap/>
            <w:vAlign w:val="bottom"/>
            <w:hideMark/>
          </w:tcPr>
          <w:p w14:paraId="10C091A6"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46A056B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F-statistic:       </w:t>
            </w:r>
          </w:p>
        </w:tc>
        <w:tc>
          <w:tcPr>
            <w:tcW w:w="1000" w:type="dxa"/>
            <w:tcBorders>
              <w:top w:val="nil"/>
              <w:left w:val="nil"/>
              <w:bottom w:val="nil"/>
              <w:right w:val="nil"/>
            </w:tcBorders>
            <w:shd w:val="clear" w:color="auto" w:fill="auto"/>
            <w:noWrap/>
            <w:vAlign w:val="bottom"/>
            <w:hideMark/>
          </w:tcPr>
          <w:p w14:paraId="102C447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8.119</w:t>
            </w:r>
          </w:p>
        </w:tc>
      </w:tr>
      <w:tr w:rsidR="0006183C" w:rsidRPr="0006183C" w14:paraId="2F5744F8" w14:textId="77777777" w:rsidTr="0006183C">
        <w:trPr>
          <w:divId w:val="45837384"/>
          <w:trHeight w:val="288"/>
          <w:jc w:val="center"/>
        </w:trPr>
        <w:tc>
          <w:tcPr>
            <w:tcW w:w="2382" w:type="dxa"/>
            <w:gridSpan w:val="2"/>
            <w:tcBorders>
              <w:top w:val="nil"/>
              <w:left w:val="nil"/>
              <w:bottom w:val="nil"/>
              <w:right w:val="nil"/>
            </w:tcBorders>
            <w:shd w:val="clear" w:color="auto" w:fill="auto"/>
            <w:noWrap/>
            <w:vAlign w:val="bottom"/>
            <w:hideMark/>
          </w:tcPr>
          <w:p w14:paraId="751A8AE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No. Observations:</w:t>
            </w:r>
          </w:p>
        </w:tc>
        <w:tc>
          <w:tcPr>
            <w:tcW w:w="1257" w:type="dxa"/>
            <w:tcBorders>
              <w:top w:val="nil"/>
              <w:left w:val="nil"/>
              <w:bottom w:val="nil"/>
              <w:right w:val="nil"/>
            </w:tcBorders>
            <w:shd w:val="clear" w:color="auto" w:fill="auto"/>
            <w:noWrap/>
            <w:vAlign w:val="center"/>
            <w:hideMark/>
          </w:tcPr>
          <w:p w14:paraId="16502919"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256</w:t>
            </w:r>
          </w:p>
        </w:tc>
        <w:tc>
          <w:tcPr>
            <w:tcW w:w="1000" w:type="dxa"/>
            <w:tcBorders>
              <w:top w:val="nil"/>
              <w:left w:val="nil"/>
              <w:bottom w:val="nil"/>
              <w:right w:val="nil"/>
            </w:tcBorders>
            <w:shd w:val="clear" w:color="auto" w:fill="auto"/>
            <w:noWrap/>
            <w:vAlign w:val="bottom"/>
            <w:hideMark/>
          </w:tcPr>
          <w:p w14:paraId="1C4561C0"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CC3C90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 (F-statistic):</w:t>
            </w:r>
          </w:p>
        </w:tc>
        <w:tc>
          <w:tcPr>
            <w:tcW w:w="1000" w:type="dxa"/>
            <w:tcBorders>
              <w:top w:val="nil"/>
              <w:left w:val="nil"/>
              <w:bottom w:val="nil"/>
              <w:right w:val="nil"/>
            </w:tcBorders>
            <w:shd w:val="clear" w:color="auto" w:fill="auto"/>
            <w:noWrap/>
            <w:vAlign w:val="bottom"/>
            <w:hideMark/>
          </w:tcPr>
          <w:p w14:paraId="6E04204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3.50E-05</w:t>
            </w:r>
          </w:p>
        </w:tc>
      </w:tr>
      <w:tr w:rsidR="0006183C" w:rsidRPr="0006183C" w14:paraId="7A209E27" w14:textId="77777777" w:rsidTr="0006183C">
        <w:trPr>
          <w:divId w:val="45837384"/>
          <w:trHeight w:val="288"/>
          <w:jc w:val="center"/>
        </w:trPr>
        <w:tc>
          <w:tcPr>
            <w:tcW w:w="2382" w:type="dxa"/>
            <w:gridSpan w:val="2"/>
            <w:tcBorders>
              <w:top w:val="nil"/>
              <w:left w:val="nil"/>
              <w:bottom w:val="nil"/>
              <w:right w:val="nil"/>
            </w:tcBorders>
            <w:shd w:val="clear" w:color="auto" w:fill="auto"/>
            <w:noWrap/>
            <w:vAlign w:val="bottom"/>
            <w:hideMark/>
          </w:tcPr>
          <w:p w14:paraId="41FDBDA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Residuals:    </w:t>
            </w:r>
          </w:p>
        </w:tc>
        <w:tc>
          <w:tcPr>
            <w:tcW w:w="1257" w:type="dxa"/>
            <w:tcBorders>
              <w:top w:val="nil"/>
              <w:left w:val="nil"/>
              <w:bottom w:val="nil"/>
              <w:right w:val="nil"/>
            </w:tcBorders>
            <w:shd w:val="clear" w:color="auto" w:fill="auto"/>
            <w:noWrap/>
            <w:vAlign w:val="center"/>
            <w:hideMark/>
          </w:tcPr>
          <w:p w14:paraId="3E6093AB"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252</w:t>
            </w:r>
          </w:p>
        </w:tc>
        <w:tc>
          <w:tcPr>
            <w:tcW w:w="1000" w:type="dxa"/>
            <w:tcBorders>
              <w:top w:val="nil"/>
              <w:left w:val="nil"/>
              <w:bottom w:val="nil"/>
              <w:right w:val="nil"/>
            </w:tcBorders>
            <w:shd w:val="clear" w:color="auto" w:fill="auto"/>
            <w:noWrap/>
            <w:vAlign w:val="bottom"/>
            <w:hideMark/>
          </w:tcPr>
          <w:p w14:paraId="1A0DDA38"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0795AA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Log-Likelihood:    </w:t>
            </w:r>
          </w:p>
        </w:tc>
        <w:tc>
          <w:tcPr>
            <w:tcW w:w="1000" w:type="dxa"/>
            <w:tcBorders>
              <w:top w:val="nil"/>
              <w:left w:val="nil"/>
              <w:bottom w:val="nil"/>
              <w:right w:val="nil"/>
            </w:tcBorders>
            <w:shd w:val="clear" w:color="auto" w:fill="auto"/>
            <w:noWrap/>
            <w:vAlign w:val="bottom"/>
            <w:hideMark/>
          </w:tcPr>
          <w:p w14:paraId="6A9891D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-253.68</w:t>
            </w:r>
          </w:p>
        </w:tc>
      </w:tr>
      <w:tr w:rsidR="0006183C" w:rsidRPr="0006183C" w14:paraId="38E43160" w14:textId="77777777" w:rsidTr="0006183C">
        <w:trPr>
          <w:divId w:val="45837384"/>
          <w:trHeight w:val="288"/>
          <w:jc w:val="center"/>
        </w:trPr>
        <w:tc>
          <w:tcPr>
            <w:tcW w:w="2382" w:type="dxa"/>
            <w:gridSpan w:val="2"/>
            <w:tcBorders>
              <w:top w:val="nil"/>
              <w:left w:val="nil"/>
              <w:bottom w:val="nil"/>
              <w:right w:val="nil"/>
            </w:tcBorders>
            <w:shd w:val="clear" w:color="auto" w:fill="auto"/>
            <w:noWrap/>
            <w:vAlign w:val="bottom"/>
            <w:hideMark/>
          </w:tcPr>
          <w:p w14:paraId="50603A5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Model:        </w:t>
            </w:r>
          </w:p>
        </w:tc>
        <w:tc>
          <w:tcPr>
            <w:tcW w:w="1257" w:type="dxa"/>
            <w:tcBorders>
              <w:top w:val="nil"/>
              <w:left w:val="nil"/>
              <w:bottom w:val="nil"/>
              <w:right w:val="nil"/>
            </w:tcBorders>
            <w:shd w:val="clear" w:color="auto" w:fill="auto"/>
            <w:noWrap/>
            <w:vAlign w:val="center"/>
            <w:hideMark/>
          </w:tcPr>
          <w:p w14:paraId="16AA5B3F"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w:t>
            </w:r>
          </w:p>
        </w:tc>
        <w:tc>
          <w:tcPr>
            <w:tcW w:w="1000" w:type="dxa"/>
            <w:tcBorders>
              <w:top w:val="nil"/>
              <w:left w:val="nil"/>
              <w:bottom w:val="nil"/>
              <w:right w:val="nil"/>
            </w:tcBorders>
            <w:shd w:val="clear" w:color="auto" w:fill="auto"/>
            <w:noWrap/>
            <w:vAlign w:val="bottom"/>
            <w:hideMark/>
          </w:tcPr>
          <w:p w14:paraId="207B323E"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31432A6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AIC:               </w:t>
            </w:r>
          </w:p>
        </w:tc>
        <w:tc>
          <w:tcPr>
            <w:tcW w:w="1000" w:type="dxa"/>
            <w:tcBorders>
              <w:top w:val="nil"/>
              <w:left w:val="nil"/>
              <w:bottom w:val="nil"/>
              <w:right w:val="nil"/>
            </w:tcBorders>
            <w:shd w:val="clear" w:color="auto" w:fill="auto"/>
            <w:noWrap/>
            <w:vAlign w:val="bottom"/>
            <w:hideMark/>
          </w:tcPr>
          <w:p w14:paraId="78BE558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515.4</w:t>
            </w:r>
          </w:p>
        </w:tc>
      </w:tr>
      <w:tr w:rsidR="0006183C" w:rsidRPr="0006183C" w14:paraId="26C3FFD4" w14:textId="77777777" w:rsidTr="0006183C">
        <w:trPr>
          <w:divId w:val="45837384"/>
          <w:trHeight w:val="288"/>
          <w:jc w:val="center"/>
        </w:trPr>
        <w:tc>
          <w:tcPr>
            <w:tcW w:w="2382" w:type="dxa"/>
            <w:gridSpan w:val="2"/>
            <w:tcBorders>
              <w:top w:val="nil"/>
              <w:left w:val="nil"/>
              <w:bottom w:val="single" w:sz="4" w:space="0" w:color="auto"/>
              <w:right w:val="nil"/>
            </w:tcBorders>
            <w:shd w:val="clear" w:color="auto" w:fill="auto"/>
            <w:noWrap/>
            <w:vAlign w:val="bottom"/>
            <w:hideMark/>
          </w:tcPr>
          <w:p w14:paraId="25470A2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Covariance Type: </w:t>
            </w:r>
          </w:p>
        </w:tc>
        <w:tc>
          <w:tcPr>
            <w:tcW w:w="1257" w:type="dxa"/>
            <w:tcBorders>
              <w:top w:val="nil"/>
              <w:left w:val="nil"/>
              <w:bottom w:val="single" w:sz="4" w:space="0" w:color="auto"/>
              <w:right w:val="nil"/>
            </w:tcBorders>
            <w:shd w:val="clear" w:color="auto" w:fill="auto"/>
            <w:noWrap/>
            <w:vAlign w:val="center"/>
            <w:hideMark/>
          </w:tcPr>
          <w:p w14:paraId="315DC261"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nonrobust</w:t>
            </w:r>
            <w:proofErr w:type="spellEnd"/>
            <w:r w:rsidRPr="0006183C">
              <w:rPr>
                <w:rFonts w:ascii="Calibri" w:eastAsia="Times New Roman" w:hAnsi="Calibri" w:cs="Calibri"/>
                <w:color w:val="000000"/>
                <w:kern w:val="0"/>
                <w:sz w:val="18"/>
                <w:szCs w:val="18"/>
                <w14:ligatures w14:val="none"/>
              </w:rPr>
              <w:t xml:space="preserve">       </w:t>
            </w:r>
          </w:p>
        </w:tc>
        <w:tc>
          <w:tcPr>
            <w:tcW w:w="1000" w:type="dxa"/>
            <w:tcBorders>
              <w:top w:val="nil"/>
              <w:left w:val="nil"/>
              <w:bottom w:val="single" w:sz="4" w:space="0" w:color="auto"/>
              <w:right w:val="nil"/>
            </w:tcBorders>
            <w:shd w:val="clear" w:color="auto" w:fill="auto"/>
            <w:noWrap/>
            <w:vAlign w:val="bottom"/>
            <w:hideMark/>
          </w:tcPr>
          <w:p w14:paraId="74F6C3E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864" w:type="dxa"/>
            <w:tcBorders>
              <w:top w:val="nil"/>
              <w:left w:val="nil"/>
              <w:bottom w:val="single" w:sz="4" w:space="0" w:color="auto"/>
              <w:right w:val="nil"/>
            </w:tcBorders>
            <w:shd w:val="clear" w:color="auto" w:fill="auto"/>
            <w:noWrap/>
            <w:vAlign w:val="bottom"/>
            <w:hideMark/>
          </w:tcPr>
          <w:p w14:paraId="39C6456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BIC:               </w:t>
            </w:r>
          </w:p>
        </w:tc>
        <w:tc>
          <w:tcPr>
            <w:tcW w:w="1136" w:type="dxa"/>
            <w:tcBorders>
              <w:top w:val="nil"/>
              <w:left w:val="nil"/>
              <w:bottom w:val="nil"/>
              <w:right w:val="nil"/>
            </w:tcBorders>
            <w:shd w:val="clear" w:color="auto" w:fill="auto"/>
            <w:noWrap/>
            <w:vAlign w:val="bottom"/>
            <w:hideMark/>
          </w:tcPr>
          <w:p w14:paraId="0660EA7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
        </w:tc>
        <w:tc>
          <w:tcPr>
            <w:tcW w:w="1000" w:type="dxa"/>
            <w:tcBorders>
              <w:top w:val="nil"/>
              <w:left w:val="nil"/>
              <w:bottom w:val="nil"/>
              <w:right w:val="nil"/>
            </w:tcBorders>
            <w:shd w:val="clear" w:color="auto" w:fill="auto"/>
            <w:noWrap/>
            <w:vAlign w:val="bottom"/>
            <w:hideMark/>
          </w:tcPr>
          <w:p w14:paraId="4F0FA89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529.5</w:t>
            </w:r>
          </w:p>
        </w:tc>
      </w:tr>
      <w:tr w:rsidR="0006183C" w:rsidRPr="0006183C" w14:paraId="3E6CE77B" w14:textId="77777777" w:rsidTr="0006183C">
        <w:trPr>
          <w:divId w:val="45837384"/>
          <w:trHeight w:val="288"/>
          <w:jc w:val="center"/>
        </w:trPr>
        <w:tc>
          <w:tcPr>
            <w:tcW w:w="1671" w:type="dxa"/>
            <w:tcBorders>
              <w:top w:val="nil"/>
              <w:left w:val="nil"/>
              <w:bottom w:val="single" w:sz="4" w:space="0" w:color="auto"/>
              <w:right w:val="nil"/>
            </w:tcBorders>
            <w:shd w:val="clear" w:color="auto" w:fill="auto"/>
            <w:noWrap/>
            <w:vAlign w:val="bottom"/>
            <w:hideMark/>
          </w:tcPr>
          <w:p w14:paraId="483A205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
        </w:tc>
        <w:tc>
          <w:tcPr>
            <w:tcW w:w="711" w:type="dxa"/>
            <w:tcBorders>
              <w:top w:val="nil"/>
              <w:left w:val="nil"/>
              <w:bottom w:val="single" w:sz="4" w:space="0" w:color="auto"/>
              <w:right w:val="nil"/>
            </w:tcBorders>
            <w:shd w:val="clear" w:color="auto" w:fill="auto"/>
            <w:noWrap/>
            <w:vAlign w:val="bottom"/>
            <w:hideMark/>
          </w:tcPr>
          <w:p w14:paraId="78F85A0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roofErr w:type="spellStart"/>
            <w:r w:rsidRPr="0006183C">
              <w:rPr>
                <w:rFonts w:ascii="Calibri" w:eastAsia="Times New Roman" w:hAnsi="Calibri" w:cs="Calibri"/>
                <w:color w:val="000000"/>
                <w:kern w:val="0"/>
                <w:sz w:val="18"/>
                <w:szCs w:val="18"/>
                <w14:ligatures w14:val="none"/>
              </w:rPr>
              <w:t>coef</w:t>
            </w:r>
            <w:proofErr w:type="spellEnd"/>
            <w:r w:rsidRPr="0006183C">
              <w:rPr>
                <w:rFonts w:ascii="Calibri" w:eastAsia="Times New Roman" w:hAnsi="Calibri" w:cs="Calibri"/>
                <w:color w:val="000000"/>
                <w:kern w:val="0"/>
                <w:sz w:val="18"/>
                <w:szCs w:val="18"/>
                <w14:ligatures w14:val="none"/>
              </w:rPr>
              <w:t xml:space="preserve">   </w:t>
            </w:r>
          </w:p>
        </w:tc>
        <w:tc>
          <w:tcPr>
            <w:tcW w:w="1257" w:type="dxa"/>
            <w:tcBorders>
              <w:top w:val="nil"/>
              <w:left w:val="nil"/>
              <w:bottom w:val="single" w:sz="4" w:space="0" w:color="auto"/>
              <w:right w:val="nil"/>
            </w:tcBorders>
            <w:shd w:val="clear" w:color="auto" w:fill="auto"/>
            <w:noWrap/>
            <w:vAlign w:val="bottom"/>
            <w:hideMark/>
          </w:tcPr>
          <w:p w14:paraId="6AA30BB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std err </w:t>
            </w:r>
          </w:p>
        </w:tc>
        <w:tc>
          <w:tcPr>
            <w:tcW w:w="1000" w:type="dxa"/>
            <w:tcBorders>
              <w:top w:val="nil"/>
              <w:left w:val="nil"/>
              <w:bottom w:val="single" w:sz="4" w:space="0" w:color="auto"/>
              <w:right w:val="nil"/>
            </w:tcBorders>
            <w:shd w:val="clear" w:color="auto" w:fill="auto"/>
            <w:noWrap/>
            <w:vAlign w:val="bottom"/>
            <w:hideMark/>
          </w:tcPr>
          <w:p w14:paraId="0C04926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t    </w:t>
            </w:r>
          </w:p>
        </w:tc>
        <w:tc>
          <w:tcPr>
            <w:tcW w:w="864" w:type="dxa"/>
            <w:tcBorders>
              <w:top w:val="nil"/>
              <w:left w:val="nil"/>
              <w:bottom w:val="single" w:sz="4" w:space="0" w:color="auto"/>
              <w:right w:val="nil"/>
            </w:tcBorders>
            <w:shd w:val="clear" w:color="auto" w:fill="auto"/>
            <w:noWrap/>
            <w:vAlign w:val="bottom"/>
            <w:hideMark/>
          </w:tcPr>
          <w:p w14:paraId="2670E14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P&gt;|t| </w:t>
            </w:r>
          </w:p>
        </w:tc>
        <w:tc>
          <w:tcPr>
            <w:tcW w:w="1136" w:type="dxa"/>
            <w:tcBorders>
              <w:top w:val="single" w:sz="4" w:space="0" w:color="auto"/>
              <w:left w:val="nil"/>
              <w:bottom w:val="single" w:sz="4" w:space="0" w:color="auto"/>
              <w:right w:val="nil"/>
            </w:tcBorders>
            <w:shd w:val="clear" w:color="auto" w:fill="auto"/>
            <w:noWrap/>
            <w:vAlign w:val="bottom"/>
            <w:hideMark/>
          </w:tcPr>
          <w:p w14:paraId="537FC15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[0.025 </w:t>
            </w:r>
          </w:p>
        </w:tc>
        <w:tc>
          <w:tcPr>
            <w:tcW w:w="1000" w:type="dxa"/>
            <w:tcBorders>
              <w:top w:val="single" w:sz="4" w:space="0" w:color="auto"/>
              <w:left w:val="nil"/>
              <w:bottom w:val="single" w:sz="4" w:space="0" w:color="auto"/>
              <w:right w:val="nil"/>
            </w:tcBorders>
            <w:shd w:val="clear" w:color="auto" w:fill="auto"/>
            <w:noWrap/>
            <w:vAlign w:val="bottom"/>
            <w:hideMark/>
          </w:tcPr>
          <w:p w14:paraId="672981F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0.975] </w:t>
            </w:r>
          </w:p>
        </w:tc>
      </w:tr>
      <w:tr w:rsidR="0006183C" w:rsidRPr="0006183C" w14:paraId="19B3813C" w14:textId="77777777" w:rsidTr="0006183C">
        <w:trPr>
          <w:divId w:val="45837384"/>
          <w:trHeight w:val="288"/>
          <w:jc w:val="center"/>
        </w:trPr>
        <w:tc>
          <w:tcPr>
            <w:tcW w:w="1671" w:type="dxa"/>
            <w:tcBorders>
              <w:top w:val="nil"/>
              <w:left w:val="nil"/>
              <w:bottom w:val="nil"/>
              <w:right w:val="nil"/>
            </w:tcBorders>
            <w:shd w:val="clear" w:color="auto" w:fill="auto"/>
            <w:noWrap/>
            <w:vAlign w:val="bottom"/>
            <w:hideMark/>
          </w:tcPr>
          <w:p w14:paraId="72F93D5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const           </w:t>
            </w:r>
          </w:p>
        </w:tc>
        <w:tc>
          <w:tcPr>
            <w:tcW w:w="711" w:type="dxa"/>
            <w:tcBorders>
              <w:top w:val="nil"/>
              <w:left w:val="nil"/>
              <w:bottom w:val="nil"/>
              <w:right w:val="nil"/>
            </w:tcBorders>
            <w:shd w:val="clear" w:color="auto" w:fill="auto"/>
            <w:noWrap/>
            <w:vAlign w:val="bottom"/>
            <w:hideMark/>
          </w:tcPr>
          <w:p w14:paraId="5EB2FC6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-1.1466</w:t>
            </w:r>
          </w:p>
        </w:tc>
        <w:tc>
          <w:tcPr>
            <w:tcW w:w="1257" w:type="dxa"/>
            <w:tcBorders>
              <w:top w:val="nil"/>
              <w:left w:val="nil"/>
              <w:bottom w:val="nil"/>
              <w:right w:val="nil"/>
            </w:tcBorders>
            <w:shd w:val="clear" w:color="auto" w:fill="auto"/>
            <w:noWrap/>
            <w:vAlign w:val="bottom"/>
            <w:hideMark/>
          </w:tcPr>
          <w:p w14:paraId="138A1ED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0.073</w:t>
            </w:r>
          </w:p>
        </w:tc>
        <w:tc>
          <w:tcPr>
            <w:tcW w:w="1000" w:type="dxa"/>
            <w:tcBorders>
              <w:top w:val="nil"/>
              <w:left w:val="nil"/>
              <w:bottom w:val="nil"/>
              <w:right w:val="nil"/>
            </w:tcBorders>
            <w:shd w:val="clear" w:color="auto" w:fill="auto"/>
            <w:noWrap/>
            <w:vAlign w:val="bottom"/>
            <w:hideMark/>
          </w:tcPr>
          <w:p w14:paraId="34CDD7A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-15.797</w:t>
            </w:r>
          </w:p>
        </w:tc>
        <w:tc>
          <w:tcPr>
            <w:tcW w:w="864" w:type="dxa"/>
            <w:tcBorders>
              <w:top w:val="nil"/>
              <w:left w:val="nil"/>
              <w:bottom w:val="nil"/>
              <w:right w:val="nil"/>
            </w:tcBorders>
            <w:shd w:val="clear" w:color="auto" w:fill="auto"/>
            <w:noWrap/>
            <w:vAlign w:val="bottom"/>
            <w:hideMark/>
          </w:tcPr>
          <w:p w14:paraId="57D6E85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136" w:type="dxa"/>
            <w:tcBorders>
              <w:top w:val="nil"/>
              <w:left w:val="nil"/>
              <w:bottom w:val="nil"/>
              <w:right w:val="nil"/>
            </w:tcBorders>
            <w:shd w:val="clear" w:color="auto" w:fill="auto"/>
            <w:noWrap/>
            <w:vAlign w:val="bottom"/>
            <w:hideMark/>
          </w:tcPr>
          <w:p w14:paraId="6A9B9D0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-1.29</w:t>
            </w:r>
          </w:p>
        </w:tc>
        <w:tc>
          <w:tcPr>
            <w:tcW w:w="1000" w:type="dxa"/>
            <w:tcBorders>
              <w:top w:val="nil"/>
              <w:left w:val="nil"/>
              <w:bottom w:val="nil"/>
              <w:right w:val="nil"/>
            </w:tcBorders>
            <w:shd w:val="clear" w:color="auto" w:fill="auto"/>
            <w:noWrap/>
            <w:vAlign w:val="bottom"/>
            <w:hideMark/>
          </w:tcPr>
          <w:p w14:paraId="6EE31BE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-1.004</w:t>
            </w:r>
          </w:p>
        </w:tc>
      </w:tr>
      <w:tr w:rsidR="0006183C" w:rsidRPr="0006183C" w14:paraId="055261EC" w14:textId="77777777" w:rsidTr="0006183C">
        <w:trPr>
          <w:divId w:val="45837384"/>
          <w:trHeight w:val="288"/>
          <w:jc w:val="center"/>
        </w:trPr>
        <w:tc>
          <w:tcPr>
            <w:tcW w:w="1671" w:type="dxa"/>
            <w:tcBorders>
              <w:top w:val="nil"/>
              <w:left w:val="nil"/>
              <w:bottom w:val="nil"/>
              <w:right w:val="nil"/>
            </w:tcBorders>
            <w:shd w:val="clear" w:color="auto" w:fill="auto"/>
            <w:noWrap/>
            <w:vAlign w:val="bottom"/>
            <w:hideMark/>
          </w:tcPr>
          <w:p w14:paraId="1671935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output_gap_quart</w:t>
            </w:r>
            <w:proofErr w:type="spellEnd"/>
          </w:p>
        </w:tc>
        <w:tc>
          <w:tcPr>
            <w:tcW w:w="711" w:type="dxa"/>
            <w:tcBorders>
              <w:top w:val="nil"/>
              <w:left w:val="nil"/>
              <w:bottom w:val="nil"/>
              <w:right w:val="nil"/>
            </w:tcBorders>
            <w:shd w:val="clear" w:color="auto" w:fill="auto"/>
            <w:noWrap/>
            <w:vAlign w:val="bottom"/>
            <w:hideMark/>
          </w:tcPr>
          <w:p w14:paraId="1E2F5C4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3.3271</w:t>
            </w:r>
          </w:p>
        </w:tc>
        <w:tc>
          <w:tcPr>
            <w:tcW w:w="1257" w:type="dxa"/>
            <w:tcBorders>
              <w:top w:val="nil"/>
              <w:left w:val="nil"/>
              <w:bottom w:val="nil"/>
              <w:right w:val="nil"/>
            </w:tcBorders>
            <w:shd w:val="clear" w:color="auto" w:fill="auto"/>
            <w:noWrap/>
            <w:vAlign w:val="bottom"/>
            <w:hideMark/>
          </w:tcPr>
          <w:p w14:paraId="19F5106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2.404</w:t>
            </w:r>
          </w:p>
        </w:tc>
        <w:tc>
          <w:tcPr>
            <w:tcW w:w="1000" w:type="dxa"/>
            <w:tcBorders>
              <w:top w:val="nil"/>
              <w:left w:val="nil"/>
              <w:bottom w:val="nil"/>
              <w:right w:val="nil"/>
            </w:tcBorders>
            <w:shd w:val="clear" w:color="auto" w:fill="auto"/>
            <w:noWrap/>
            <w:vAlign w:val="bottom"/>
            <w:hideMark/>
          </w:tcPr>
          <w:p w14:paraId="698300C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1.384</w:t>
            </w:r>
          </w:p>
        </w:tc>
        <w:tc>
          <w:tcPr>
            <w:tcW w:w="864" w:type="dxa"/>
            <w:tcBorders>
              <w:top w:val="nil"/>
              <w:left w:val="nil"/>
              <w:bottom w:val="nil"/>
              <w:right w:val="nil"/>
            </w:tcBorders>
            <w:shd w:val="clear" w:color="auto" w:fill="auto"/>
            <w:noWrap/>
            <w:vAlign w:val="bottom"/>
            <w:hideMark/>
          </w:tcPr>
          <w:p w14:paraId="61C0D4F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0.168</w:t>
            </w:r>
          </w:p>
        </w:tc>
        <w:tc>
          <w:tcPr>
            <w:tcW w:w="1136" w:type="dxa"/>
            <w:tcBorders>
              <w:top w:val="nil"/>
              <w:left w:val="nil"/>
              <w:bottom w:val="nil"/>
              <w:right w:val="nil"/>
            </w:tcBorders>
            <w:shd w:val="clear" w:color="auto" w:fill="auto"/>
            <w:noWrap/>
            <w:vAlign w:val="bottom"/>
            <w:hideMark/>
          </w:tcPr>
          <w:p w14:paraId="3DB5D97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-1.407</w:t>
            </w:r>
          </w:p>
        </w:tc>
        <w:tc>
          <w:tcPr>
            <w:tcW w:w="1000" w:type="dxa"/>
            <w:tcBorders>
              <w:top w:val="nil"/>
              <w:left w:val="nil"/>
              <w:bottom w:val="nil"/>
              <w:right w:val="nil"/>
            </w:tcBorders>
            <w:shd w:val="clear" w:color="auto" w:fill="auto"/>
            <w:noWrap/>
            <w:vAlign w:val="bottom"/>
            <w:hideMark/>
          </w:tcPr>
          <w:p w14:paraId="0463D79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8.062</w:t>
            </w:r>
          </w:p>
        </w:tc>
      </w:tr>
      <w:tr w:rsidR="0006183C" w:rsidRPr="0006183C" w14:paraId="520E8A4F" w14:textId="77777777" w:rsidTr="0006183C">
        <w:trPr>
          <w:divId w:val="45837384"/>
          <w:trHeight w:val="288"/>
          <w:jc w:val="center"/>
        </w:trPr>
        <w:tc>
          <w:tcPr>
            <w:tcW w:w="1671" w:type="dxa"/>
            <w:tcBorders>
              <w:top w:val="nil"/>
              <w:left w:val="nil"/>
              <w:bottom w:val="nil"/>
              <w:right w:val="nil"/>
            </w:tcBorders>
            <w:shd w:val="clear" w:color="auto" w:fill="auto"/>
            <w:noWrap/>
            <w:vAlign w:val="bottom"/>
            <w:hideMark/>
          </w:tcPr>
          <w:p w14:paraId="448358B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Inflation       </w:t>
            </w:r>
          </w:p>
        </w:tc>
        <w:tc>
          <w:tcPr>
            <w:tcW w:w="711" w:type="dxa"/>
            <w:tcBorders>
              <w:top w:val="nil"/>
              <w:left w:val="nil"/>
              <w:bottom w:val="nil"/>
              <w:right w:val="nil"/>
            </w:tcBorders>
            <w:shd w:val="clear" w:color="auto" w:fill="auto"/>
            <w:noWrap/>
            <w:vAlign w:val="bottom"/>
            <w:hideMark/>
          </w:tcPr>
          <w:p w14:paraId="7DEEAD2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-14.281</w:t>
            </w:r>
          </w:p>
        </w:tc>
        <w:tc>
          <w:tcPr>
            <w:tcW w:w="1257" w:type="dxa"/>
            <w:tcBorders>
              <w:top w:val="nil"/>
              <w:left w:val="nil"/>
              <w:bottom w:val="nil"/>
              <w:right w:val="nil"/>
            </w:tcBorders>
            <w:shd w:val="clear" w:color="auto" w:fill="auto"/>
            <w:noWrap/>
            <w:vAlign w:val="bottom"/>
            <w:hideMark/>
          </w:tcPr>
          <w:p w14:paraId="4876BBF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2.914</w:t>
            </w:r>
          </w:p>
        </w:tc>
        <w:tc>
          <w:tcPr>
            <w:tcW w:w="1000" w:type="dxa"/>
            <w:tcBorders>
              <w:top w:val="nil"/>
              <w:left w:val="nil"/>
              <w:bottom w:val="nil"/>
              <w:right w:val="nil"/>
            </w:tcBorders>
            <w:shd w:val="clear" w:color="auto" w:fill="auto"/>
            <w:noWrap/>
            <w:vAlign w:val="bottom"/>
            <w:hideMark/>
          </w:tcPr>
          <w:p w14:paraId="0E15CF1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-4.9</w:t>
            </w:r>
          </w:p>
        </w:tc>
        <w:tc>
          <w:tcPr>
            <w:tcW w:w="864" w:type="dxa"/>
            <w:tcBorders>
              <w:top w:val="nil"/>
              <w:left w:val="nil"/>
              <w:bottom w:val="nil"/>
              <w:right w:val="nil"/>
            </w:tcBorders>
            <w:shd w:val="clear" w:color="auto" w:fill="auto"/>
            <w:noWrap/>
            <w:vAlign w:val="bottom"/>
            <w:hideMark/>
          </w:tcPr>
          <w:p w14:paraId="75B78A5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136" w:type="dxa"/>
            <w:tcBorders>
              <w:top w:val="nil"/>
              <w:left w:val="nil"/>
              <w:bottom w:val="nil"/>
              <w:right w:val="nil"/>
            </w:tcBorders>
            <w:shd w:val="clear" w:color="auto" w:fill="auto"/>
            <w:noWrap/>
            <w:vAlign w:val="bottom"/>
            <w:hideMark/>
          </w:tcPr>
          <w:p w14:paraId="1D4205C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-20.02</w:t>
            </w:r>
          </w:p>
        </w:tc>
        <w:tc>
          <w:tcPr>
            <w:tcW w:w="1000" w:type="dxa"/>
            <w:tcBorders>
              <w:top w:val="nil"/>
              <w:left w:val="nil"/>
              <w:bottom w:val="nil"/>
              <w:right w:val="nil"/>
            </w:tcBorders>
            <w:shd w:val="clear" w:color="auto" w:fill="auto"/>
            <w:noWrap/>
            <w:vAlign w:val="bottom"/>
            <w:hideMark/>
          </w:tcPr>
          <w:p w14:paraId="08E4F16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-8.541</w:t>
            </w:r>
          </w:p>
        </w:tc>
      </w:tr>
      <w:tr w:rsidR="0006183C" w:rsidRPr="0006183C" w14:paraId="4EC289E0" w14:textId="77777777" w:rsidTr="0006183C">
        <w:trPr>
          <w:divId w:val="45837384"/>
          <w:trHeight w:val="288"/>
          <w:jc w:val="center"/>
        </w:trPr>
        <w:tc>
          <w:tcPr>
            <w:tcW w:w="1671" w:type="dxa"/>
            <w:tcBorders>
              <w:top w:val="nil"/>
              <w:left w:val="nil"/>
              <w:bottom w:val="nil"/>
              <w:right w:val="nil"/>
            </w:tcBorders>
            <w:shd w:val="clear" w:color="auto" w:fill="auto"/>
            <w:noWrap/>
            <w:vAlign w:val="bottom"/>
            <w:hideMark/>
          </w:tcPr>
          <w:p w14:paraId="12DCDCE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Delta MRO       </w:t>
            </w:r>
          </w:p>
        </w:tc>
        <w:tc>
          <w:tcPr>
            <w:tcW w:w="711" w:type="dxa"/>
            <w:tcBorders>
              <w:top w:val="nil"/>
              <w:left w:val="nil"/>
              <w:bottom w:val="nil"/>
              <w:right w:val="nil"/>
            </w:tcBorders>
            <w:shd w:val="clear" w:color="auto" w:fill="auto"/>
            <w:noWrap/>
            <w:vAlign w:val="bottom"/>
            <w:hideMark/>
          </w:tcPr>
          <w:p w14:paraId="3E1277F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0.7098</w:t>
            </w:r>
          </w:p>
        </w:tc>
        <w:tc>
          <w:tcPr>
            <w:tcW w:w="1257" w:type="dxa"/>
            <w:tcBorders>
              <w:top w:val="nil"/>
              <w:left w:val="nil"/>
              <w:bottom w:val="nil"/>
              <w:right w:val="nil"/>
            </w:tcBorders>
            <w:shd w:val="clear" w:color="auto" w:fill="auto"/>
            <w:noWrap/>
            <w:vAlign w:val="bottom"/>
            <w:hideMark/>
          </w:tcPr>
          <w:p w14:paraId="6590D22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0.279</w:t>
            </w:r>
          </w:p>
        </w:tc>
        <w:tc>
          <w:tcPr>
            <w:tcW w:w="1000" w:type="dxa"/>
            <w:tcBorders>
              <w:top w:val="nil"/>
              <w:left w:val="nil"/>
              <w:bottom w:val="nil"/>
              <w:right w:val="nil"/>
            </w:tcBorders>
            <w:shd w:val="clear" w:color="auto" w:fill="auto"/>
            <w:noWrap/>
            <w:vAlign w:val="bottom"/>
            <w:hideMark/>
          </w:tcPr>
          <w:p w14:paraId="7FDA644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2.543</w:t>
            </w:r>
          </w:p>
        </w:tc>
        <w:tc>
          <w:tcPr>
            <w:tcW w:w="864" w:type="dxa"/>
            <w:tcBorders>
              <w:top w:val="nil"/>
              <w:left w:val="nil"/>
              <w:bottom w:val="nil"/>
              <w:right w:val="nil"/>
            </w:tcBorders>
            <w:shd w:val="clear" w:color="auto" w:fill="auto"/>
            <w:noWrap/>
            <w:vAlign w:val="bottom"/>
            <w:hideMark/>
          </w:tcPr>
          <w:p w14:paraId="7845D04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0.012</w:t>
            </w:r>
          </w:p>
        </w:tc>
        <w:tc>
          <w:tcPr>
            <w:tcW w:w="1136" w:type="dxa"/>
            <w:tcBorders>
              <w:top w:val="nil"/>
              <w:left w:val="nil"/>
              <w:bottom w:val="nil"/>
              <w:right w:val="nil"/>
            </w:tcBorders>
            <w:shd w:val="clear" w:color="auto" w:fill="auto"/>
            <w:noWrap/>
            <w:vAlign w:val="bottom"/>
            <w:hideMark/>
          </w:tcPr>
          <w:p w14:paraId="295447E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0.16</w:t>
            </w:r>
          </w:p>
        </w:tc>
        <w:tc>
          <w:tcPr>
            <w:tcW w:w="1000" w:type="dxa"/>
            <w:tcBorders>
              <w:top w:val="nil"/>
              <w:left w:val="nil"/>
              <w:bottom w:val="nil"/>
              <w:right w:val="nil"/>
            </w:tcBorders>
            <w:shd w:val="clear" w:color="auto" w:fill="auto"/>
            <w:noWrap/>
            <w:vAlign w:val="bottom"/>
            <w:hideMark/>
          </w:tcPr>
          <w:p w14:paraId="21582CF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1.259</w:t>
            </w:r>
          </w:p>
        </w:tc>
      </w:tr>
      <w:tr w:rsidR="0006183C" w:rsidRPr="0006183C" w14:paraId="081C12F2" w14:textId="77777777" w:rsidTr="0006183C">
        <w:trPr>
          <w:divId w:val="45837384"/>
          <w:trHeight w:val="288"/>
          <w:jc w:val="center"/>
        </w:trPr>
        <w:tc>
          <w:tcPr>
            <w:tcW w:w="2382" w:type="dxa"/>
            <w:gridSpan w:val="2"/>
            <w:tcBorders>
              <w:top w:val="single" w:sz="4" w:space="0" w:color="auto"/>
              <w:left w:val="nil"/>
              <w:bottom w:val="nil"/>
              <w:right w:val="nil"/>
            </w:tcBorders>
            <w:shd w:val="clear" w:color="auto" w:fill="auto"/>
            <w:noWrap/>
            <w:vAlign w:val="bottom"/>
            <w:hideMark/>
          </w:tcPr>
          <w:p w14:paraId="1830376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Omnibus:      </w:t>
            </w:r>
          </w:p>
        </w:tc>
        <w:tc>
          <w:tcPr>
            <w:tcW w:w="1257" w:type="dxa"/>
            <w:tcBorders>
              <w:top w:val="single" w:sz="4" w:space="0" w:color="auto"/>
              <w:left w:val="nil"/>
              <w:bottom w:val="nil"/>
              <w:right w:val="nil"/>
            </w:tcBorders>
            <w:shd w:val="clear" w:color="auto" w:fill="auto"/>
            <w:noWrap/>
            <w:vAlign w:val="bottom"/>
            <w:hideMark/>
          </w:tcPr>
          <w:p w14:paraId="0CCA733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92.154</w:t>
            </w:r>
          </w:p>
        </w:tc>
        <w:tc>
          <w:tcPr>
            <w:tcW w:w="1000" w:type="dxa"/>
            <w:tcBorders>
              <w:top w:val="single" w:sz="4" w:space="0" w:color="auto"/>
              <w:left w:val="nil"/>
              <w:bottom w:val="nil"/>
              <w:right w:val="nil"/>
            </w:tcBorders>
            <w:shd w:val="clear" w:color="auto" w:fill="auto"/>
            <w:noWrap/>
            <w:vAlign w:val="bottom"/>
            <w:hideMark/>
          </w:tcPr>
          <w:p w14:paraId="4DB3B89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single" w:sz="4" w:space="0" w:color="auto"/>
              <w:left w:val="nil"/>
              <w:bottom w:val="nil"/>
              <w:right w:val="nil"/>
            </w:tcBorders>
            <w:shd w:val="clear" w:color="auto" w:fill="auto"/>
            <w:noWrap/>
            <w:vAlign w:val="bottom"/>
            <w:hideMark/>
          </w:tcPr>
          <w:p w14:paraId="02BC382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Durbin-Watson:     </w:t>
            </w:r>
          </w:p>
        </w:tc>
        <w:tc>
          <w:tcPr>
            <w:tcW w:w="1000" w:type="dxa"/>
            <w:tcBorders>
              <w:top w:val="single" w:sz="4" w:space="0" w:color="auto"/>
              <w:left w:val="nil"/>
              <w:bottom w:val="nil"/>
              <w:right w:val="nil"/>
            </w:tcBorders>
            <w:shd w:val="clear" w:color="auto" w:fill="auto"/>
            <w:noWrap/>
            <w:vAlign w:val="bottom"/>
            <w:hideMark/>
          </w:tcPr>
          <w:p w14:paraId="09C2900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0.537</w:t>
            </w:r>
          </w:p>
        </w:tc>
      </w:tr>
      <w:tr w:rsidR="0006183C" w:rsidRPr="0006183C" w14:paraId="4C55ECB2" w14:textId="77777777" w:rsidTr="0006183C">
        <w:trPr>
          <w:divId w:val="45837384"/>
          <w:trHeight w:val="288"/>
          <w:jc w:val="center"/>
        </w:trPr>
        <w:tc>
          <w:tcPr>
            <w:tcW w:w="2382" w:type="dxa"/>
            <w:gridSpan w:val="2"/>
            <w:tcBorders>
              <w:top w:val="nil"/>
              <w:left w:val="nil"/>
              <w:bottom w:val="nil"/>
              <w:right w:val="nil"/>
            </w:tcBorders>
            <w:shd w:val="clear" w:color="auto" w:fill="auto"/>
            <w:noWrap/>
            <w:vAlign w:val="bottom"/>
            <w:hideMark/>
          </w:tcPr>
          <w:p w14:paraId="380F937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Prob(Omnibus):</w:t>
            </w:r>
          </w:p>
        </w:tc>
        <w:tc>
          <w:tcPr>
            <w:tcW w:w="1257" w:type="dxa"/>
            <w:tcBorders>
              <w:top w:val="nil"/>
              <w:left w:val="nil"/>
              <w:bottom w:val="nil"/>
              <w:right w:val="nil"/>
            </w:tcBorders>
            <w:shd w:val="clear" w:color="auto" w:fill="auto"/>
            <w:noWrap/>
            <w:vAlign w:val="bottom"/>
            <w:hideMark/>
          </w:tcPr>
          <w:p w14:paraId="48980FD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000" w:type="dxa"/>
            <w:tcBorders>
              <w:top w:val="nil"/>
              <w:left w:val="nil"/>
              <w:bottom w:val="nil"/>
              <w:right w:val="nil"/>
            </w:tcBorders>
            <w:shd w:val="clear" w:color="auto" w:fill="auto"/>
            <w:noWrap/>
            <w:vAlign w:val="bottom"/>
            <w:hideMark/>
          </w:tcPr>
          <w:p w14:paraId="0CA4DAD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B6B356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Jarque-Bera (JB):  </w:t>
            </w:r>
          </w:p>
        </w:tc>
        <w:tc>
          <w:tcPr>
            <w:tcW w:w="1000" w:type="dxa"/>
            <w:tcBorders>
              <w:top w:val="nil"/>
              <w:left w:val="nil"/>
              <w:bottom w:val="nil"/>
              <w:right w:val="nil"/>
            </w:tcBorders>
            <w:shd w:val="clear" w:color="auto" w:fill="auto"/>
            <w:noWrap/>
            <w:vAlign w:val="bottom"/>
            <w:hideMark/>
          </w:tcPr>
          <w:p w14:paraId="4AEB9F9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287.687</w:t>
            </w:r>
          </w:p>
        </w:tc>
      </w:tr>
      <w:tr w:rsidR="0006183C" w:rsidRPr="0006183C" w14:paraId="5D400766" w14:textId="77777777" w:rsidTr="0006183C">
        <w:trPr>
          <w:divId w:val="45837384"/>
          <w:trHeight w:val="288"/>
          <w:jc w:val="center"/>
        </w:trPr>
        <w:tc>
          <w:tcPr>
            <w:tcW w:w="2382" w:type="dxa"/>
            <w:gridSpan w:val="2"/>
            <w:tcBorders>
              <w:top w:val="nil"/>
              <w:left w:val="nil"/>
              <w:bottom w:val="nil"/>
              <w:right w:val="nil"/>
            </w:tcBorders>
            <w:shd w:val="clear" w:color="auto" w:fill="auto"/>
            <w:noWrap/>
            <w:vAlign w:val="bottom"/>
            <w:hideMark/>
          </w:tcPr>
          <w:p w14:paraId="1766532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Skew:         </w:t>
            </w:r>
          </w:p>
        </w:tc>
        <w:tc>
          <w:tcPr>
            <w:tcW w:w="1257" w:type="dxa"/>
            <w:tcBorders>
              <w:top w:val="nil"/>
              <w:left w:val="nil"/>
              <w:bottom w:val="nil"/>
              <w:right w:val="nil"/>
            </w:tcBorders>
            <w:shd w:val="clear" w:color="auto" w:fill="auto"/>
            <w:noWrap/>
            <w:vAlign w:val="bottom"/>
            <w:hideMark/>
          </w:tcPr>
          <w:p w14:paraId="4B9043D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-1.566</w:t>
            </w:r>
          </w:p>
        </w:tc>
        <w:tc>
          <w:tcPr>
            <w:tcW w:w="1000" w:type="dxa"/>
            <w:tcBorders>
              <w:top w:val="nil"/>
              <w:left w:val="nil"/>
              <w:bottom w:val="nil"/>
              <w:right w:val="nil"/>
            </w:tcBorders>
            <w:shd w:val="clear" w:color="auto" w:fill="auto"/>
            <w:noWrap/>
            <w:vAlign w:val="bottom"/>
            <w:hideMark/>
          </w:tcPr>
          <w:p w14:paraId="7886D4E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67A1DD2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Prob(JB):          </w:t>
            </w:r>
          </w:p>
        </w:tc>
        <w:tc>
          <w:tcPr>
            <w:tcW w:w="1000" w:type="dxa"/>
            <w:tcBorders>
              <w:top w:val="nil"/>
              <w:left w:val="nil"/>
              <w:bottom w:val="nil"/>
              <w:right w:val="nil"/>
            </w:tcBorders>
            <w:shd w:val="clear" w:color="auto" w:fill="auto"/>
            <w:noWrap/>
            <w:vAlign w:val="bottom"/>
            <w:hideMark/>
          </w:tcPr>
          <w:p w14:paraId="47AD451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3.38E-63</w:t>
            </w:r>
          </w:p>
        </w:tc>
      </w:tr>
      <w:tr w:rsidR="0006183C" w:rsidRPr="0006183C" w14:paraId="55FF5159" w14:textId="77777777" w:rsidTr="0006183C">
        <w:trPr>
          <w:divId w:val="45837384"/>
          <w:trHeight w:val="288"/>
          <w:jc w:val="center"/>
        </w:trPr>
        <w:tc>
          <w:tcPr>
            <w:tcW w:w="2382" w:type="dxa"/>
            <w:gridSpan w:val="2"/>
            <w:tcBorders>
              <w:top w:val="nil"/>
              <w:left w:val="nil"/>
              <w:bottom w:val="single" w:sz="4" w:space="0" w:color="auto"/>
              <w:right w:val="nil"/>
            </w:tcBorders>
            <w:shd w:val="clear" w:color="auto" w:fill="auto"/>
            <w:noWrap/>
            <w:vAlign w:val="bottom"/>
            <w:hideMark/>
          </w:tcPr>
          <w:p w14:paraId="7C68CCE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Kurtosis:     </w:t>
            </w:r>
          </w:p>
        </w:tc>
        <w:tc>
          <w:tcPr>
            <w:tcW w:w="1257" w:type="dxa"/>
            <w:tcBorders>
              <w:top w:val="nil"/>
              <w:left w:val="nil"/>
              <w:bottom w:val="single" w:sz="4" w:space="0" w:color="auto"/>
              <w:right w:val="nil"/>
            </w:tcBorders>
            <w:shd w:val="clear" w:color="auto" w:fill="auto"/>
            <w:noWrap/>
            <w:vAlign w:val="bottom"/>
            <w:hideMark/>
          </w:tcPr>
          <w:p w14:paraId="5B8A065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7.143</w:t>
            </w:r>
          </w:p>
        </w:tc>
        <w:tc>
          <w:tcPr>
            <w:tcW w:w="1000" w:type="dxa"/>
            <w:tcBorders>
              <w:top w:val="nil"/>
              <w:left w:val="nil"/>
              <w:bottom w:val="single" w:sz="4" w:space="0" w:color="auto"/>
              <w:right w:val="nil"/>
            </w:tcBorders>
            <w:shd w:val="clear" w:color="auto" w:fill="auto"/>
            <w:noWrap/>
            <w:vAlign w:val="bottom"/>
            <w:hideMark/>
          </w:tcPr>
          <w:p w14:paraId="5921656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nil"/>
              <w:left w:val="nil"/>
              <w:bottom w:val="single" w:sz="4" w:space="0" w:color="auto"/>
              <w:right w:val="nil"/>
            </w:tcBorders>
            <w:shd w:val="clear" w:color="auto" w:fill="auto"/>
            <w:noWrap/>
            <w:vAlign w:val="bottom"/>
            <w:hideMark/>
          </w:tcPr>
          <w:p w14:paraId="713C3D0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Cond. No.          </w:t>
            </w:r>
          </w:p>
        </w:tc>
        <w:tc>
          <w:tcPr>
            <w:tcW w:w="1000" w:type="dxa"/>
            <w:tcBorders>
              <w:top w:val="nil"/>
              <w:left w:val="nil"/>
              <w:bottom w:val="single" w:sz="4" w:space="0" w:color="auto"/>
              <w:right w:val="nil"/>
            </w:tcBorders>
            <w:shd w:val="clear" w:color="auto" w:fill="auto"/>
            <w:noWrap/>
            <w:vAlign w:val="bottom"/>
            <w:hideMark/>
          </w:tcPr>
          <w:p w14:paraId="2EFDB46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76.3</w:t>
            </w:r>
          </w:p>
        </w:tc>
      </w:tr>
    </w:tbl>
    <w:p w14:paraId="1361CF52" w14:textId="150AE853" w:rsidR="00060515" w:rsidRDefault="00370D75" w:rsidP="00370D75">
      <w:pPr>
        <w:spacing w:line="240" w:lineRule="auto"/>
        <w:jc w:val="center"/>
        <w:rPr>
          <w:rFonts w:ascii="Times New Roman" w:hAnsi="Times New Roman" w:cs="Times New Roman"/>
          <w:sz w:val="24"/>
          <w:szCs w:val="24"/>
        </w:rPr>
      </w:pPr>
      <w:r>
        <w:rPr>
          <w:rFonts w:ascii="Times New Roman" w:hAnsi="Times New Roman" w:cs="Times New Roman"/>
          <w:sz w:val="24"/>
          <w:szCs w:val="24"/>
        </w:rPr>
        <w:fldChar w:fldCharType="end"/>
      </w:r>
      <w:r w:rsidR="00060515">
        <w:rPr>
          <w:rFonts w:ascii="Times New Roman" w:hAnsi="Times New Roman" w:cs="Times New Roman"/>
          <w:sz w:val="24"/>
          <w:szCs w:val="24"/>
        </w:rPr>
        <w:t>Source: Own elaboration.</w:t>
      </w:r>
    </w:p>
    <w:p w14:paraId="241A61EB" w14:textId="77777777" w:rsidR="00204631" w:rsidRDefault="00204631" w:rsidP="00060515">
      <w:pPr>
        <w:spacing w:line="240" w:lineRule="auto"/>
        <w:jc w:val="center"/>
        <w:rPr>
          <w:rFonts w:ascii="Times New Roman" w:hAnsi="Times New Roman" w:cs="Times New Roman"/>
          <w:b/>
          <w:bCs/>
          <w:sz w:val="24"/>
          <w:szCs w:val="24"/>
        </w:rPr>
      </w:pPr>
    </w:p>
    <w:p w14:paraId="53D5867D" w14:textId="0A620820" w:rsidR="0006183C" w:rsidRPr="00F95B88" w:rsidRDefault="00060515" w:rsidP="00F95B88">
      <w:pPr>
        <w:spacing w:before="240" w:line="240" w:lineRule="auto"/>
        <w:jc w:val="center"/>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 xml:space="preserve">Table 6. Regression result for specification 2 of </w:t>
      </w:r>
      <w:r w:rsidR="002E11D9">
        <w:rPr>
          <w:rFonts w:ascii="Times New Roman" w:eastAsiaTheme="minorEastAsia" w:hAnsi="Times New Roman" w:cs="Times New Roman"/>
          <w:b/>
          <w:bCs/>
          <w:sz w:val="24"/>
          <w:szCs w:val="24"/>
          <w:u w:val="single"/>
        </w:rPr>
        <w:t>E</w:t>
      </w:r>
      <w:r>
        <w:rPr>
          <w:rFonts w:ascii="Times New Roman" w:eastAsiaTheme="minorEastAsia" w:hAnsi="Times New Roman" w:cs="Times New Roman"/>
          <w:b/>
          <w:bCs/>
          <w:sz w:val="24"/>
          <w:szCs w:val="24"/>
          <w:u w:val="single"/>
        </w:rPr>
        <w:t>quation 1</w:t>
      </w:r>
      <w:r w:rsidR="00370D75">
        <w:fldChar w:fldCharType="begin"/>
      </w:r>
      <w:r w:rsidR="00370D75">
        <w:instrText xml:space="preserve"> LINK </w:instrText>
      </w:r>
      <w:r w:rsidR="0011635A">
        <w:instrText xml:space="preserve">Excel.Sheet.12 "C:\\Users\\camil\\Dropbox\\Artículos académicos\\Similarity of ECB’s communication\\2Tables.xlsx" Reg2!R2C1:R15C7 </w:instrText>
      </w:r>
      <w:r w:rsidR="00370D75">
        <w:instrText xml:space="preserve">\a \f 4 \h  \* MERGEFORMAT </w:instrText>
      </w:r>
      <w:r w:rsidR="00370D75">
        <w:fldChar w:fldCharType="separate"/>
      </w:r>
    </w:p>
    <w:tbl>
      <w:tblPr>
        <w:tblW w:w="7000" w:type="dxa"/>
        <w:jc w:val="center"/>
        <w:tblLook w:val="04A0" w:firstRow="1" w:lastRow="0" w:firstColumn="1" w:lastColumn="0" w:noHBand="0" w:noVBand="1"/>
      </w:tblPr>
      <w:tblGrid>
        <w:gridCol w:w="773"/>
        <w:gridCol w:w="1227"/>
        <w:gridCol w:w="1277"/>
        <w:gridCol w:w="723"/>
        <w:gridCol w:w="762"/>
        <w:gridCol w:w="1238"/>
        <w:gridCol w:w="1000"/>
      </w:tblGrid>
      <w:tr w:rsidR="0006183C" w:rsidRPr="0006183C" w14:paraId="2B1E4720" w14:textId="77777777" w:rsidTr="0006183C">
        <w:trPr>
          <w:divId w:val="461464236"/>
          <w:trHeight w:val="288"/>
          <w:jc w:val="center"/>
        </w:trPr>
        <w:tc>
          <w:tcPr>
            <w:tcW w:w="2000" w:type="dxa"/>
            <w:gridSpan w:val="2"/>
            <w:tcBorders>
              <w:top w:val="single" w:sz="4" w:space="0" w:color="auto"/>
              <w:left w:val="nil"/>
              <w:bottom w:val="single" w:sz="4" w:space="0" w:color="auto"/>
              <w:right w:val="nil"/>
            </w:tcBorders>
            <w:shd w:val="clear" w:color="auto" w:fill="auto"/>
            <w:noWrap/>
            <w:vAlign w:val="bottom"/>
            <w:hideMark/>
          </w:tcPr>
          <w:p w14:paraId="11E45890" w14:textId="1F63D455"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Dep. Variable:   </w:t>
            </w:r>
          </w:p>
        </w:tc>
        <w:tc>
          <w:tcPr>
            <w:tcW w:w="2000" w:type="dxa"/>
            <w:gridSpan w:val="2"/>
            <w:tcBorders>
              <w:top w:val="single" w:sz="4" w:space="0" w:color="auto"/>
              <w:left w:val="nil"/>
              <w:bottom w:val="single" w:sz="4" w:space="0" w:color="auto"/>
              <w:right w:val="nil"/>
            </w:tcBorders>
            <w:shd w:val="clear" w:color="auto" w:fill="auto"/>
            <w:noWrap/>
            <w:vAlign w:val="bottom"/>
            <w:hideMark/>
          </w:tcPr>
          <w:p w14:paraId="0026450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Similarity      </w:t>
            </w:r>
          </w:p>
        </w:tc>
        <w:tc>
          <w:tcPr>
            <w:tcW w:w="2000" w:type="dxa"/>
            <w:gridSpan w:val="2"/>
            <w:tcBorders>
              <w:top w:val="single" w:sz="4" w:space="0" w:color="auto"/>
              <w:left w:val="nil"/>
              <w:bottom w:val="single" w:sz="4" w:space="0" w:color="auto"/>
              <w:right w:val="nil"/>
            </w:tcBorders>
            <w:shd w:val="clear" w:color="auto" w:fill="auto"/>
            <w:noWrap/>
            <w:vAlign w:val="bottom"/>
            <w:hideMark/>
          </w:tcPr>
          <w:p w14:paraId="5733310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R-squared:         </w:t>
            </w:r>
          </w:p>
        </w:tc>
        <w:tc>
          <w:tcPr>
            <w:tcW w:w="1000" w:type="dxa"/>
            <w:tcBorders>
              <w:top w:val="single" w:sz="4" w:space="0" w:color="auto"/>
              <w:left w:val="nil"/>
              <w:bottom w:val="single" w:sz="4" w:space="0" w:color="auto"/>
              <w:right w:val="nil"/>
            </w:tcBorders>
            <w:shd w:val="clear" w:color="auto" w:fill="auto"/>
            <w:noWrap/>
            <w:vAlign w:val="bottom"/>
            <w:hideMark/>
          </w:tcPr>
          <w:p w14:paraId="61EBB8D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0.402</w:t>
            </w:r>
          </w:p>
        </w:tc>
      </w:tr>
      <w:tr w:rsidR="0006183C" w:rsidRPr="0006183C" w14:paraId="23837FA2" w14:textId="77777777" w:rsidTr="0006183C">
        <w:trPr>
          <w:divId w:val="461464236"/>
          <w:trHeight w:val="288"/>
          <w:jc w:val="center"/>
        </w:trPr>
        <w:tc>
          <w:tcPr>
            <w:tcW w:w="2000" w:type="dxa"/>
            <w:gridSpan w:val="2"/>
            <w:tcBorders>
              <w:top w:val="nil"/>
              <w:left w:val="nil"/>
              <w:bottom w:val="nil"/>
              <w:right w:val="nil"/>
            </w:tcBorders>
            <w:shd w:val="clear" w:color="auto" w:fill="auto"/>
            <w:noWrap/>
            <w:vAlign w:val="bottom"/>
            <w:hideMark/>
          </w:tcPr>
          <w:p w14:paraId="439B739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Model:           </w:t>
            </w:r>
          </w:p>
        </w:tc>
        <w:tc>
          <w:tcPr>
            <w:tcW w:w="1277" w:type="dxa"/>
            <w:tcBorders>
              <w:top w:val="nil"/>
              <w:left w:val="nil"/>
              <w:bottom w:val="nil"/>
              <w:right w:val="nil"/>
            </w:tcBorders>
            <w:shd w:val="clear" w:color="auto" w:fill="auto"/>
            <w:noWrap/>
            <w:vAlign w:val="bottom"/>
            <w:hideMark/>
          </w:tcPr>
          <w:p w14:paraId="3DAF1179"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OLS             </w:t>
            </w:r>
          </w:p>
        </w:tc>
        <w:tc>
          <w:tcPr>
            <w:tcW w:w="723" w:type="dxa"/>
            <w:tcBorders>
              <w:top w:val="nil"/>
              <w:left w:val="nil"/>
              <w:bottom w:val="nil"/>
              <w:right w:val="nil"/>
            </w:tcBorders>
            <w:shd w:val="clear" w:color="auto" w:fill="auto"/>
            <w:noWrap/>
            <w:vAlign w:val="bottom"/>
            <w:hideMark/>
          </w:tcPr>
          <w:p w14:paraId="003E14B8"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68AD8E7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Adj. R-squared:    </w:t>
            </w:r>
          </w:p>
        </w:tc>
        <w:tc>
          <w:tcPr>
            <w:tcW w:w="1000" w:type="dxa"/>
            <w:tcBorders>
              <w:top w:val="nil"/>
              <w:left w:val="nil"/>
              <w:bottom w:val="nil"/>
              <w:right w:val="nil"/>
            </w:tcBorders>
            <w:shd w:val="clear" w:color="auto" w:fill="auto"/>
            <w:noWrap/>
            <w:vAlign w:val="bottom"/>
            <w:hideMark/>
          </w:tcPr>
          <w:p w14:paraId="653E565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0.352</w:t>
            </w:r>
          </w:p>
        </w:tc>
      </w:tr>
      <w:tr w:rsidR="0006183C" w:rsidRPr="0006183C" w14:paraId="3FEB6E88" w14:textId="77777777" w:rsidTr="0006183C">
        <w:trPr>
          <w:divId w:val="461464236"/>
          <w:trHeight w:val="288"/>
          <w:jc w:val="center"/>
        </w:trPr>
        <w:tc>
          <w:tcPr>
            <w:tcW w:w="2000" w:type="dxa"/>
            <w:gridSpan w:val="2"/>
            <w:tcBorders>
              <w:top w:val="nil"/>
              <w:left w:val="nil"/>
              <w:bottom w:val="nil"/>
              <w:right w:val="nil"/>
            </w:tcBorders>
            <w:shd w:val="clear" w:color="auto" w:fill="auto"/>
            <w:noWrap/>
            <w:vAlign w:val="bottom"/>
            <w:hideMark/>
          </w:tcPr>
          <w:p w14:paraId="06C4218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Method:          </w:t>
            </w:r>
          </w:p>
        </w:tc>
        <w:tc>
          <w:tcPr>
            <w:tcW w:w="1277" w:type="dxa"/>
            <w:tcBorders>
              <w:top w:val="nil"/>
              <w:left w:val="nil"/>
              <w:bottom w:val="nil"/>
              <w:right w:val="nil"/>
            </w:tcBorders>
            <w:shd w:val="clear" w:color="auto" w:fill="auto"/>
            <w:noWrap/>
            <w:vAlign w:val="bottom"/>
            <w:hideMark/>
          </w:tcPr>
          <w:p w14:paraId="2D46E9F2"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Least Squares   </w:t>
            </w:r>
          </w:p>
        </w:tc>
        <w:tc>
          <w:tcPr>
            <w:tcW w:w="723" w:type="dxa"/>
            <w:tcBorders>
              <w:top w:val="nil"/>
              <w:left w:val="nil"/>
              <w:bottom w:val="nil"/>
              <w:right w:val="nil"/>
            </w:tcBorders>
            <w:shd w:val="clear" w:color="auto" w:fill="auto"/>
            <w:noWrap/>
            <w:vAlign w:val="bottom"/>
            <w:hideMark/>
          </w:tcPr>
          <w:p w14:paraId="1489C1B5"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03D8F99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F-statistic:       </w:t>
            </w:r>
          </w:p>
        </w:tc>
        <w:tc>
          <w:tcPr>
            <w:tcW w:w="1000" w:type="dxa"/>
            <w:tcBorders>
              <w:top w:val="nil"/>
              <w:left w:val="nil"/>
              <w:bottom w:val="nil"/>
              <w:right w:val="nil"/>
            </w:tcBorders>
            <w:shd w:val="clear" w:color="auto" w:fill="auto"/>
            <w:noWrap/>
            <w:vAlign w:val="bottom"/>
            <w:hideMark/>
          </w:tcPr>
          <w:p w14:paraId="35EC28F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0.349</w:t>
            </w:r>
          </w:p>
        </w:tc>
      </w:tr>
      <w:tr w:rsidR="0006183C" w:rsidRPr="0006183C" w14:paraId="61514026" w14:textId="77777777" w:rsidTr="0006183C">
        <w:trPr>
          <w:divId w:val="461464236"/>
          <w:trHeight w:val="288"/>
          <w:jc w:val="center"/>
        </w:trPr>
        <w:tc>
          <w:tcPr>
            <w:tcW w:w="2000" w:type="dxa"/>
            <w:gridSpan w:val="2"/>
            <w:tcBorders>
              <w:top w:val="nil"/>
              <w:left w:val="nil"/>
              <w:bottom w:val="nil"/>
              <w:right w:val="nil"/>
            </w:tcBorders>
            <w:shd w:val="clear" w:color="auto" w:fill="auto"/>
            <w:noWrap/>
            <w:vAlign w:val="bottom"/>
            <w:hideMark/>
          </w:tcPr>
          <w:p w14:paraId="45FC2E1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No. Observations:</w:t>
            </w:r>
          </w:p>
        </w:tc>
        <w:tc>
          <w:tcPr>
            <w:tcW w:w="1277" w:type="dxa"/>
            <w:tcBorders>
              <w:top w:val="nil"/>
              <w:left w:val="nil"/>
              <w:bottom w:val="nil"/>
              <w:right w:val="nil"/>
            </w:tcBorders>
            <w:shd w:val="clear" w:color="auto" w:fill="auto"/>
            <w:noWrap/>
            <w:vAlign w:val="bottom"/>
            <w:hideMark/>
          </w:tcPr>
          <w:p w14:paraId="768154FD"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256</w:t>
            </w:r>
          </w:p>
        </w:tc>
        <w:tc>
          <w:tcPr>
            <w:tcW w:w="723" w:type="dxa"/>
            <w:tcBorders>
              <w:top w:val="nil"/>
              <w:left w:val="nil"/>
              <w:bottom w:val="nil"/>
              <w:right w:val="nil"/>
            </w:tcBorders>
            <w:shd w:val="clear" w:color="auto" w:fill="auto"/>
            <w:noWrap/>
            <w:vAlign w:val="bottom"/>
            <w:hideMark/>
          </w:tcPr>
          <w:p w14:paraId="5AA65AEE"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3AFB416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 (F-statistic):</w:t>
            </w:r>
          </w:p>
        </w:tc>
        <w:tc>
          <w:tcPr>
            <w:tcW w:w="1000" w:type="dxa"/>
            <w:tcBorders>
              <w:top w:val="nil"/>
              <w:left w:val="nil"/>
              <w:bottom w:val="nil"/>
              <w:right w:val="nil"/>
            </w:tcBorders>
            <w:shd w:val="clear" w:color="auto" w:fill="auto"/>
            <w:noWrap/>
            <w:vAlign w:val="bottom"/>
            <w:hideMark/>
          </w:tcPr>
          <w:p w14:paraId="5408668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1.38E+02</w:t>
            </w:r>
          </w:p>
        </w:tc>
      </w:tr>
      <w:tr w:rsidR="0006183C" w:rsidRPr="0006183C" w14:paraId="4552BCEE" w14:textId="77777777" w:rsidTr="0006183C">
        <w:trPr>
          <w:divId w:val="461464236"/>
          <w:trHeight w:val="288"/>
          <w:jc w:val="center"/>
        </w:trPr>
        <w:tc>
          <w:tcPr>
            <w:tcW w:w="2000" w:type="dxa"/>
            <w:gridSpan w:val="2"/>
            <w:tcBorders>
              <w:top w:val="nil"/>
              <w:left w:val="nil"/>
              <w:bottom w:val="nil"/>
              <w:right w:val="nil"/>
            </w:tcBorders>
            <w:shd w:val="clear" w:color="auto" w:fill="auto"/>
            <w:noWrap/>
            <w:vAlign w:val="bottom"/>
            <w:hideMark/>
          </w:tcPr>
          <w:p w14:paraId="0516D11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Residuals:    </w:t>
            </w:r>
          </w:p>
        </w:tc>
        <w:tc>
          <w:tcPr>
            <w:tcW w:w="1277" w:type="dxa"/>
            <w:tcBorders>
              <w:top w:val="nil"/>
              <w:left w:val="nil"/>
              <w:bottom w:val="nil"/>
              <w:right w:val="nil"/>
            </w:tcBorders>
            <w:shd w:val="clear" w:color="auto" w:fill="auto"/>
            <w:noWrap/>
            <w:vAlign w:val="bottom"/>
            <w:hideMark/>
          </w:tcPr>
          <w:p w14:paraId="5761212C"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254</w:t>
            </w:r>
          </w:p>
        </w:tc>
        <w:tc>
          <w:tcPr>
            <w:tcW w:w="723" w:type="dxa"/>
            <w:tcBorders>
              <w:top w:val="nil"/>
              <w:left w:val="nil"/>
              <w:bottom w:val="nil"/>
              <w:right w:val="nil"/>
            </w:tcBorders>
            <w:shd w:val="clear" w:color="auto" w:fill="auto"/>
            <w:noWrap/>
            <w:vAlign w:val="bottom"/>
            <w:hideMark/>
          </w:tcPr>
          <w:p w14:paraId="44427471"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4479FCA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Log-Likelihood:    </w:t>
            </w:r>
          </w:p>
        </w:tc>
        <w:tc>
          <w:tcPr>
            <w:tcW w:w="1000" w:type="dxa"/>
            <w:tcBorders>
              <w:top w:val="nil"/>
              <w:left w:val="nil"/>
              <w:bottom w:val="nil"/>
              <w:right w:val="nil"/>
            </w:tcBorders>
            <w:shd w:val="clear" w:color="auto" w:fill="auto"/>
            <w:noWrap/>
            <w:vAlign w:val="bottom"/>
            <w:hideMark/>
          </w:tcPr>
          <w:p w14:paraId="16DD5D5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1.05E-25</w:t>
            </w:r>
          </w:p>
        </w:tc>
      </w:tr>
      <w:tr w:rsidR="0006183C" w:rsidRPr="0006183C" w14:paraId="5211A15C" w14:textId="77777777" w:rsidTr="0006183C">
        <w:trPr>
          <w:divId w:val="461464236"/>
          <w:trHeight w:val="288"/>
          <w:jc w:val="center"/>
        </w:trPr>
        <w:tc>
          <w:tcPr>
            <w:tcW w:w="2000" w:type="dxa"/>
            <w:gridSpan w:val="2"/>
            <w:tcBorders>
              <w:top w:val="nil"/>
              <w:left w:val="nil"/>
              <w:bottom w:val="nil"/>
              <w:right w:val="nil"/>
            </w:tcBorders>
            <w:shd w:val="clear" w:color="auto" w:fill="auto"/>
            <w:noWrap/>
            <w:vAlign w:val="bottom"/>
            <w:hideMark/>
          </w:tcPr>
          <w:p w14:paraId="1226C6A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Model:        </w:t>
            </w:r>
          </w:p>
        </w:tc>
        <w:tc>
          <w:tcPr>
            <w:tcW w:w="1277" w:type="dxa"/>
            <w:tcBorders>
              <w:top w:val="nil"/>
              <w:left w:val="nil"/>
              <w:bottom w:val="nil"/>
              <w:right w:val="nil"/>
            </w:tcBorders>
            <w:shd w:val="clear" w:color="auto" w:fill="auto"/>
            <w:noWrap/>
            <w:vAlign w:val="bottom"/>
            <w:hideMark/>
          </w:tcPr>
          <w:p w14:paraId="749F1C53"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w:t>
            </w:r>
          </w:p>
        </w:tc>
        <w:tc>
          <w:tcPr>
            <w:tcW w:w="723" w:type="dxa"/>
            <w:tcBorders>
              <w:top w:val="nil"/>
              <w:left w:val="nil"/>
              <w:bottom w:val="nil"/>
              <w:right w:val="nil"/>
            </w:tcBorders>
            <w:shd w:val="clear" w:color="auto" w:fill="auto"/>
            <w:noWrap/>
            <w:vAlign w:val="bottom"/>
            <w:hideMark/>
          </w:tcPr>
          <w:p w14:paraId="170E9670"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5AE0AF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AIC:               </w:t>
            </w:r>
          </w:p>
        </w:tc>
        <w:tc>
          <w:tcPr>
            <w:tcW w:w="1000" w:type="dxa"/>
            <w:tcBorders>
              <w:top w:val="nil"/>
              <w:left w:val="nil"/>
              <w:bottom w:val="nil"/>
              <w:right w:val="nil"/>
            </w:tcBorders>
            <w:shd w:val="clear" w:color="auto" w:fill="auto"/>
            <w:noWrap/>
            <w:vAlign w:val="bottom"/>
            <w:hideMark/>
          </w:tcPr>
          <w:p w14:paraId="20E6D1F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-210.02</w:t>
            </w:r>
          </w:p>
        </w:tc>
      </w:tr>
      <w:tr w:rsidR="0006183C" w:rsidRPr="0006183C" w14:paraId="27F86F56" w14:textId="77777777" w:rsidTr="0006183C">
        <w:trPr>
          <w:divId w:val="461464236"/>
          <w:trHeight w:val="288"/>
          <w:jc w:val="center"/>
        </w:trPr>
        <w:tc>
          <w:tcPr>
            <w:tcW w:w="2000" w:type="dxa"/>
            <w:gridSpan w:val="2"/>
            <w:tcBorders>
              <w:top w:val="nil"/>
              <w:left w:val="nil"/>
              <w:bottom w:val="nil"/>
              <w:right w:val="nil"/>
            </w:tcBorders>
            <w:shd w:val="clear" w:color="auto" w:fill="auto"/>
            <w:noWrap/>
            <w:vAlign w:val="bottom"/>
            <w:hideMark/>
          </w:tcPr>
          <w:p w14:paraId="09681BD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Covariance Type: </w:t>
            </w:r>
          </w:p>
        </w:tc>
        <w:tc>
          <w:tcPr>
            <w:tcW w:w="1277" w:type="dxa"/>
            <w:tcBorders>
              <w:top w:val="nil"/>
              <w:left w:val="nil"/>
              <w:bottom w:val="nil"/>
              <w:right w:val="nil"/>
            </w:tcBorders>
            <w:shd w:val="clear" w:color="auto" w:fill="auto"/>
            <w:noWrap/>
            <w:vAlign w:val="bottom"/>
            <w:hideMark/>
          </w:tcPr>
          <w:p w14:paraId="7A00E3A4"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nonrobust</w:t>
            </w:r>
            <w:proofErr w:type="spellEnd"/>
            <w:r w:rsidRPr="0006183C">
              <w:rPr>
                <w:rFonts w:ascii="Calibri" w:eastAsia="Times New Roman" w:hAnsi="Calibri" w:cs="Calibri"/>
                <w:color w:val="000000"/>
                <w:kern w:val="0"/>
                <w:sz w:val="18"/>
                <w:szCs w:val="18"/>
                <w14:ligatures w14:val="none"/>
              </w:rPr>
              <w:t xml:space="preserve">       </w:t>
            </w:r>
          </w:p>
        </w:tc>
        <w:tc>
          <w:tcPr>
            <w:tcW w:w="723" w:type="dxa"/>
            <w:tcBorders>
              <w:top w:val="nil"/>
              <w:left w:val="nil"/>
              <w:bottom w:val="nil"/>
              <w:right w:val="nil"/>
            </w:tcBorders>
            <w:shd w:val="clear" w:color="auto" w:fill="auto"/>
            <w:noWrap/>
            <w:vAlign w:val="bottom"/>
            <w:hideMark/>
          </w:tcPr>
          <w:p w14:paraId="0F29F0EF"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570CB91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BIC:               </w:t>
            </w:r>
          </w:p>
        </w:tc>
        <w:tc>
          <w:tcPr>
            <w:tcW w:w="1000" w:type="dxa"/>
            <w:tcBorders>
              <w:top w:val="nil"/>
              <w:left w:val="nil"/>
              <w:bottom w:val="nil"/>
              <w:right w:val="nil"/>
            </w:tcBorders>
            <w:shd w:val="clear" w:color="auto" w:fill="auto"/>
            <w:noWrap/>
            <w:vAlign w:val="bottom"/>
            <w:hideMark/>
          </w:tcPr>
          <w:p w14:paraId="1E25B75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424</w:t>
            </w:r>
          </w:p>
        </w:tc>
      </w:tr>
      <w:tr w:rsidR="0006183C" w:rsidRPr="0006183C" w14:paraId="0245EDAD" w14:textId="77777777" w:rsidTr="0006183C">
        <w:trPr>
          <w:divId w:val="461464236"/>
          <w:trHeight w:val="288"/>
          <w:jc w:val="center"/>
        </w:trPr>
        <w:tc>
          <w:tcPr>
            <w:tcW w:w="773" w:type="dxa"/>
            <w:tcBorders>
              <w:top w:val="single" w:sz="4" w:space="0" w:color="auto"/>
              <w:left w:val="nil"/>
              <w:bottom w:val="single" w:sz="4" w:space="0" w:color="auto"/>
              <w:right w:val="nil"/>
            </w:tcBorders>
            <w:shd w:val="clear" w:color="auto" w:fill="auto"/>
            <w:noWrap/>
            <w:vAlign w:val="bottom"/>
            <w:hideMark/>
          </w:tcPr>
          <w:p w14:paraId="00D3F61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
        </w:tc>
        <w:tc>
          <w:tcPr>
            <w:tcW w:w="1227" w:type="dxa"/>
            <w:tcBorders>
              <w:top w:val="single" w:sz="4" w:space="0" w:color="auto"/>
              <w:left w:val="nil"/>
              <w:bottom w:val="single" w:sz="4" w:space="0" w:color="auto"/>
              <w:right w:val="nil"/>
            </w:tcBorders>
            <w:shd w:val="clear" w:color="auto" w:fill="auto"/>
            <w:noWrap/>
            <w:vAlign w:val="bottom"/>
            <w:hideMark/>
          </w:tcPr>
          <w:p w14:paraId="5E94542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roofErr w:type="spellStart"/>
            <w:r w:rsidRPr="0006183C">
              <w:rPr>
                <w:rFonts w:ascii="Calibri" w:eastAsia="Times New Roman" w:hAnsi="Calibri" w:cs="Calibri"/>
                <w:color w:val="000000"/>
                <w:kern w:val="0"/>
                <w:sz w:val="18"/>
                <w:szCs w:val="18"/>
                <w14:ligatures w14:val="none"/>
              </w:rPr>
              <w:t>coef</w:t>
            </w:r>
            <w:proofErr w:type="spellEnd"/>
            <w:r w:rsidRPr="0006183C">
              <w:rPr>
                <w:rFonts w:ascii="Calibri" w:eastAsia="Times New Roman" w:hAnsi="Calibri" w:cs="Calibri"/>
                <w:color w:val="000000"/>
                <w:kern w:val="0"/>
                <w:sz w:val="18"/>
                <w:szCs w:val="18"/>
                <w14:ligatures w14:val="none"/>
              </w:rPr>
              <w:t xml:space="preserve">   </w:t>
            </w:r>
          </w:p>
        </w:tc>
        <w:tc>
          <w:tcPr>
            <w:tcW w:w="1277" w:type="dxa"/>
            <w:tcBorders>
              <w:top w:val="single" w:sz="4" w:space="0" w:color="auto"/>
              <w:left w:val="nil"/>
              <w:bottom w:val="single" w:sz="4" w:space="0" w:color="auto"/>
              <w:right w:val="nil"/>
            </w:tcBorders>
            <w:shd w:val="clear" w:color="auto" w:fill="auto"/>
            <w:noWrap/>
            <w:vAlign w:val="bottom"/>
            <w:hideMark/>
          </w:tcPr>
          <w:p w14:paraId="7B6E264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std err </w:t>
            </w:r>
          </w:p>
        </w:tc>
        <w:tc>
          <w:tcPr>
            <w:tcW w:w="723" w:type="dxa"/>
            <w:tcBorders>
              <w:top w:val="single" w:sz="4" w:space="0" w:color="auto"/>
              <w:left w:val="nil"/>
              <w:bottom w:val="single" w:sz="4" w:space="0" w:color="auto"/>
              <w:right w:val="nil"/>
            </w:tcBorders>
            <w:shd w:val="clear" w:color="auto" w:fill="auto"/>
            <w:noWrap/>
            <w:vAlign w:val="bottom"/>
            <w:hideMark/>
          </w:tcPr>
          <w:p w14:paraId="4BC0491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t    </w:t>
            </w:r>
          </w:p>
        </w:tc>
        <w:tc>
          <w:tcPr>
            <w:tcW w:w="762" w:type="dxa"/>
            <w:tcBorders>
              <w:top w:val="single" w:sz="4" w:space="0" w:color="auto"/>
              <w:left w:val="nil"/>
              <w:bottom w:val="single" w:sz="4" w:space="0" w:color="auto"/>
              <w:right w:val="nil"/>
            </w:tcBorders>
            <w:shd w:val="clear" w:color="auto" w:fill="auto"/>
            <w:noWrap/>
            <w:vAlign w:val="bottom"/>
            <w:hideMark/>
          </w:tcPr>
          <w:p w14:paraId="2AC1C22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P&gt;|t| </w:t>
            </w:r>
          </w:p>
        </w:tc>
        <w:tc>
          <w:tcPr>
            <w:tcW w:w="1238" w:type="dxa"/>
            <w:tcBorders>
              <w:top w:val="single" w:sz="4" w:space="0" w:color="auto"/>
              <w:left w:val="nil"/>
              <w:bottom w:val="single" w:sz="4" w:space="0" w:color="auto"/>
              <w:right w:val="nil"/>
            </w:tcBorders>
            <w:shd w:val="clear" w:color="auto" w:fill="auto"/>
            <w:noWrap/>
            <w:vAlign w:val="bottom"/>
            <w:hideMark/>
          </w:tcPr>
          <w:p w14:paraId="66429CE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[0.025 </w:t>
            </w:r>
          </w:p>
        </w:tc>
        <w:tc>
          <w:tcPr>
            <w:tcW w:w="1000" w:type="dxa"/>
            <w:tcBorders>
              <w:top w:val="single" w:sz="4" w:space="0" w:color="auto"/>
              <w:left w:val="nil"/>
              <w:bottom w:val="single" w:sz="4" w:space="0" w:color="auto"/>
              <w:right w:val="nil"/>
            </w:tcBorders>
            <w:shd w:val="clear" w:color="auto" w:fill="auto"/>
            <w:noWrap/>
            <w:vAlign w:val="bottom"/>
            <w:hideMark/>
          </w:tcPr>
          <w:p w14:paraId="248AF78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431.1</w:t>
            </w:r>
          </w:p>
        </w:tc>
      </w:tr>
      <w:tr w:rsidR="0006183C" w:rsidRPr="0006183C" w14:paraId="1F314220" w14:textId="77777777" w:rsidTr="0006183C">
        <w:trPr>
          <w:divId w:val="461464236"/>
          <w:trHeight w:val="288"/>
          <w:jc w:val="center"/>
        </w:trPr>
        <w:tc>
          <w:tcPr>
            <w:tcW w:w="773" w:type="dxa"/>
            <w:tcBorders>
              <w:top w:val="nil"/>
              <w:left w:val="nil"/>
              <w:bottom w:val="nil"/>
              <w:right w:val="nil"/>
            </w:tcBorders>
            <w:shd w:val="clear" w:color="auto" w:fill="auto"/>
            <w:noWrap/>
            <w:vAlign w:val="bottom"/>
            <w:hideMark/>
          </w:tcPr>
          <w:p w14:paraId="4FBBC93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const</w:t>
            </w:r>
          </w:p>
        </w:tc>
        <w:tc>
          <w:tcPr>
            <w:tcW w:w="1227" w:type="dxa"/>
            <w:tcBorders>
              <w:top w:val="nil"/>
              <w:left w:val="nil"/>
              <w:bottom w:val="nil"/>
              <w:right w:val="nil"/>
            </w:tcBorders>
            <w:shd w:val="clear" w:color="auto" w:fill="auto"/>
            <w:noWrap/>
            <w:vAlign w:val="bottom"/>
            <w:hideMark/>
          </w:tcPr>
          <w:p w14:paraId="7222DB6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-2.1095</w:t>
            </w:r>
          </w:p>
        </w:tc>
        <w:tc>
          <w:tcPr>
            <w:tcW w:w="1277" w:type="dxa"/>
            <w:tcBorders>
              <w:top w:val="nil"/>
              <w:left w:val="nil"/>
              <w:bottom w:val="nil"/>
              <w:right w:val="nil"/>
            </w:tcBorders>
            <w:shd w:val="clear" w:color="auto" w:fill="auto"/>
            <w:noWrap/>
            <w:vAlign w:val="bottom"/>
            <w:hideMark/>
          </w:tcPr>
          <w:p w14:paraId="3E481DD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0.067</w:t>
            </w:r>
          </w:p>
        </w:tc>
        <w:tc>
          <w:tcPr>
            <w:tcW w:w="723" w:type="dxa"/>
            <w:tcBorders>
              <w:top w:val="nil"/>
              <w:left w:val="nil"/>
              <w:bottom w:val="nil"/>
              <w:right w:val="nil"/>
            </w:tcBorders>
            <w:shd w:val="clear" w:color="auto" w:fill="auto"/>
            <w:noWrap/>
            <w:vAlign w:val="bottom"/>
            <w:hideMark/>
          </w:tcPr>
          <w:p w14:paraId="6FAE958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-31.627</w:t>
            </w:r>
          </w:p>
        </w:tc>
        <w:tc>
          <w:tcPr>
            <w:tcW w:w="762" w:type="dxa"/>
            <w:tcBorders>
              <w:top w:val="nil"/>
              <w:left w:val="nil"/>
              <w:bottom w:val="nil"/>
              <w:right w:val="nil"/>
            </w:tcBorders>
            <w:shd w:val="clear" w:color="auto" w:fill="auto"/>
            <w:noWrap/>
            <w:vAlign w:val="bottom"/>
            <w:hideMark/>
          </w:tcPr>
          <w:p w14:paraId="17AA571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238" w:type="dxa"/>
            <w:tcBorders>
              <w:top w:val="nil"/>
              <w:left w:val="nil"/>
              <w:bottom w:val="nil"/>
              <w:right w:val="nil"/>
            </w:tcBorders>
            <w:shd w:val="clear" w:color="auto" w:fill="auto"/>
            <w:noWrap/>
            <w:vAlign w:val="bottom"/>
            <w:hideMark/>
          </w:tcPr>
          <w:p w14:paraId="7CDD116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-2.241</w:t>
            </w:r>
          </w:p>
        </w:tc>
        <w:tc>
          <w:tcPr>
            <w:tcW w:w="1000" w:type="dxa"/>
            <w:tcBorders>
              <w:top w:val="nil"/>
              <w:left w:val="nil"/>
              <w:bottom w:val="nil"/>
              <w:right w:val="nil"/>
            </w:tcBorders>
            <w:shd w:val="clear" w:color="auto" w:fill="auto"/>
            <w:noWrap/>
            <w:vAlign w:val="bottom"/>
            <w:hideMark/>
          </w:tcPr>
          <w:p w14:paraId="47F1B81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-1.978</w:t>
            </w:r>
          </w:p>
        </w:tc>
      </w:tr>
      <w:tr w:rsidR="0006183C" w:rsidRPr="0006183C" w14:paraId="75FF2461" w14:textId="77777777" w:rsidTr="0006183C">
        <w:trPr>
          <w:divId w:val="461464236"/>
          <w:trHeight w:val="288"/>
          <w:jc w:val="center"/>
        </w:trPr>
        <w:tc>
          <w:tcPr>
            <w:tcW w:w="773" w:type="dxa"/>
            <w:tcBorders>
              <w:top w:val="nil"/>
              <w:left w:val="nil"/>
              <w:bottom w:val="single" w:sz="4" w:space="0" w:color="auto"/>
              <w:right w:val="nil"/>
            </w:tcBorders>
            <w:shd w:val="clear" w:color="auto" w:fill="auto"/>
            <w:noWrap/>
            <w:vAlign w:val="bottom"/>
            <w:hideMark/>
          </w:tcPr>
          <w:p w14:paraId="3FC2765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Time </w:t>
            </w:r>
          </w:p>
        </w:tc>
        <w:tc>
          <w:tcPr>
            <w:tcW w:w="1227" w:type="dxa"/>
            <w:tcBorders>
              <w:top w:val="nil"/>
              <w:left w:val="nil"/>
              <w:bottom w:val="single" w:sz="4" w:space="0" w:color="auto"/>
              <w:right w:val="nil"/>
            </w:tcBorders>
            <w:shd w:val="clear" w:color="auto" w:fill="auto"/>
            <w:noWrap/>
            <w:vAlign w:val="bottom"/>
            <w:hideMark/>
          </w:tcPr>
          <w:p w14:paraId="224250E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2.00E-04</w:t>
            </w:r>
          </w:p>
        </w:tc>
        <w:tc>
          <w:tcPr>
            <w:tcW w:w="1277" w:type="dxa"/>
            <w:tcBorders>
              <w:top w:val="nil"/>
              <w:left w:val="nil"/>
              <w:bottom w:val="single" w:sz="4" w:space="0" w:color="auto"/>
              <w:right w:val="nil"/>
            </w:tcBorders>
            <w:shd w:val="clear" w:color="auto" w:fill="auto"/>
            <w:noWrap/>
            <w:vAlign w:val="bottom"/>
            <w:hideMark/>
          </w:tcPr>
          <w:p w14:paraId="6526865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1.37E-05</w:t>
            </w:r>
          </w:p>
        </w:tc>
        <w:tc>
          <w:tcPr>
            <w:tcW w:w="723" w:type="dxa"/>
            <w:tcBorders>
              <w:top w:val="nil"/>
              <w:left w:val="nil"/>
              <w:bottom w:val="single" w:sz="4" w:space="0" w:color="auto"/>
              <w:right w:val="nil"/>
            </w:tcBorders>
            <w:shd w:val="clear" w:color="auto" w:fill="auto"/>
            <w:noWrap/>
            <w:vAlign w:val="bottom"/>
            <w:hideMark/>
          </w:tcPr>
          <w:p w14:paraId="11FC519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11.738</w:t>
            </w:r>
          </w:p>
        </w:tc>
        <w:tc>
          <w:tcPr>
            <w:tcW w:w="762" w:type="dxa"/>
            <w:tcBorders>
              <w:top w:val="nil"/>
              <w:left w:val="nil"/>
              <w:bottom w:val="single" w:sz="4" w:space="0" w:color="auto"/>
              <w:right w:val="nil"/>
            </w:tcBorders>
            <w:shd w:val="clear" w:color="auto" w:fill="auto"/>
            <w:noWrap/>
            <w:vAlign w:val="bottom"/>
            <w:hideMark/>
          </w:tcPr>
          <w:p w14:paraId="17D3824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238" w:type="dxa"/>
            <w:tcBorders>
              <w:top w:val="nil"/>
              <w:left w:val="nil"/>
              <w:bottom w:val="single" w:sz="4" w:space="0" w:color="auto"/>
              <w:right w:val="nil"/>
            </w:tcBorders>
            <w:shd w:val="clear" w:color="auto" w:fill="auto"/>
            <w:noWrap/>
            <w:vAlign w:val="bottom"/>
            <w:hideMark/>
          </w:tcPr>
          <w:p w14:paraId="28397E8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0.00E+00</w:t>
            </w:r>
          </w:p>
        </w:tc>
        <w:tc>
          <w:tcPr>
            <w:tcW w:w="1000" w:type="dxa"/>
            <w:tcBorders>
              <w:top w:val="nil"/>
              <w:left w:val="nil"/>
              <w:bottom w:val="single" w:sz="4" w:space="0" w:color="auto"/>
              <w:right w:val="nil"/>
            </w:tcBorders>
            <w:shd w:val="clear" w:color="auto" w:fill="auto"/>
            <w:noWrap/>
            <w:vAlign w:val="bottom"/>
            <w:hideMark/>
          </w:tcPr>
          <w:p w14:paraId="40B8361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0.00E+00</w:t>
            </w:r>
          </w:p>
        </w:tc>
      </w:tr>
      <w:tr w:rsidR="0006183C" w:rsidRPr="0006183C" w14:paraId="47E751D4" w14:textId="77777777" w:rsidTr="0006183C">
        <w:trPr>
          <w:divId w:val="461464236"/>
          <w:trHeight w:val="288"/>
          <w:jc w:val="center"/>
        </w:trPr>
        <w:tc>
          <w:tcPr>
            <w:tcW w:w="2000" w:type="dxa"/>
            <w:gridSpan w:val="2"/>
            <w:tcBorders>
              <w:top w:val="nil"/>
              <w:left w:val="nil"/>
              <w:bottom w:val="nil"/>
              <w:right w:val="nil"/>
            </w:tcBorders>
            <w:shd w:val="clear" w:color="auto" w:fill="auto"/>
            <w:noWrap/>
            <w:vAlign w:val="bottom"/>
            <w:hideMark/>
          </w:tcPr>
          <w:p w14:paraId="5823A74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Omnibus:      </w:t>
            </w:r>
          </w:p>
        </w:tc>
        <w:tc>
          <w:tcPr>
            <w:tcW w:w="1277" w:type="dxa"/>
            <w:tcBorders>
              <w:top w:val="nil"/>
              <w:left w:val="nil"/>
              <w:bottom w:val="nil"/>
              <w:right w:val="nil"/>
            </w:tcBorders>
            <w:shd w:val="clear" w:color="auto" w:fill="auto"/>
            <w:noWrap/>
            <w:vAlign w:val="bottom"/>
            <w:hideMark/>
          </w:tcPr>
          <w:p w14:paraId="6AD458E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177.648</w:t>
            </w:r>
          </w:p>
        </w:tc>
        <w:tc>
          <w:tcPr>
            <w:tcW w:w="723" w:type="dxa"/>
            <w:tcBorders>
              <w:top w:val="nil"/>
              <w:left w:val="nil"/>
              <w:bottom w:val="nil"/>
              <w:right w:val="nil"/>
            </w:tcBorders>
            <w:shd w:val="clear" w:color="auto" w:fill="auto"/>
            <w:noWrap/>
            <w:vAlign w:val="bottom"/>
            <w:hideMark/>
          </w:tcPr>
          <w:p w14:paraId="6F64870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7E9C754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Durbin-Watson:     </w:t>
            </w:r>
          </w:p>
        </w:tc>
        <w:tc>
          <w:tcPr>
            <w:tcW w:w="1000" w:type="dxa"/>
            <w:tcBorders>
              <w:top w:val="nil"/>
              <w:left w:val="nil"/>
              <w:bottom w:val="nil"/>
              <w:right w:val="nil"/>
            </w:tcBorders>
            <w:shd w:val="clear" w:color="auto" w:fill="auto"/>
            <w:noWrap/>
            <w:vAlign w:val="bottom"/>
            <w:hideMark/>
          </w:tcPr>
          <w:p w14:paraId="534CE48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0.679</w:t>
            </w:r>
          </w:p>
        </w:tc>
      </w:tr>
      <w:tr w:rsidR="0006183C" w:rsidRPr="0006183C" w14:paraId="70B40ECC" w14:textId="77777777" w:rsidTr="0006183C">
        <w:trPr>
          <w:divId w:val="461464236"/>
          <w:trHeight w:val="288"/>
          <w:jc w:val="center"/>
        </w:trPr>
        <w:tc>
          <w:tcPr>
            <w:tcW w:w="2000" w:type="dxa"/>
            <w:gridSpan w:val="2"/>
            <w:tcBorders>
              <w:top w:val="nil"/>
              <w:left w:val="nil"/>
              <w:bottom w:val="nil"/>
              <w:right w:val="nil"/>
            </w:tcBorders>
            <w:shd w:val="clear" w:color="auto" w:fill="auto"/>
            <w:noWrap/>
            <w:vAlign w:val="bottom"/>
            <w:hideMark/>
          </w:tcPr>
          <w:p w14:paraId="103AFC7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Prob(Omnibus):</w:t>
            </w:r>
          </w:p>
        </w:tc>
        <w:tc>
          <w:tcPr>
            <w:tcW w:w="1277" w:type="dxa"/>
            <w:tcBorders>
              <w:top w:val="nil"/>
              <w:left w:val="nil"/>
              <w:bottom w:val="nil"/>
              <w:right w:val="nil"/>
            </w:tcBorders>
            <w:shd w:val="clear" w:color="auto" w:fill="auto"/>
            <w:noWrap/>
            <w:vAlign w:val="bottom"/>
            <w:hideMark/>
          </w:tcPr>
          <w:p w14:paraId="41F55CB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723" w:type="dxa"/>
            <w:tcBorders>
              <w:top w:val="nil"/>
              <w:left w:val="nil"/>
              <w:bottom w:val="nil"/>
              <w:right w:val="nil"/>
            </w:tcBorders>
            <w:shd w:val="clear" w:color="auto" w:fill="auto"/>
            <w:noWrap/>
            <w:vAlign w:val="bottom"/>
            <w:hideMark/>
          </w:tcPr>
          <w:p w14:paraId="7CF3BF3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DFC555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Jarque-Bera (JB):  </w:t>
            </w:r>
          </w:p>
        </w:tc>
        <w:tc>
          <w:tcPr>
            <w:tcW w:w="1000" w:type="dxa"/>
            <w:tcBorders>
              <w:top w:val="nil"/>
              <w:left w:val="nil"/>
              <w:bottom w:val="nil"/>
              <w:right w:val="nil"/>
            </w:tcBorders>
            <w:shd w:val="clear" w:color="auto" w:fill="auto"/>
            <w:noWrap/>
            <w:vAlign w:val="bottom"/>
            <w:hideMark/>
          </w:tcPr>
          <w:p w14:paraId="4461A2E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2199.754</w:t>
            </w:r>
          </w:p>
        </w:tc>
      </w:tr>
      <w:tr w:rsidR="0006183C" w:rsidRPr="0006183C" w14:paraId="7DB04140" w14:textId="77777777" w:rsidTr="0006183C">
        <w:trPr>
          <w:divId w:val="461464236"/>
          <w:trHeight w:val="288"/>
          <w:jc w:val="center"/>
        </w:trPr>
        <w:tc>
          <w:tcPr>
            <w:tcW w:w="2000" w:type="dxa"/>
            <w:gridSpan w:val="2"/>
            <w:tcBorders>
              <w:top w:val="nil"/>
              <w:left w:val="nil"/>
              <w:bottom w:val="nil"/>
              <w:right w:val="nil"/>
            </w:tcBorders>
            <w:shd w:val="clear" w:color="auto" w:fill="auto"/>
            <w:noWrap/>
            <w:vAlign w:val="bottom"/>
            <w:hideMark/>
          </w:tcPr>
          <w:p w14:paraId="46A8AAD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Skew:         </w:t>
            </w:r>
          </w:p>
        </w:tc>
        <w:tc>
          <w:tcPr>
            <w:tcW w:w="1277" w:type="dxa"/>
            <w:tcBorders>
              <w:top w:val="nil"/>
              <w:left w:val="nil"/>
              <w:bottom w:val="nil"/>
              <w:right w:val="nil"/>
            </w:tcBorders>
            <w:shd w:val="clear" w:color="auto" w:fill="auto"/>
            <w:noWrap/>
            <w:vAlign w:val="bottom"/>
            <w:hideMark/>
          </w:tcPr>
          <w:p w14:paraId="4FAF926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-2.619</w:t>
            </w:r>
          </w:p>
        </w:tc>
        <w:tc>
          <w:tcPr>
            <w:tcW w:w="723" w:type="dxa"/>
            <w:tcBorders>
              <w:top w:val="nil"/>
              <w:left w:val="nil"/>
              <w:bottom w:val="nil"/>
              <w:right w:val="nil"/>
            </w:tcBorders>
            <w:shd w:val="clear" w:color="auto" w:fill="auto"/>
            <w:noWrap/>
            <w:vAlign w:val="bottom"/>
            <w:hideMark/>
          </w:tcPr>
          <w:p w14:paraId="1D90B3D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535015F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Prob(JB):          </w:t>
            </w:r>
          </w:p>
        </w:tc>
        <w:tc>
          <w:tcPr>
            <w:tcW w:w="1000" w:type="dxa"/>
            <w:tcBorders>
              <w:top w:val="nil"/>
              <w:left w:val="nil"/>
              <w:bottom w:val="nil"/>
              <w:right w:val="nil"/>
            </w:tcBorders>
            <w:shd w:val="clear" w:color="auto" w:fill="auto"/>
            <w:noWrap/>
            <w:vAlign w:val="bottom"/>
            <w:hideMark/>
          </w:tcPr>
          <w:p w14:paraId="4266D2C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r>
      <w:tr w:rsidR="0006183C" w:rsidRPr="0006183C" w14:paraId="17610CFD" w14:textId="77777777" w:rsidTr="0006183C">
        <w:trPr>
          <w:divId w:val="461464236"/>
          <w:trHeight w:val="288"/>
          <w:jc w:val="center"/>
        </w:trPr>
        <w:tc>
          <w:tcPr>
            <w:tcW w:w="2000" w:type="dxa"/>
            <w:gridSpan w:val="2"/>
            <w:tcBorders>
              <w:top w:val="nil"/>
              <w:left w:val="nil"/>
              <w:bottom w:val="single" w:sz="4" w:space="0" w:color="auto"/>
              <w:right w:val="nil"/>
            </w:tcBorders>
            <w:shd w:val="clear" w:color="auto" w:fill="auto"/>
            <w:noWrap/>
            <w:vAlign w:val="bottom"/>
            <w:hideMark/>
          </w:tcPr>
          <w:p w14:paraId="6DC4403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Kurtosis:     </w:t>
            </w:r>
          </w:p>
        </w:tc>
        <w:tc>
          <w:tcPr>
            <w:tcW w:w="1277" w:type="dxa"/>
            <w:tcBorders>
              <w:top w:val="nil"/>
              <w:left w:val="nil"/>
              <w:bottom w:val="single" w:sz="4" w:space="0" w:color="auto"/>
              <w:right w:val="nil"/>
            </w:tcBorders>
            <w:shd w:val="clear" w:color="auto" w:fill="auto"/>
            <w:noWrap/>
            <w:vAlign w:val="bottom"/>
            <w:hideMark/>
          </w:tcPr>
          <w:p w14:paraId="1CE0638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16.372</w:t>
            </w:r>
          </w:p>
        </w:tc>
        <w:tc>
          <w:tcPr>
            <w:tcW w:w="723" w:type="dxa"/>
            <w:tcBorders>
              <w:top w:val="nil"/>
              <w:left w:val="nil"/>
              <w:bottom w:val="single" w:sz="4" w:space="0" w:color="auto"/>
              <w:right w:val="nil"/>
            </w:tcBorders>
            <w:shd w:val="clear" w:color="auto" w:fill="auto"/>
            <w:noWrap/>
            <w:vAlign w:val="bottom"/>
            <w:hideMark/>
          </w:tcPr>
          <w:p w14:paraId="675650D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nil"/>
              <w:left w:val="nil"/>
              <w:bottom w:val="single" w:sz="4" w:space="0" w:color="auto"/>
              <w:right w:val="nil"/>
            </w:tcBorders>
            <w:shd w:val="clear" w:color="auto" w:fill="auto"/>
            <w:noWrap/>
            <w:vAlign w:val="bottom"/>
            <w:hideMark/>
          </w:tcPr>
          <w:p w14:paraId="7568F19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Cond. No.          </w:t>
            </w:r>
          </w:p>
        </w:tc>
        <w:tc>
          <w:tcPr>
            <w:tcW w:w="1000" w:type="dxa"/>
            <w:tcBorders>
              <w:top w:val="nil"/>
              <w:left w:val="nil"/>
              <w:bottom w:val="single" w:sz="4" w:space="0" w:color="auto"/>
              <w:right w:val="nil"/>
            </w:tcBorders>
            <w:shd w:val="clear" w:color="auto" w:fill="auto"/>
            <w:noWrap/>
            <w:vAlign w:val="bottom"/>
            <w:hideMark/>
          </w:tcPr>
          <w:p w14:paraId="56084C3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9.44E+03</w:t>
            </w:r>
          </w:p>
        </w:tc>
      </w:tr>
    </w:tbl>
    <w:p w14:paraId="1CFC4172" w14:textId="26EAAEC9" w:rsidR="00060515" w:rsidRDefault="00370D75" w:rsidP="00060515">
      <w:pPr>
        <w:spacing w:line="240" w:lineRule="auto"/>
        <w:jc w:val="center"/>
        <w:rPr>
          <w:rFonts w:ascii="Times New Roman" w:hAnsi="Times New Roman" w:cs="Times New Roman"/>
          <w:sz w:val="24"/>
          <w:szCs w:val="24"/>
        </w:rPr>
      </w:pPr>
      <w:r>
        <w:rPr>
          <w:rFonts w:ascii="Times New Roman" w:hAnsi="Times New Roman" w:cs="Times New Roman"/>
          <w:sz w:val="24"/>
          <w:szCs w:val="24"/>
        </w:rPr>
        <w:fldChar w:fldCharType="end"/>
      </w:r>
      <w:r w:rsidR="00060515">
        <w:rPr>
          <w:rFonts w:ascii="Times New Roman" w:hAnsi="Times New Roman" w:cs="Times New Roman"/>
          <w:sz w:val="24"/>
          <w:szCs w:val="24"/>
        </w:rPr>
        <w:t>Source: Own elaboration.</w:t>
      </w:r>
    </w:p>
    <w:p w14:paraId="05D083F8" w14:textId="77777777" w:rsidR="00060515" w:rsidRDefault="00060515" w:rsidP="00060515">
      <w:pPr>
        <w:spacing w:line="240" w:lineRule="auto"/>
        <w:jc w:val="center"/>
        <w:rPr>
          <w:rFonts w:ascii="Times New Roman" w:hAnsi="Times New Roman" w:cs="Times New Roman"/>
          <w:b/>
          <w:bCs/>
          <w:sz w:val="24"/>
          <w:szCs w:val="24"/>
        </w:rPr>
      </w:pPr>
    </w:p>
    <w:p w14:paraId="71052DD2" w14:textId="77777777" w:rsidR="00F95B88" w:rsidRDefault="00F95B88" w:rsidP="00060515">
      <w:pPr>
        <w:spacing w:line="240" w:lineRule="auto"/>
        <w:jc w:val="center"/>
        <w:rPr>
          <w:rFonts w:ascii="Times New Roman" w:hAnsi="Times New Roman" w:cs="Times New Roman"/>
          <w:b/>
          <w:bCs/>
          <w:sz w:val="24"/>
          <w:szCs w:val="24"/>
        </w:rPr>
      </w:pPr>
    </w:p>
    <w:p w14:paraId="2F1E8B82" w14:textId="3AD582C2" w:rsidR="0006183C" w:rsidRPr="0006183C" w:rsidRDefault="00060515" w:rsidP="0006183C">
      <w:pPr>
        <w:spacing w:before="240" w:line="240" w:lineRule="auto"/>
        <w:jc w:val="center"/>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lastRenderedPageBreak/>
        <w:t xml:space="preserve">Table 7. Regression result for specification 3 of </w:t>
      </w:r>
      <w:r w:rsidR="002E11D9">
        <w:rPr>
          <w:rFonts w:ascii="Times New Roman" w:eastAsiaTheme="minorEastAsia" w:hAnsi="Times New Roman" w:cs="Times New Roman"/>
          <w:b/>
          <w:bCs/>
          <w:sz w:val="24"/>
          <w:szCs w:val="24"/>
          <w:u w:val="single"/>
        </w:rPr>
        <w:t>E</w:t>
      </w:r>
      <w:r>
        <w:rPr>
          <w:rFonts w:ascii="Times New Roman" w:eastAsiaTheme="minorEastAsia" w:hAnsi="Times New Roman" w:cs="Times New Roman"/>
          <w:b/>
          <w:bCs/>
          <w:sz w:val="24"/>
          <w:szCs w:val="24"/>
          <w:u w:val="single"/>
        </w:rPr>
        <w:t>quation 1</w:t>
      </w:r>
      <w:r w:rsidR="00370D75">
        <w:fldChar w:fldCharType="begin"/>
      </w:r>
      <w:r w:rsidR="00370D75">
        <w:instrText xml:space="preserve"> LINK </w:instrText>
      </w:r>
      <w:r w:rsidR="0011635A">
        <w:instrText xml:space="preserve">Excel.Sheet.12 "C:\\Users\\camil\\Dropbox\\Artículos académicos\\Similarity of ECB’s communication\\2Tables.xlsx" Reg3!R3C1:R19C7 </w:instrText>
      </w:r>
      <w:r w:rsidR="00370D75">
        <w:instrText xml:space="preserve">\a \f 4 \h  \* MERGEFORMAT </w:instrText>
      </w:r>
      <w:r w:rsidR="00370D75">
        <w:fldChar w:fldCharType="separate"/>
      </w:r>
    </w:p>
    <w:tbl>
      <w:tblPr>
        <w:tblW w:w="7750" w:type="dxa"/>
        <w:jc w:val="center"/>
        <w:tblLook w:val="04A0" w:firstRow="1" w:lastRow="0" w:firstColumn="1" w:lastColumn="0" w:noHBand="0" w:noVBand="1"/>
      </w:tblPr>
      <w:tblGrid>
        <w:gridCol w:w="1671"/>
        <w:gridCol w:w="822"/>
        <w:gridCol w:w="1257"/>
        <w:gridCol w:w="1000"/>
        <w:gridCol w:w="764"/>
        <w:gridCol w:w="1236"/>
        <w:gridCol w:w="1000"/>
      </w:tblGrid>
      <w:tr w:rsidR="0006183C" w:rsidRPr="0006183C" w14:paraId="2F667A6A" w14:textId="77777777" w:rsidTr="0006183C">
        <w:trPr>
          <w:divId w:val="73548087"/>
          <w:trHeight w:val="288"/>
          <w:jc w:val="center"/>
        </w:trPr>
        <w:tc>
          <w:tcPr>
            <w:tcW w:w="2493" w:type="dxa"/>
            <w:gridSpan w:val="2"/>
            <w:tcBorders>
              <w:top w:val="single" w:sz="4" w:space="0" w:color="auto"/>
              <w:left w:val="nil"/>
              <w:bottom w:val="nil"/>
              <w:right w:val="nil"/>
            </w:tcBorders>
            <w:shd w:val="clear" w:color="auto" w:fill="auto"/>
            <w:noWrap/>
            <w:vAlign w:val="bottom"/>
            <w:hideMark/>
          </w:tcPr>
          <w:p w14:paraId="6F84472F" w14:textId="7BA61FCA"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Dep. Variable:   </w:t>
            </w:r>
          </w:p>
        </w:tc>
        <w:tc>
          <w:tcPr>
            <w:tcW w:w="1257" w:type="dxa"/>
            <w:tcBorders>
              <w:top w:val="single" w:sz="4" w:space="0" w:color="auto"/>
              <w:left w:val="nil"/>
              <w:bottom w:val="nil"/>
              <w:right w:val="nil"/>
            </w:tcBorders>
            <w:shd w:val="clear" w:color="auto" w:fill="auto"/>
            <w:noWrap/>
            <w:vAlign w:val="bottom"/>
            <w:hideMark/>
          </w:tcPr>
          <w:p w14:paraId="40ABD7DA"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Similarity      </w:t>
            </w:r>
          </w:p>
        </w:tc>
        <w:tc>
          <w:tcPr>
            <w:tcW w:w="1000" w:type="dxa"/>
            <w:tcBorders>
              <w:top w:val="single" w:sz="4" w:space="0" w:color="auto"/>
              <w:left w:val="nil"/>
              <w:bottom w:val="nil"/>
              <w:right w:val="nil"/>
            </w:tcBorders>
            <w:shd w:val="clear" w:color="auto" w:fill="auto"/>
            <w:noWrap/>
            <w:vAlign w:val="bottom"/>
            <w:hideMark/>
          </w:tcPr>
          <w:p w14:paraId="1B8490C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single" w:sz="4" w:space="0" w:color="auto"/>
              <w:left w:val="nil"/>
              <w:bottom w:val="nil"/>
              <w:right w:val="nil"/>
            </w:tcBorders>
            <w:shd w:val="clear" w:color="auto" w:fill="auto"/>
            <w:noWrap/>
            <w:vAlign w:val="bottom"/>
            <w:hideMark/>
          </w:tcPr>
          <w:p w14:paraId="47B1E55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R-squared:         </w:t>
            </w:r>
          </w:p>
        </w:tc>
        <w:tc>
          <w:tcPr>
            <w:tcW w:w="1000" w:type="dxa"/>
            <w:tcBorders>
              <w:top w:val="single" w:sz="4" w:space="0" w:color="auto"/>
              <w:left w:val="nil"/>
              <w:bottom w:val="nil"/>
              <w:right w:val="nil"/>
            </w:tcBorders>
            <w:shd w:val="clear" w:color="auto" w:fill="auto"/>
            <w:noWrap/>
            <w:vAlign w:val="bottom"/>
            <w:hideMark/>
          </w:tcPr>
          <w:p w14:paraId="0EB7774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0.494</w:t>
            </w:r>
          </w:p>
        </w:tc>
      </w:tr>
      <w:tr w:rsidR="0006183C" w:rsidRPr="0006183C" w14:paraId="31E1E016" w14:textId="77777777" w:rsidTr="0006183C">
        <w:trPr>
          <w:divId w:val="73548087"/>
          <w:trHeight w:val="288"/>
          <w:jc w:val="center"/>
        </w:trPr>
        <w:tc>
          <w:tcPr>
            <w:tcW w:w="2493" w:type="dxa"/>
            <w:gridSpan w:val="2"/>
            <w:tcBorders>
              <w:top w:val="nil"/>
              <w:left w:val="nil"/>
              <w:bottom w:val="nil"/>
              <w:right w:val="nil"/>
            </w:tcBorders>
            <w:shd w:val="clear" w:color="auto" w:fill="auto"/>
            <w:noWrap/>
            <w:vAlign w:val="bottom"/>
            <w:hideMark/>
          </w:tcPr>
          <w:p w14:paraId="0972F5C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Model:           </w:t>
            </w:r>
          </w:p>
        </w:tc>
        <w:tc>
          <w:tcPr>
            <w:tcW w:w="1257" w:type="dxa"/>
            <w:tcBorders>
              <w:top w:val="nil"/>
              <w:left w:val="nil"/>
              <w:bottom w:val="nil"/>
              <w:right w:val="nil"/>
            </w:tcBorders>
            <w:shd w:val="clear" w:color="auto" w:fill="auto"/>
            <w:noWrap/>
            <w:vAlign w:val="bottom"/>
            <w:hideMark/>
          </w:tcPr>
          <w:p w14:paraId="1A4B686D"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OLS             </w:t>
            </w:r>
          </w:p>
        </w:tc>
        <w:tc>
          <w:tcPr>
            <w:tcW w:w="1000" w:type="dxa"/>
            <w:tcBorders>
              <w:top w:val="nil"/>
              <w:left w:val="nil"/>
              <w:bottom w:val="nil"/>
              <w:right w:val="nil"/>
            </w:tcBorders>
            <w:shd w:val="clear" w:color="auto" w:fill="auto"/>
            <w:noWrap/>
            <w:vAlign w:val="bottom"/>
            <w:hideMark/>
          </w:tcPr>
          <w:p w14:paraId="59F1D99D"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E3648D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Adj. R-squared:    </w:t>
            </w:r>
          </w:p>
        </w:tc>
        <w:tc>
          <w:tcPr>
            <w:tcW w:w="1000" w:type="dxa"/>
            <w:tcBorders>
              <w:top w:val="nil"/>
              <w:left w:val="nil"/>
              <w:bottom w:val="nil"/>
              <w:right w:val="nil"/>
            </w:tcBorders>
            <w:shd w:val="clear" w:color="auto" w:fill="auto"/>
            <w:noWrap/>
            <w:vAlign w:val="bottom"/>
            <w:hideMark/>
          </w:tcPr>
          <w:p w14:paraId="7394E35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0.485</w:t>
            </w:r>
          </w:p>
        </w:tc>
      </w:tr>
      <w:tr w:rsidR="0006183C" w:rsidRPr="0006183C" w14:paraId="3B1346F7" w14:textId="77777777" w:rsidTr="0006183C">
        <w:trPr>
          <w:divId w:val="73548087"/>
          <w:trHeight w:val="288"/>
          <w:jc w:val="center"/>
        </w:trPr>
        <w:tc>
          <w:tcPr>
            <w:tcW w:w="2493" w:type="dxa"/>
            <w:gridSpan w:val="2"/>
            <w:tcBorders>
              <w:top w:val="nil"/>
              <w:left w:val="nil"/>
              <w:bottom w:val="nil"/>
              <w:right w:val="nil"/>
            </w:tcBorders>
            <w:shd w:val="clear" w:color="auto" w:fill="auto"/>
            <w:noWrap/>
            <w:vAlign w:val="bottom"/>
            <w:hideMark/>
          </w:tcPr>
          <w:p w14:paraId="415E8C6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Method:          </w:t>
            </w:r>
          </w:p>
        </w:tc>
        <w:tc>
          <w:tcPr>
            <w:tcW w:w="1257" w:type="dxa"/>
            <w:tcBorders>
              <w:top w:val="nil"/>
              <w:left w:val="nil"/>
              <w:bottom w:val="nil"/>
              <w:right w:val="nil"/>
            </w:tcBorders>
            <w:shd w:val="clear" w:color="auto" w:fill="auto"/>
            <w:noWrap/>
            <w:vAlign w:val="bottom"/>
            <w:hideMark/>
          </w:tcPr>
          <w:p w14:paraId="633E02AB"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Least Squares   </w:t>
            </w:r>
          </w:p>
        </w:tc>
        <w:tc>
          <w:tcPr>
            <w:tcW w:w="1000" w:type="dxa"/>
            <w:tcBorders>
              <w:top w:val="nil"/>
              <w:left w:val="nil"/>
              <w:bottom w:val="nil"/>
              <w:right w:val="nil"/>
            </w:tcBorders>
            <w:shd w:val="clear" w:color="auto" w:fill="auto"/>
            <w:noWrap/>
            <w:vAlign w:val="bottom"/>
            <w:hideMark/>
          </w:tcPr>
          <w:p w14:paraId="5CF9487D"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625ED29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F-statistic:       </w:t>
            </w:r>
          </w:p>
        </w:tc>
        <w:tc>
          <w:tcPr>
            <w:tcW w:w="1000" w:type="dxa"/>
            <w:tcBorders>
              <w:top w:val="nil"/>
              <w:left w:val="nil"/>
              <w:bottom w:val="nil"/>
              <w:right w:val="nil"/>
            </w:tcBorders>
            <w:shd w:val="clear" w:color="auto" w:fill="auto"/>
            <w:noWrap/>
            <w:vAlign w:val="bottom"/>
            <w:hideMark/>
          </w:tcPr>
          <w:p w14:paraId="6AC24D1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61.15</w:t>
            </w:r>
          </w:p>
        </w:tc>
      </w:tr>
      <w:tr w:rsidR="0006183C" w:rsidRPr="0006183C" w14:paraId="65FF5DCB" w14:textId="77777777" w:rsidTr="0006183C">
        <w:trPr>
          <w:divId w:val="73548087"/>
          <w:trHeight w:val="288"/>
          <w:jc w:val="center"/>
        </w:trPr>
        <w:tc>
          <w:tcPr>
            <w:tcW w:w="2493" w:type="dxa"/>
            <w:gridSpan w:val="2"/>
            <w:tcBorders>
              <w:top w:val="nil"/>
              <w:left w:val="nil"/>
              <w:bottom w:val="nil"/>
              <w:right w:val="nil"/>
            </w:tcBorders>
            <w:shd w:val="clear" w:color="auto" w:fill="auto"/>
            <w:noWrap/>
            <w:vAlign w:val="bottom"/>
            <w:hideMark/>
          </w:tcPr>
          <w:p w14:paraId="6D9637A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No. Observations:</w:t>
            </w:r>
          </w:p>
        </w:tc>
        <w:tc>
          <w:tcPr>
            <w:tcW w:w="1257" w:type="dxa"/>
            <w:tcBorders>
              <w:top w:val="nil"/>
              <w:left w:val="nil"/>
              <w:bottom w:val="nil"/>
              <w:right w:val="nil"/>
            </w:tcBorders>
            <w:shd w:val="clear" w:color="auto" w:fill="auto"/>
            <w:noWrap/>
            <w:vAlign w:val="bottom"/>
            <w:hideMark/>
          </w:tcPr>
          <w:p w14:paraId="36E1541D"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256</w:t>
            </w:r>
          </w:p>
        </w:tc>
        <w:tc>
          <w:tcPr>
            <w:tcW w:w="1000" w:type="dxa"/>
            <w:tcBorders>
              <w:top w:val="nil"/>
              <w:left w:val="nil"/>
              <w:bottom w:val="nil"/>
              <w:right w:val="nil"/>
            </w:tcBorders>
            <w:shd w:val="clear" w:color="auto" w:fill="auto"/>
            <w:noWrap/>
            <w:vAlign w:val="bottom"/>
            <w:hideMark/>
          </w:tcPr>
          <w:p w14:paraId="7D64A596"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19316F8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 (F-statistic):</w:t>
            </w:r>
          </w:p>
        </w:tc>
        <w:tc>
          <w:tcPr>
            <w:tcW w:w="1000" w:type="dxa"/>
            <w:tcBorders>
              <w:top w:val="nil"/>
              <w:left w:val="nil"/>
              <w:bottom w:val="nil"/>
              <w:right w:val="nil"/>
            </w:tcBorders>
            <w:shd w:val="clear" w:color="auto" w:fill="auto"/>
            <w:noWrap/>
            <w:vAlign w:val="bottom"/>
            <w:hideMark/>
          </w:tcPr>
          <w:p w14:paraId="188FF6E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5.21E-36</w:t>
            </w:r>
          </w:p>
        </w:tc>
      </w:tr>
      <w:tr w:rsidR="0006183C" w:rsidRPr="0006183C" w14:paraId="56C73ACB" w14:textId="77777777" w:rsidTr="0006183C">
        <w:trPr>
          <w:divId w:val="73548087"/>
          <w:trHeight w:val="288"/>
          <w:jc w:val="center"/>
        </w:trPr>
        <w:tc>
          <w:tcPr>
            <w:tcW w:w="2493" w:type="dxa"/>
            <w:gridSpan w:val="2"/>
            <w:tcBorders>
              <w:top w:val="nil"/>
              <w:left w:val="nil"/>
              <w:bottom w:val="nil"/>
              <w:right w:val="nil"/>
            </w:tcBorders>
            <w:shd w:val="clear" w:color="auto" w:fill="auto"/>
            <w:noWrap/>
            <w:vAlign w:val="bottom"/>
            <w:hideMark/>
          </w:tcPr>
          <w:p w14:paraId="10BE343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Residuals:    </w:t>
            </w:r>
          </w:p>
        </w:tc>
        <w:tc>
          <w:tcPr>
            <w:tcW w:w="1257" w:type="dxa"/>
            <w:tcBorders>
              <w:top w:val="nil"/>
              <w:left w:val="nil"/>
              <w:bottom w:val="nil"/>
              <w:right w:val="nil"/>
            </w:tcBorders>
            <w:shd w:val="clear" w:color="auto" w:fill="auto"/>
            <w:noWrap/>
            <w:vAlign w:val="bottom"/>
            <w:hideMark/>
          </w:tcPr>
          <w:p w14:paraId="6BE5613D"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251</w:t>
            </w:r>
          </w:p>
        </w:tc>
        <w:tc>
          <w:tcPr>
            <w:tcW w:w="1000" w:type="dxa"/>
            <w:tcBorders>
              <w:top w:val="nil"/>
              <w:left w:val="nil"/>
              <w:bottom w:val="nil"/>
              <w:right w:val="nil"/>
            </w:tcBorders>
            <w:shd w:val="clear" w:color="auto" w:fill="auto"/>
            <w:noWrap/>
            <w:vAlign w:val="bottom"/>
            <w:hideMark/>
          </w:tcPr>
          <w:p w14:paraId="59D063C2"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A8FFA6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Log-Likelihood:    </w:t>
            </w:r>
          </w:p>
        </w:tc>
        <w:tc>
          <w:tcPr>
            <w:tcW w:w="1000" w:type="dxa"/>
            <w:tcBorders>
              <w:top w:val="nil"/>
              <w:left w:val="nil"/>
              <w:bottom w:val="nil"/>
              <w:right w:val="nil"/>
            </w:tcBorders>
            <w:shd w:val="clear" w:color="auto" w:fill="auto"/>
            <w:noWrap/>
            <w:vAlign w:val="bottom"/>
            <w:hideMark/>
          </w:tcPr>
          <w:p w14:paraId="7085C44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-178.4</w:t>
            </w:r>
          </w:p>
        </w:tc>
      </w:tr>
      <w:tr w:rsidR="0006183C" w:rsidRPr="0006183C" w14:paraId="08A8CF15" w14:textId="77777777" w:rsidTr="0006183C">
        <w:trPr>
          <w:divId w:val="73548087"/>
          <w:trHeight w:val="288"/>
          <w:jc w:val="center"/>
        </w:trPr>
        <w:tc>
          <w:tcPr>
            <w:tcW w:w="2493" w:type="dxa"/>
            <w:gridSpan w:val="2"/>
            <w:tcBorders>
              <w:top w:val="nil"/>
              <w:left w:val="nil"/>
              <w:bottom w:val="nil"/>
              <w:right w:val="nil"/>
            </w:tcBorders>
            <w:shd w:val="clear" w:color="auto" w:fill="auto"/>
            <w:noWrap/>
            <w:vAlign w:val="bottom"/>
            <w:hideMark/>
          </w:tcPr>
          <w:p w14:paraId="342772B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Model:        </w:t>
            </w:r>
          </w:p>
        </w:tc>
        <w:tc>
          <w:tcPr>
            <w:tcW w:w="1257" w:type="dxa"/>
            <w:tcBorders>
              <w:top w:val="nil"/>
              <w:left w:val="nil"/>
              <w:bottom w:val="nil"/>
              <w:right w:val="nil"/>
            </w:tcBorders>
            <w:shd w:val="clear" w:color="auto" w:fill="auto"/>
            <w:noWrap/>
            <w:vAlign w:val="bottom"/>
            <w:hideMark/>
          </w:tcPr>
          <w:p w14:paraId="68687859"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4</w:t>
            </w:r>
          </w:p>
        </w:tc>
        <w:tc>
          <w:tcPr>
            <w:tcW w:w="1000" w:type="dxa"/>
            <w:tcBorders>
              <w:top w:val="nil"/>
              <w:left w:val="nil"/>
              <w:bottom w:val="nil"/>
              <w:right w:val="nil"/>
            </w:tcBorders>
            <w:shd w:val="clear" w:color="auto" w:fill="auto"/>
            <w:noWrap/>
            <w:vAlign w:val="bottom"/>
            <w:hideMark/>
          </w:tcPr>
          <w:p w14:paraId="0ADDCC12"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79EA8AE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AIC:               </w:t>
            </w:r>
          </w:p>
        </w:tc>
        <w:tc>
          <w:tcPr>
            <w:tcW w:w="1000" w:type="dxa"/>
            <w:tcBorders>
              <w:top w:val="nil"/>
              <w:left w:val="nil"/>
              <w:bottom w:val="nil"/>
              <w:right w:val="nil"/>
            </w:tcBorders>
            <w:shd w:val="clear" w:color="auto" w:fill="auto"/>
            <w:noWrap/>
            <w:vAlign w:val="bottom"/>
            <w:hideMark/>
          </w:tcPr>
          <w:p w14:paraId="35E0B5B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366.8</w:t>
            </w:r>
          </w:p>
        </w:tc>
      </w:tr>
      <w:tr w:rsidR="0006183C" w:rsidRPr="0006183C" w14:paraId="75E18689" w14:textId="77777777" w:rsidTr="0006183C">
        <w:trPr>
          <w:divId w:val="73548087"/>
          <w:trHeight w:val="288"/>
          <w:jc w:val="center"/>
        </w:trPr>
        <w:tc>
          <w:tcPr>
            <w:tcW w:w="2493" w:type="dxa"/>
            <w:gridSpan w:val="2"/>
            <w:tcBorders>
              <w:top w:val="nil"/>
              <w:left w:val="nil"/>
              <w:bottom w:val="nil"/>
              <w:right w:val="nil"/>
            </w:tcBorders>
            <w:shd w:val="clear" w:color="auto" w:fill="auto"/>
            <w:noWrap/>
            <w:vAlign w:val="bottom"/>
            <w:hideMark/>
          </w:tcPr>
          <w:p w14:paraId="4F1D0DA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Covariance Type: </w:t>
            </w:r>
          </w:p>
        </w:tc>
        <w:tc>
          <w:tcPr>
            <w:tcW w:w="1257" w:type="dxa"/>
            <w:tcBorders>
              <w:top w:val="nil"/>
              <w:left w:val="nil"/>
              <w:bottom w:val="nil"/>
              <w:right w:val="nil"/>
            </w:tcBorders>
            <w:shd w:val="clear" w:color="auto" w:fill="auto"/>
            <w:noWrap/>
            <w:vAlign w:val="bottom"/>
            <w:hideMark/>
          </w:tcPr>
          <w:p w14:paraId="28A296C4"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nonrobust</w:t>
            </w:r>
            <w:proofErr w:type="spellEnd"/>
            <w:r w:rsidRPr="0006183C">
              <w:rPr>
                <w:rFonts w:ascii="Calibri" w:eastAsia="Times New Roman" w:hAnsi="Calibri" w:cs="Calibri"/>
                <w:color w:val="000000"/>
                <w:kern w:val="0"/>
                <w:sz w:val="18"/>
                <w:szCs w:val="18"/>
                <w14:ligatures w14:val="none"/>
              </w:rPr>
              <w:t xml:space="preserve">       </w:t>
            </w:r>
          </w:p>
        </w:tc>
        <w:tc>
          <w:tcPr>
            <w:tcW w:w="1000" w:type="dxa"/>
            <w:tcBorders>
              <w:top w:val="nil"/>
              <w:left w:val="nil"/>
              <w:bottom w:val="nil"/>
              <w:right w:val="nil"/>
            </w:tcBorders>
            <w:shd w:val="clear" w:color="auto" w:fill="auto"/>
            <w:noWrap/>
            <w:vAlign w:val="bottom"/>
            <w:hideMark/>
          </w:tcPr>
          <w:p w14:paraId="007EACC8"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16B7246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BIC:               </w:t>
            </w:r>
          </w:p>
        </w:tc>
        <w:tc>
          <w:tcPr>
            <w:tcW w:w="1000" w:type="dxa"/>
            <w:tcBorders>
              <w:top w:val="nil"/>
              <w:left w:val="nil"/>
              <w:bottom w:val="nil"/>
              <w:right w:val="nil"/>
            </w:tcBorders>
            <w:shd w:val="clear" w:color="auto" w:fill="auto"/>
            <w:noWrap/>
            <w:vAlign w:val="bottom"/>
            <w:hideMark/>
          </w:tcPr>
          <w:p w14:paraId="0AFBB87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384.5</w:t>
            </w:r>
          </w:p>
        </w:tc>
      </w:tr>
      <w:tr w:rsidR="0006183C" w:rsidRPr="0006183C" w14:paraId="69837D41" w14:textId="77777777" w:rsidTr="0006183C">
        <w:trPr>
          <w:divId w:val="73548087"/>
          <w:trHeight w:val="288"/>
          <w:jc w:val="center"/>
        </w:trPr>
        <w:tc>
          <w:tcPr>
            <w:tcW w:w="1671" w:type="dxa"/>
            <w:tcBorders>
              <w:top w:val="single" w:sz="4" w:space="0" w:color="auto"/>
              <w:left w:val="nil"/>
              <w:bottom w:val="single" w:sz="4" w:space="0" w:color="auto"/>
              <w:right w:val="nil"/>
            </w:tcBorders>
            <w:shd w:val="clear" w:color="auto" w:fill="auto"/>
            <w:noWrap/>
            <w:vAlign w:val="bottom"/>
            <w:hideMark/>
          </w:tcPr>
          <w:p w14:paraId="67F3264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
        </w:tc>
        <w:tc>
          <w:tcPr>
            <w:tcW w:w="822" w:type="dxa"/>
            <w:tcBorders>
              <w:top w:val="single" w:sz="4" w:space="0" w:color="auto"/>
              <w:left w:val="nil"/>
              <w:bottom w:val="single" w:sz="4" w:space="0" w:color="auto"/>
              <w:right w:val="nil"/>
            </w:tcBorders>
            <w:shd w:val="clear" w:color="auto" w:fill="auto"/>
            <w:noWrap/>
            <w:vAlign w:val="bottom"/>
            <w:hideMark/>
          </w:tcPr>
          <w:p w14:paraId="76102E4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roofErr w:type="spellStart"/>
            <w:r w:rsidRPr="0006183C">
              <w:rPr>
                <w:rFonts w:ascii="Calibri" w:eastAsia="Times New Roman" w:hAnsi="Calibri" w:cs="Calibri"/>
                <w:color w:val="000000"/>
                <w:kern w:val="0"/>
                <w:sz w:val="18"/>
                <w:szCs w:val="18"/>
                <w14:ligatures w14:val="none"/>
              </w:rPr>
              <w:t>coef</w:t>
            </w:r>
            <w:proofErr w:type="spellEnd"/>
            <w:r w:rsidRPr="0006183C">
              <w:rPr>
                <w:rFonts w:ascii="Calibri" w:eastAsia="Times New Roman" w:hAnsi="Calibri" w:cs="Calibri"/>
                <w:color w:val="000000"/>
                <w:kern w:val="0"/>
                <w:sz w:val="18"/>
                <w:szCs w:val="18"/>
                <w14:ligatures w14:val="none"/>
              </w:rPr>
              <w:t xml:space="preserve">   </w:t>
            </w:r>
          </w:p>
        </w:tc>
        <w:tc>
          <w:tcPr>
            <w:tcW w:w="1257" w:type="dxa"/>
            <w:tcBorders>
              <w:top w:val="single" w:sz="4" w:space="0" w:color="auto"/>
              <w:left w:val="nil"/>
              <w:bottom w:val="single" w:sz="4" w:space="0" w:color="auto"/>
              <w:right w:val="nil"/>
            </w:tcBorders>
            <w:shd w:val="clear" w:color="auto" w:fill="auto"/>
            <w:noWrap/>
            <w:vAlign w:val="bottom"/>
            <w:hideMark/>
          </w:tcPr>
          <w:p w14:paraId="65CB8A3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std err </w:t>
            </w:r>
          </w:p>
        </w:tc>
        <w:tc>
          <w:tcPr>
            <w:tcW w:w="1000" w:type="dxa"/>
            <w:tcBorders>
              <w:top w:val="single" w:sz="4" w:space="0" w:color="auto"/>
              <w:left w:val="nil"/>
              <w:bottom w:val="single" w:sz="4" w:space="0" w:color="auto"/>
              <w:right w:val="nil"/>
            </w:tcBorders>
            <w:shd w:val="clear" w:color="auto" w:fill="auto"/>
            <w:noWrap/>
            <w:vAlign w:val="bottom"/>
            <w:hideMark/>
          </w:tcPr>
          <w:p w14:paraId="4C82641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t    </w:t>
            </w:r>
          </w:p>
        </w:tc>
        <w:tc>
          <w:tcPr>
            <w:tcW w:w="764" w:type="dxa"/>
            <w:tcBorders>
              <w:top w:val="single" w:sz="4" w:space="0" w:color="auto"/>
              <w:left w:val="nil"/>
              <w:bottom w:val="single" w:sz="4" w:space="0" w:color="auto"/>
              <w:right w:val="nil"/>
            </w:tcBorders>
            <w:shd w:val="clear" w:color="auto" w:fill="auto"/>
            <w:noWrap/>
            <w:vAlign w:val="bottom"/>
            <w:hideMark/>
          </w:tcPr>
          <w:p w14:paraId="4146360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P&gt;|t| </w:t>
            </w:r>
          </w:p>
        </w:tc>
        <w:tc>
          <w:tcPr>
            <w:tcW w:w="1236" w:type="dxa"/>
            <w:tcBorders>
              <w:top w:val="single" w:sz="4" w:space="0" w:color="auto"/>
              <w:left w:val="nil"/>
              <w:bottom w:val="single" w:sz="4" w:space="0" w:color="auto"/>
              <w:right w:val="nil"/>
            </w:tcBorders>
            <w:shd w:val="clear" w:color="auto" w:fill="auto"/>
            <w:noWrap/>
            <w:vAlign w:val="bottom"/>
            <w:hideMark/>
          </w:tcPr>
          <w:p w14:paraId="3D93471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[0.025 </w:t>
            </w:r>
          </w:p>
        </w:tc>
        <w:tc>
          <w:tcPr>
            <w:tcW w:w="1000" w:type="dxa"/>
            <w:tcBorders>
              <w:top w:val="single" w:sz="4" w:space="0" w:color="auto"/>
              <w:left w:val="nil"/>
              <w:bottom w:val="single" w:sz="4" w:space="0" w:color="auto"/>
              <w:right w:val="nil"/>
            </w:tcBorders>
            <w:shd w:val="clear" w:color="auto" w:fill="auto"/>
            <w:noWrap/>
            <w:vAlign w:val="bottom"/>
            <w:hideMark/>
          </w:tcPr>
          <w:p w14:paraId="561B1F1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0.975] </w:t>
            </w:r>
          </w:p>
        </w:tc>
      </w:tr>
      <w:tr w:rsidR="0006183C" w:rsidRPr="0006183C" w14:paraId="59F25048" w14:textId="77777777" w:rsidTr="0006183C">
        <w:trPr>
          <w:divId w:val="73548087"/>
          <w:trHeight w:val="288"/>
          <w:jc w:val="center"/>
        </w:trPr>
        <w:tc>
          <w:tcPr>
            <w:tcW w:w="1671" w:type="dxa"/>
            <w:tcBorders>
              <w:top w:val="nil"/>
              <w:left w:val="nil"/>
              <w:bottom w:val="nil"/>
              <w:right w:val="nil"/>
            </w:tcBorders>
            <w:shd w:val="clear" w:color="auto" w:fill="auto"/>
            <w:noWrap/>
            <w:vAlign w:val="bottom"/>
            <w:hideMark/>
          </w:tcPr>
          <w:p w14:paraId="74691BA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const           </w:t>
            </w:r>
          </w:p>
        </w:tc>
        <w:tc>
          <w:tcPr>
            <w:tcW w:w="822" w:type="dxa"/>
            <w:tcBorders>
              <w:top w:val="nil"/>
              <w:left w:val="nil"/>
              <w:bottom w:val="nil"/>
              <w:right w:val="nil"/>
            </w:tcBorders>
            <w:shd w:val="clear" w:color="auto" w:fill="auto"/>
            <w:noWrap/>
            <w:vAlign w:val="bottom"/>
            <w:hideMark/>
          </w:tcPr>
          <w:p w14:paraId="7F56A4D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-1.8147</w:t>
            </w:r>
          </w:p>
        </w:tc>
        <w:tc>
          <w:tcPr>
            <w:tcW w:w="1257" w:type="dxa"/>
            <w:tcBorders>
              <w:top w:val="nil"/>
              <w:left w:val="nil"/>
              <w:bottom w:val="nil"/>
              <w:right w:val="nil"/>
            </w:tcBorders>
            <w:shd w:val="clear" w:color="auto" w:fill="auto"/>
            <w:noWrap/>
            <w:vAlign w:val="bottom"/>
            <w:hideMark/>
          </w:tcPr>
          <w:p w14:paraId="39FFB25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0.072</w:t>
            </w:r>
          </w:p>
        </w:tc>
        <w:tc>
          <w:tcPr>
            <w:tcW w:w="1000" w:type="dxa"/>
            <w:tcBorders>
              <w:top w:val="nil"/>
              <w:left w:val="nil"/>
              <w:bottom w:val="nil"/>
              <w:right w:val="nil"/>
            </w:tcBorders>
            <w:shd w:val="clear" w:color="auto" w:fill="auto"/>
            <w:noWrap/>
            <w:vAlign w:val="bottom"/>
            <w:hideMark/>
          </w:tcPr>
          <w:p w14:paraId="2169776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-25.265</w:t>
            </w:r>
          </w:p>
        </w:tc>
        <w:tc>
          <w:tcPr>
            <w:tcW w:w="764" w:type="dxa"/>
            <w:tcBorders>
              <w:top w:val="nil"/>
              <w:left w:val="nil"/>
              <w:bottom w:val="nil"/>
              <w:right w:val="nil"/>
            </w:tcBorders>
            <w:shd w:val="clear" w:color="auto" w:fill="auto"/>
            <w:noWrap/>
            <w:vAlign w:val="bottom"/>
            <w:hideMark/>
          </w:tcPr>
          <w:p w14:paraId="6617061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236" w:type="dxa"/>
            <w:tcBorders>
              <w:top w:val="nil"/>
              <w:left w:val="nil"/>
              <w:bottom w:val="nil"/>
              <w:right w:val="nil"/>
            </w:tcBorders>
            <w:shd w:val="clear" w:color="auto" w:fill="auto"/>
            <w:noWrap/>
            <w:vAlign w:val="bottom"/>
            <w:hideMark/>
          </w:tcPr>
          <w:p w14:paraId="1C52298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-1.956</w:t>
            </w:r>
          </w:p>
        </w:tc>
        <w:tc>
          <w:tcPr>
            <w:tcW w:w="1000" w:type="dxa"/>
            <w:tcBorders>
              <w:top w:val="nil"/>
              <w:left w:val="nil"/>
              <w:bottom w:val="nil"/>
              <w:right w:val="nil"/>
            </w:tcBorders>
            <w:shd w:val="clear" w:color="auto" w:fill="auto"/>
            <w:noWrap/>
            <w:vAlign w:val="bottom"/>
            <w:hideMark/>
          </w:tcPr>
          <w:p w14:paraId="170FF33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-1.673</w:t>
            </w:r>
          </w:p>
        </w:tc>
      </w:tr>
      <w:tr w:rsidR="0006183C" w:rsidRPr="0006183C" w14:paraId="731AFE1A" w14:textId="77777777" w:rsidTr="0006183C">
        <w:trPr>
          <w:divId w:val="73548087"/>
          <w:trHeight w:val="288"/>
          <w:jc w:val="center"/>
        </w:trPr>
        <w:tc>
          <w:tcPr>
            <w:tcW w:w="1671" w:type="dxa"/>
            <w:tcBorders>
              <w:top w:val="nil"/>
              <w:left w:val="nil"/>
              <w:bottom w:val="nil"/>
              <w:right w:val="nil"/>
            </w:tcBorders>
            <w:shd w:val="clear" w:color="auto" w:fill="auto"/>
            <w:noWrap/>
            <w:vAlign w:val="bottom"/>
            <w:hideMark/>
          </w:tcPr>
          <w:p w14:paraId="3FFEC90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Time            </w:t>
            </w:r>
          </w:p>
        </w:tc>
        <w:tc>
          <w:tcPr>
            <w:tcW w:w="822" w:type="dxa"/>
            <w:tcBorders>
              <w:top w:val="nil"/>
              <w:left w:val="nil"/>
              <w:bottom w:val="nil"/>
              <w:right w:val="nil"/>
            </w:tcBorders>
            <w:shd w:val="clear" w:color="auto" w:fill="auto"/>
            <w:noWrap/>
            <w:vAlign w:val="bottom"/>
            <w:hideMark/>
          </w:tcPr>
          <w:p w14:paraId="2C73CAF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2.00E-04</w:t>
            </w:r>
          </w:p>
        </w:tc>
        <w:tc>
          <w:tcPr>
            <w:tcW w:w="1257" w:type="dxa"/>
            <w:tcBorders>
              <w:top w:val="nil"/>
              <w:left w:val="nil"/>
              <w:bottom w:val="nil"/>
              <w:right w:val="nil"/>
            </w:tcBorders>
            <w:shd w:val="clear" w:color="auto" w:fill="auto"/>
            <w:noWrap/>
            <w:vAlign w:val="bottom"/>
            <w:hideMark/>
          </w:tcPr>
          <w:p w14:paraId="713E5E5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1.25E-05</w:t>
            </w:r>
          </w:p>
        </w:tc>
        <w:tc>
          <w:tcPr>
            <w:tcW w:w="1000" w:type="dxa"/>
            <w:tcBorders>
              <w:top w:val="nil"/>
              <w:left w:val="nil"/>
              <w:bottom w:val="nil"/>
              <w:right w:val="nil"/>
            </w:tcBorders>
            <w:shd w:val="clear" w:color="auto" w:fill="auto"/>
            <w:noWrap/>
            <w:vAlign w:val="bottom"/>
            <w:hideMark/>
          </w:tcPr>
          <w:p w14:paraId="00B7009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14.175</w:t>
            </w:r>
          </w:p>
        </w:tc>
        <w:tc>
          <w:tcPr>
            <w:tcW w:w="764" w:type="dxa"/>
            <w:tcBorders>
              <w:top w:val="nil"/>
              <w:left w:val="nil"/>
              <w:bottom w:val="nil"/>
              <w:right w:val="nil"/>
            </w:tcBorders>
            <w:shd w:val="clear" w:color="auto" w:fill="auto"/>
            <w:noWrap/>
            <w:vAlign w:val="bottom"/>
            <w:hideMark/>
          </w:tcPr>
          <w:p w14:paraId="079D41A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236" w:type="dxa"/>
            <w:tcBorders>
              <w:top w:val="nil"/>
              <w:left w:val="nil"/>
              <w:bottom w:val="nil"/>
              <w:right w:val="nil"/>
            </w:tcBorders>
            <w:shd w:val="clear" w:color="auto" w:fill="auto"/>
            <w:noWrap/>
            <w:vAlign w:val="bottom"/>
            <w:hideMark/>
          </w:tcPr>
          <w:p w14:paraId="36EC2CA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0.00E+00</w:t>
            </w:r>
          </w:p>
        </w:tc>
        <w:tc>
          <w:tcPr>
            <w:tcW w:w="1000" w:type="dxa"/>
            <w:tcBorders>
              <w:top w:val="nil"/>
              <w:left w:val="nil"/>
              <w:bottom w:val="nil"/>
              <w:right w:val="nil"/>
            </w:tcBorders>
            <w:shd w:val="clear" w:color="auto" w:fill="auto"/>
            <w:noWrap/>
            <w:vAlign w:val="bottom"/>
            <w:hideMark/>
          </w:tcPr>
          <w:p w14:paraId="1D7A2CF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0.00E+00</w:t>
            </w:r>
          </w:p>
        </w:tc>
      </w:tr>
      <w:tr w:rsidR="0006183C" w:rsidRPr="0006183C" w14:paraId="28835635" w14:textId="77777777" w:rsidTr="0006183C">
        <w:trPr>
          <w:divId w:val="73548087"/>
          <w:trHeight w:val="288"/>
          <w:jc w:val="center"/>
        </w:trPr>
        <w:tc>
          <w:tcPr>
            <w:tcW w:w="1671" w:type="dxa"/>
            <w:tcBorders>
              <w:top w:val="nil"/>
              <w:left w:val="nil"/>
              <w:bottom w:val="nil"/>
              <w:right w:val="nil"/>
            </w:tcBorders>
            <w:shd w:val="clear" w:color="auto" w:fill="auto"/>
            <w:noWrap/>
            <w:vAlign w:val="bottom"/>
            <w:hideMark/>
          </w:tcPr>
          <w:p w14:paraId="6D93228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output_gap_quart</w:t>
            </w:r>
            <w:proofErr w:type="spellEnd"/>
          </w:p>
        </w:tc>
        <w:tc>
          <w:tcPr>
            <w:tcW w:w="822" w:type="dxa"/>
            <w:tcBorders>
              <w:top w:val="nil"/>
              <w:left w:val="nil"/>
              <w:bottom w:val="nil"/>
              <w:right w:val="nil"/>
            </w:tcBorders>
            <w:shd w:val="clear" w:color="auto" w:fill="auto"/>
            <w:noWrap/>
            <w:vAlign w:val="bottom"/>
            <w:hideMark/>
          </w:tcPr>
          <w:p w14:paraId="409FA0D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6.4006</w:t>
            </w:r>
          </w:p>
        </w:tc>
        <w:tc>
          <w:tcPr>
            <w:tcW w:w="1257" w:type="dxa"/>
            <w:tcBorders>
              <w:top w:val="nil"/>
              <w:left w:val="nil"/>
              <w:bottom w:val="nil"/>
              <w:right w:val="nil"/>
            </w:tcBorders>
            <w:shd w:val="clear" w:color="auto" w:fill="auto"/>
            <w:noWrap/>
            <w:vAlign w:val="bottom"/>
            <w:hideMark/>
          </w:tcPr>
          <w:p w14:paraId="46E9C97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1.808</w:t>
            </w:r>
          </w:p>
        </w:tc>
        <w:tc>
          <w:tcPr>
            <w:tcW w:w="1000" w:type="dxa"/>
            <w:tcBorders>
              <w:top w:val="nil"/>
              <w:left w:val="nil"/>
              <w:bottom w:val="nil"/>
              <w:right w:val="nil"/>
            </w:tcBorders>
            <w:shd w:val="clear" w:color="auto" w:fill="auto"/>
            <w:noWrap/>
            <w:vAlign w:val="bottom"/>
            <w:hideMark/>
          </w:tcPr>
          <w:p w14:paraId="11E3D6D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3.54</w:t>
            </w:r>
          </w:p>
        </w:tc>
        <w:tc>
          <w:tcPr>
            <w:tcW w:w="764" w:type="dxa"/>
            <w:tcBorders>
              <w:top w:val="nil"/>
              <w:left w:val="nil"/>
              <w:bottom w:val="nil"/>
              <w:right w:val="nil"/>
            </w:tcBorders>
            <w:shd w:val="clear" w:color="auto" w:fill="auto"/>
            <w:noWrap/>
            <w:vAlign w:val="bottom"/>
            <w:hideMark/>
          </w:tcPr>
          <w:p w14:paraId="6CB6D24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236" w:type="dxa"/>
            <w:tcBorders>
              <w:top w:val="nil"/>
              <w:left w:val="nil"/>
              <w:bottom w:val="nil"/>
              <w:right w:val="nil"/>
            </w:tcBorders>
            <w:shd w:val="clear" w:color="auto" w:fill="auto"/>
            <w:noWrap/>
            <w:vAlign w:val="bottom"/>
            <w:hideMark/>
          </w:tcPr>
          <w:p w14:paraId="3CAE8AA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2.839</w:t>
            </w:r>
          </w:p>
        </w:tc>
        <w:tc>
          <w:tcPr>
            <w:tcW w:w="1000" w:type="dxa"/>
            <w:tcBorders>
              <w:top w:val="nil"/>
              <w:left w:val="nil"/>
              <w:bottom w:val="nil"/>
              <w:right w:val="nil"/>
            </w:tcBorders>
            <w:shd w:val="clear" w:color="auto" w:fill="auto"/>
            <w:noWrap/>
            <w:vAlign w:val="bottom"/>
            <w:hideMark/>
          </w:tcPr>
          <w:p w14:paraId="0F0AB30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9.962</w:t>
            </w:r>
          </w:p>
        </w:tc>
      </w:tr>
      <w:tr w:rsidR="0006183C" w:rsidRPr="0006183C" w14:paraId="700B6596" w14:textId="77777777" w:rsidTr="0006183C">
        <w:trPr>
          <w:divId w:val="73548087"/>
          <w:trHeight w:val="288"/>
          <w:jc w:val="center"/>
        </w:trPr>
        <w:tc>
          <w:tcPr>
            <w:tcW w:w="1671" w:type="dxa"/>
            <w:tcBorders>
              <w:top w:val="nil"/>
              <w:left w:val="nil"/>
              <w:bottom w:val="nil"/>
              <w:right w:val="nil"/>
            </w:tcBorders>
            <w:shd w:val="clear" w:color="auto" w:fill="auto"/>
            <w:noWrap/>
            <w:vAlign w:val="bottom"/>
            <w:hideMark/>
          </w:tcPr>
          <w:p w14:paraId="518F055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Inflation       </w:t>
            </w:r>
          </w:p>
        </w:tc>
        <w:tc>
          <w:tcPr>
            <w:tcW w:w="822" w:type="dxa"/>
            <w:tcBorders>
              <w:top w:val="nil"/>
              <w:left w:val="nil"/>
              <w:bottom w:val="nil"/>
              <w:right w:val="nil"/>
            </w:tcBorders>
            <w:shd w:val="clear" w:color="auto" w:fill="auto"/>
            <w:noWrap/>
            <w:vAlign w:val="bottom"/>
            <w:hideMark/>
          </w:tcPr>
          <w:p w14:paraId="76CCF5D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-17.7613</w:t>
            </w:r>
          </w:p>
        </w:tc>
        <w:tc>
          <w:tcPr>
            <w:tcW w:w="1257" w:type="dxa"/>
            <w:tcBorders>
              <w:top w:val="nil"/>
              <w:left w:val="nil"/>
              <w:bottom w:val="nil"/>
              <w:right w:val="nil"/>
            </w:tcBorders>
            <w:shd w:val="clear" w:color="auto" w:fill="auto"/>
            <w:noWrap/>
            <w:vAlign w:val="bottom"/>
            <w:hideMark/>
          </w:tcPr>
          <w:p w14:paraId="3000BA3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2.19</w:t>
            </w:r>
          </w:p>
        </w:tc>
        <w:tc>
          <w:tcPr>
            <w:tcW w:w="1000" w:type="dxa"/>
            <w:tcBorders>
              <w:top w:val="nil"/>
              <w:left w:val="nil"/>
              <w:bottom w:val="nil"/>
              <w:right w:val="nil"/>
            </w:tcBorders>
            <w:shd w:val="clear" w:color="auto" w:fill="auto"/>
            <w:noWrap/>
            <w:vAlign w:val="bottom"/>
            <w:hideMark/>
          </w:tcPr>
          <w:p w14:paraId="26F37F0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-8.11</w:t>
            </w:r>
          </w:p>
        </w:tc>
        <w:tc>
          <w:tcPr>
            <w:tcW w:w="764" w:type="dxa"/>
            <w:tcBorders>
              <w:top w:val="nil"/>
              <w:left w:val="nil"/>
              <w:bottom w:val="nil"/>
              <w:right w:val="nil"/>
            </w:tcBorders>
            <w:shd w:val="clear" w:color="auto" w:fill="auto"/>
            <w:noWrap/>
            <w:vAlign w:val="bottom"/>
            <w:hideMark/>
          </w:tcPr>
          <w:p w14:paraId="665C32B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236" w:type="dxa"/>
            <w:tcBorders>
              <w:top w:val="nil"/>
              <w:left w:val="nil"/>
              <w:bottom w:val="nil"/>
              <w:right w:val="nil"/>
            </w:tcBorders>
            <w:shd w:val="clear" w:color="auto" w:fill="auto"/>
            <w:noWrap/>
            <w:vAlign w:val="bottom"/>
            <w:hideMark/>
          </w:tcPr>
          <w:p w14:paraId="7A1258C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-22.074</w:t>
            </w:r>
          </w:p>
        </w:tc>
        <w:tc>
          <w:tcPr>
            <w:tcW w:w="1000" w:type="dxa"/>
            <w:tcBorders>
              <w:top w:val="nil"/>
              <w:left w:val="nil"/>
              <w:bottom w:val="nil"/>
              <w:right w:val="nil"/>
            </w:tcBorders>
            <w:shd w:val="clear" w:color="auto" w:fill="auto"/>
            <w:noWrap/>
            <w:vAlign w:val="bottom"/>
            <w:hideMark/>
          </w:tcPr>
          <w:p w14:paraId="2CE5341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-13.448</w:t>
            </w:r>
          </w:p>
        </w:tc>
      </w:tr>
      <w:tr w:rsidR="0006183C" w:rsidRPr="0006183C" w14:paraId="17510DB3" w14:textId="77777777" w:rsidTr="0006183C">
        <w:trPr>
          <w:divId w:val="73548087"/>
          <w:trHeight w:val="288"/>
          <w:jc w:val="center"/>
        </w:trPr>
        <w:tc>
          <w:tcPr>
            <w:tcW w:w="1671" w:type="dxa"/>
            <w:tcBorders>
              <w:top w:val="nil"/>
              <w:left w:val="nil"/>
              <w:bottom w:val="single" w:sz="4" w:space="0" w:color="auto"/>
              <w:right w:val="nil"/>
            </w:tcBorders>
            <w:shd w:val="clear" w:color="auto" w:fill="auto"/>
            <w:noWrap/>
            <w:vAlign w:val="bottom"/>
            <w:hideMark/>
          </w:tcPr>
          <w:p w14:paraId="00451D8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Delta MRO       </w:t>
            </w:r>
          </w:p>
        </w:tc>
        <w:tc>
          <w:tcPr>
            <w:tcW w:w="822" w:type="dxa"/>
            <w:tcBorders>
              <w:top w:val="nil"/>
              <w:left w:val="nil"/>
              <w:bottom w:val="single" w:sz="4" w:space="0" w:color="auto"/>
              <w:right w:val="nil"/>
            </w:tcBorders>
            <w:shd w:val="clear" w:color="auto" w:fill="auto"/>
            <w:noWrap/>
            <w:vAlign w:val="bottom"/>
            <w:hideMark/>
          </w:tcPr>
          <w:p w14:paraId="768AD5E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0.2619</w:t>
            </w:r>
          </w:p>
        </w:tc>
        <w:tc>
          <w:tcPr>
            <w:tcW w:w="1257" w:type="dxa"/>
            <w:tcBorders>
              <w:top w:val="nil"/>
              <w:left w:val="nil"/>
              <w:bottom w:val="single" w:sz="4" w:space="0" w:color="auto"/>
              <w:right w:val="nil"/>
            </w:tcBorders>
            <w:shd w:val="clear" w:color="auto" w:fill="auto"/>
            <w:noWrap/>
            <w:vAlign w:val="bottom"/>
            <w:hideMark/>
          </w:tcPr>
          <w:p w14:paraId="473DD80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0.211</w:t>
            </w:r>
          </w:p>
        </w:tc>
        <w:tc>
          <w:tcPr>
            <w:tcW w:w="1000" w:type="dxa"/>
            <w:tcBorders>
              <w:top w:val="nil"/>
              <w:left w:val="nil"/>
              <w:bottom w:val="single" w:sz="4" w:space="0" w:color="auto"/>
              <w:right w:val="nil"/>
            </w:tcBorders>
            <w:shd w:val="clear" w:color="auto" w:fill="auto"/>
            <w:noWrap/>
            <w:vAlign w:val="bottom"/>
            <w:hideMark/>
          </w:tcPr>
          <w:p w14:paraId="2A95D1E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1.242</w:t>
            </w:r>
          </w:p>
        </w:tc>
        <w:tc>
          <w:tcPr>
            <w:tcW w:w="764" w:type="dxa"/>
            <w:tcBorders>
              <w:top w:val="nil"/>
              <w:left w:val="nil"/>
              <w:bottom w:val="single" w:sz="4" w:space="0" w:color="auto"/>
              <w:right w:val="nil"/>
            </w:tcBorders>
            <w:shd w:val="clear" w:color="auto" w:fill="auto"/>
            <w:noWrap/>
            <w:vAlign w:val="bottom"/>
            <w:hideMark/>
          </w:tcPr>
          <w:p w14:paraId="50A31FD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0.215</w:t>
            </w:r>
          </w:p>
        </w:tc>
        <w:tc>
          <w:tcPr>
            <w:tcW w:w="1236" w:type="dxa"/>
            <w:tcBorders>
              <w:top w:val="nil"/>
              <w:left w:val="nil"/>
              <w:bottom w:val="single" w:sz="4" w:space="0" w:color="auto"/>
              <w:right w:val="nil"/>
            </w:tcBorders>
            <w:shd w:val="clear" w:color="auto" w:fill="auto"/>
            <w:noWrap/>
            <w:vAlign w:val="bottom"/>
            <w:hideMark/>
          </w:tcPr>
          <w:p w14:paraId="1D09D53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-0.153</w:t>
            </w:r>
          </w:p>
        </w:tc>
        <w:tc>
          <w:tcPr>
            <w:tcW w:w="1000" w:type="dxa"/>
            <w:tcBorders>
              <w:top w:val="nil"/>
              <w:left w:val="nil"/>
              <w:bottom w:val="single" w:sz="4" w:space="0" w:color="auto"/>
              <w:right w:val="nil"/>
            </w:tcBorders>
            <w:shd w:val="clear" w:color="auto" w:fill="auto"/>
            <w:noWrap/>
            <w:vAlign w:val="bottom"/>
            <w:hideMark/>
          </w:tcPr>
          <w:p w14:paraId="1D45BC2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0.677</w:t>
            </w:r>
          </w:p>
        </w:tc>
      </w:tr>
      <w:tr w:rsidR="0006183C" w:rsidRPr="0006183C" w14:paraId="53FB065F" w14:textId="77777777" w:rsidTr="0006183C">
        <w:trPr>
          <w:divId w:val="73548087"/>
          <w:trHeight w:val="288"/>
          <w:jc w:val="center"/>
        </w:trPr>
        <w:tc>
          <w:tcPr>
            <w:tcW w:w="2493" w:type="dxa"/>
            <w:gridSpan w:val="2"/>
            <w:tcBorders>
              <w:top w:val="nil"/>
              <w:left w:val="nil"/>
              <w:bottom w:val="nil"/>
              <w:right w:val="nil"/>
            </w:tcBorders>
            <w:shd w:val="clear" w:color="auto" w:fill="auto"/>
            <w:noWrap/>
            <w:vAlign w:val="bottom"/>
            <w:hideMark/>
          </w:tcPr>
          <w:p w14:paraId="1B874F7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Omnibus:      </w:t>
            </w:r>
          </w:p>
        </w:tc>
        <w:tc>
          <w:tcPr>
            <w:tcW w:w="1257" w:type="dxa"/>
            <w:tcBorders>
              <w:top w:val="nil"/>
              <w:left w:val="nil"/>
              <w:bottom w:val="nil"/>
              <w:right w:val="nil"/>
            </w:tcBorders>
            <w:shd w:val="clear" w:color="auto" w:fill="auto"/>
            <w:noWrap/>
            <w:vAlign w:val="bottom"/>
            <w:hideMark/>
          </w:tcPr>
          <w:p w14:paraId="31004DF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209.319</w:t>
            </w:r>
          </w:p>
        </w:tc>
        <w:tc>
          <w:tcPr>
            <w:tcW w:w="1000" w:type="dxa"/>
            <w:tcBorders>
              <w:top w:val="nil"/>
              <w:left w:val="nil"/>
              <w:bottom w:val="nil"/>
              <w:right w:val="nil"/>
            </w:tcBorders>
            <w:shd w:val="clear" w:color="auto" w:fill="auto"/>
            <w:noWrap/>
            <w:vAlign w:val="bottom"/>
            <w:hideMark/>
          </w:tcPr>
          <w:p w14:paraId="73BCC0D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B3FFC4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Durbin-Watson:     </w:t>
            </w:r>
          </w:p>
        </w:tc>
        <w:tc>
          <w:tcPr>
            <w:tcW w:w="1000" w:type="dxa"/>
            <w:tcBorders>
              <w:top w:val="nil"/>
              <w:left w:val="nil"/>
              <w:bottom w:val="nil"/>
              <w:right w:val="nil"/>
            </w:tcBorders>
            <w:shd w:val="clear" w:color="auto" w:fill="auto"/>
            <w:noWrap/>
            <w:vAlign w:val="bottom"/>
            <w:hideMark/>
          </w:tcPr>
          <w:p w14:paraId="50BF3FA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0.929</w:t>
            </w:r>
          </w:p>
        </w:tc>
      </w:tr>
      <w:tr w:rsidR="0006183C" w:rsidRPr="0006183C" w14:paraId="2CE1197F" w14:textId="77777777" w:rsidTr="0006183C">
        <w:trPr>
          <w:divId w:val="73548087"/>
          <w:trHeight w:val="288"/>
          <w:jc w:val="center"/>
        </w:trPr>
        <w:tc>
          <w:tcPr>
            <w:tcW w:w="2493" w:type="dxa"/>
            <w:gridSpan w:val="2"/>
            <w:tcBorders>
              <w:top w:val="nil"/>
              <w:left w:val="nil"/>
              <w:bottom w:val="nil"/>
              <w:right w:val="nil"/>
            </w:tcBorders>
            <w:shd w:val="clear" w:color="auto" w:fill="auto"/>
            <w:noWrap/>
            <w:vAlign w:val="bottom"/>
            <w:hideMark/>
          </w:tcPr>
          <w:p w14:paraId="603056A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Prob(Omnibus):</w:t>
            </w:r>
          </w:p>
        </w:tc>
        <w:tc>
          <w:tcPr>
            <w:tcW w:w="1257" w:type="dxa"/>
            <w:tcBorders>
              <w:top w:val="nil"/>
              <w:left w:val="nil"/>
              <w:bottom w:val="nil"/>
              <w:right w:val="nil"/>
            </w:tcBorders>
            <w:shd w:val="clear" w:color="auto" w:fill="auto"/>
            <w:noWrap/>
            <w:vAlign w:val="bottom"/>
            <w:hideMark/>
          </w:tcPr>
          <w:p w14:paraId="397862D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000" w:type="dxa"/>
            <w:tcBorders>
              <w:top w:val="nil"/>
              <w:left w:val="nil"/>
              <w:bottom w:val="nil"/>
              <w:right w:val="nil"/>
            </w:tcBorders>
            <w:shd w:val="clear" w:color="auto" w:fill="auto"/>
            <w:noWrap/>
            <w:vAlign w:val="bottom"/>
            <w:hideMark/>
          </w:tcPr>
          <w:p w14:paraId="5A7396D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1F6F52D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Jarque-Bera (JB):  </w:t>
            </w:r>
          </w:p>
        </w:tc>
        <w:tc>
          <w:tcPr>
            <w:tcW w:w="1000" w:type="dxa"/>
            <w:tcBorders>
              <w:top w:val="nil"/>
              <w:left w:val="nil"/>
              <w:bottom w:val="nil"/>
              <w:right w:val="nil"/>
            </w:tcBorders>
            <w:shd w:val="clear" w:color="auto" w:fill="auto"/>
            <w:noWrap/>
            <w:vAlign w:val="bottom"/>
            <w:hideMark/>
          </w:tcPr>
          <w:p w14:paraId="0CC9983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4252.609</w:t>
            </w:r>
          </w:p>
        </w:tc>
      </w:tr>
      <w:tr w:rsidR="0006183C" w:rsidRPr="0006183C" w14:paraId="5D0443C5" w14:textId="77777777" w:rsidTr="0006183C">
        <w:trPr>
          <w:divId w:val="73548087"/>
          <w:trHeight w:val="288"/>
          <w:jc w:val="center"/>
        </w:trPr>
        <w:tc>
          <w:tcPr>
            <w:tcW w:w="2493" w:type="dxa"/>
            <w:gridSpan w:val="2"/>
            <w:tcBorders>
              <w:top w:val="nil"/>
              <w:left w:val="nil"/>
              <w:bottom w:val="nil"/>
              <w:right w:val="nil"/>
            </w:tcBorders>
            <w:shd w:val="clear" w:color="auto" w:fill="auto"/>
            <w:noWrap/>
            <w:vAlign w:val="bottom"/>
            <w:hideMark/>
          </w:tcPr>
          <w:p w14:paraId="529BFAB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Skew:         </w:t>
            </w:r>
          </w:p>
        </w:tc>
        <w:tc>
          <w:tcPr>
            <w:tcW w:w="1257" w:type="dxa"/>
            <w:tcBorders>
              <w:top w:val="nil"/>
              <w:left w:val="nil"/>
              <w:bottom w:val="nil"/>
              <w:right w:val="nil"/>
            </w:tcBorders>
            <w:shd w:val="clear" w:color="auto" w:fill="auto"/>
            <w:noWrap/>
            <w:vAlign w:val="bottom"/>
            <w:hideMark/>
          </w:tcPr>
          <w:p w14:paraId="44EE600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-3.089</w:t>
            </w:r>
          </w:p>
        </w:tc>
        <w:tc>
          <w:tcPr>
            <w:tcW w:w="1000" w:type="dxa"/>
            <w:tcBorders>
              <w:top w:val="nil"/>
              <w:left w:val="nil"/>
              <w:bottom w:val="nil"/>
              <w:right w:val="nil"/>
            </w:tcBorders>
            <w:shd w:val="clear" w:color="auto" w:fill="auto"/>
            <w:noWrap/>
            <w:vAlign w:val="bottom"/>
            <w:hideMark/>
          </w:tcPr>
          <w:p w14:paraId="07E6B7B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3922089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Prob(JB):          </w:t>
            </w:r>
          </w:p>
        </w:tc>
        <w:tc>
          <w:tcPr>
            <w:tcW w:w="1000" w:type="dxa"/>
            <w:tcBorders>
              <w:top w:val="nil"/>
              <w:left w:val="nil"/>
              <w:bottom w:val="nil"/>
              <w:right w:val="nil"/>
            </w:tcBorders>
            <w:shd w:val="clear" w:color="auto" w:fill="auto"/>
            <w:noWrap/>
            <w:vAlign w:val="bottom"/>
            <w:hideMark/>
          </w:tcPr>
          <w:p w14:paraId="69B1973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0.00E+00</w:t>
            </w:r>
          </w:p>
        </w:tc>
      </w:tr>
      <w:tr w:rsidR="0006183C" w:rsidRPr="0006183C" w14:paraId="2B4B3F3D" w14:textId="77777777" w:rsidTr="0006183C">
        <w:trPr>
          <w:divId w:val="73548087"/>
          <w:trHeight w:val="288"/>
          <w:jc w:val="center"/>
        </w:trPr>
        <w:tc>
          <w:tcPr>
            <w:tcW w:w="2493" w:type="dxa"/>
            <w:gridSpan w:val="2"/>
            <w:tcBorders>
              <w:top w:val="nil"/>
              <w:left w:val="nil"/>
              <w:bottom w:val="single" w:sz="4" w:space="0" w:color="auto"/>
              <w:right w:val="nil"/>
            </w:tcBorders>
            <w:shd w:val="clear" w:color="auto" w:fill="auto"/>
            <w:noWrap/>
            <w:vAlign w:val="bottom"/>
            <w:hideMark/>
          </w:tcPr>
          <w:p w14:paraId="07A8CE6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Kurtosis:     </w:t>
            </w:r>
          </w:p>
        </w:tc>
        <w:tc>
          <w:tcPr>
            <w:tcW w:w="1257" w:type="dxa"/>
            <w:tcBorders>
              <w:top w:val="nil"/>
              <w:left w:val="nil"/>
              <w:bottom w:val="single" w:sz="4" w:space="0" w:color="auto"/>
              <w:right w:val="nil"/>
            </w:tcBorders>
            <w:shd w:val="clear" w:color="auto" w:fill="auto"/>
            <w:noWrap/>
            <w:vAlign w:val="bottom"/>
            <w:hideMark/>
          </w:tcPr>
          <w:p w14:paraId="72025C1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21.987</w:t>
            </w:r>
          </w:p>
        </w:tc>
        <w:tc>
          <w:tcPr>
            <w:tcW w:w="1000" w:type="dxa"/>
            <w:tcBorders>
              <w:top w:val="nil"/>
              <w:left w:val="nil"/>
              <w:bottom w:val="single" w:sz="4" w:space="0" w:color="auto"/>
              <w:right w:val="nil"/>
            </w:tcBorders>
            <w:shd w:val="clear" w:color="auto" w:fill="auto"/>
            <w:noWrap/>
            <w:vAlign w:val="bottom"/>
            <w:hideMark/>
          </w:tcPr>
          <w:p w14:paraId="5F92E98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nil"/>
              <w:left w:val="nil"/>
              <w:bottom w:val="single" w:sz="4" w:space="0" w:color="auto"/>
              <w:right w:val="nil"/>
            </w:tcBorders>
            <w:shd w:val="clear" w:color="auto" w:fill="auto"/>
            <w:noWrap/>
            <w:vAlign w:val="bottom"/>
            <w:hideMark/>
          </w:tcPr>
          <w:p w14:paraId="22164C9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Cond. No.          </w:t>
            </w:r>
          </w:p>
        </w:tc>
        <w:tc>
          <w:tcPr>
            <w:tcW w:w="1000" w:type="dxa"/>
            <w:tcBorders>
              <w:top w:val="nil"/>
              <w:left w:val="nil"/>
              <w:bottom w:val="single" w:sz="4" w:space="0" w:color="auto"/>
              <w:right w:val="nil"/>
            </w:tcBorders>
            <w:shd w:val="clear" w:color="auto" w:fill="auto"/>
            <w:noWrap/>
            <w:vAlign w:val="bottom"/>
            <w:hideMark/>
          </w:tcPr>
          <w:p w14:paraId="4C85278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3.76E+05</w:t>
            </w:r>
          </w:p>
        </w:tc>
      </w:tr>
    </w:tbl>
    <w:p w14:paraId="01CC6609" w14:textId="0F5154A2" w:rsidR="00060515" w:rsidRDefault="00370D75" w:rsidP="00060515">
      <w:pPr>
        <w:spacing w:line="240" w:lineRule="auto"/>
        <w:jc w:val="center"/>
        <w:rPr>
          <w:rFonts w:ascii="Times New Roman" w:hAnsi="Times New Roman" w:cs="Times New Roman"/>
          <w:sz w:val="24"/>
          <w:szCs w:val="24"/>
        </w:rPr>
      </w:pPr>
      <w:r>
        <w:rPr>
          <w:rFonts w:ascii="Times New Roman" w:hAnsi="Times New Roman" w:cs="Times New Roman"/>
          <w:sz w:val="24"/>
          <w:szCs w:val="24"/>
        </w:rPr>
        <w:fldChar w:fldCharType="end"/>
      </w:r>
      <w:r w:rsidR="00060515">
        <w:rPr>
          <w:rFonts w:ascii="Times New Roman" w:hAnsi="Times New Roman" w:cs="Times New Roman"/>
          <w:sz w:val="24"/>
          <w:szCs w:val="24"/>
        </w:rPr>
        <w:t>Source: Own elaboration.</w:t>
      </w:r>
    </w:p>
    <w:p w14:paraId="1F2BB15B" w14:textId="77777777" w:rsidR="00060515" w:rsidRDefault="00060515" w:rsidP="00060515">
      <w:pPr>
        <w:spacing w:line="240" w:lineRule="auto"/>
        <w:jc w:val="center"/>
        <w:rPr>
          <w:rFonts w:ascii="Times New Roman" w:hAnsi="Times New Roman" w:cs="Times New Roman"/>
          <w:b/>
          <w:bCs/>
          <w:sz w:val="24"/>
          <w:szCs w:val="24"/>
        </w:rPr>
      </w:pPr>
    </w:p>
    <w:p w14:paraId="6E1CE7D8" w14:textId="0B4885AE" w:rsidR="0006183C" w:rsidRPr="0006183C" w:rsidRDefault="00060515" w:rsidP="0006183C">
      <w:pPr>
        <w:spacing w:before="240" w:line="240" w:lineRule="auto"/>
        <w:jc w:val="center"/>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 xml:space="preserve">Table 8. Regression result for specification 4 of </w:t>
      </w:r>
      <w:r w:rsidR="002E11D9">
        <w:rPr>
          <w:rFonts w:ascii="Times New Roman" w:eastAsiaTheme="minorEastAsia" w:hAnsi="Times New Roman" w:cs="Times New Roman"/>
          <w:b/>
          <w:bCs/>
          <w:sz w:val="24"/>
          <w:szCs w:val="24"/>
          <w:u w:val="single"/>
        </w:rPr>
        <w:t>E</w:t>
      </w:r>
      <w:r>
        <w:rPr>
          <w:rFonts w:ascii="Times New Roman" w:eastAsiaTheme="minorEastAsia" w:hAnsi="Times New Roman" w:cs="Times New Roman"/>
          <w:b/>
          <w:bCs/>
          <w:sz w:val="24"/>
          <w:szCs w:val="24"/>
          <w:u w:val="single"/>
        </w:rPr>
        <w:t>quation 1</w:t>
      </w:r>
      <w:r w:rsidR="00370D75">
        <w:fldChar w:fldCharType="begin"/>
      </w:r>
      <w:r w:rsidR="00370D75">
        <w:instrText xml:space="preserve"> LINK </w:instrText>
      </w:r>
      <w:r w:rsidR="0011635A">
        <w:instrText xml:space="preserve">Excel.Sheet.12 "C:\\Users\\camil\\Dropbox\\Artículos académicos\\Similarity of ECB’s communication\\2Tables.xlsx" Reg4!R2C1:R18C7 </w:instrText>
      </w:r>
      <w:r w:rsidR="00370D75">
        <w:instrText xml:space="preserve">\a \f 4 \h  \* MERGEFORMAT </w:instrText>
      </w:r>
      <w:r w:rsidR="00370D75">
        <w:fldChar w:fldCharType="separate"/>
      </w:r>
    </w:p>
    <w:tbl>
      <w:tblPr>
        <w:tblW w:w="7750" w:type="dxa"/>
        <w:jc w:val="center"/>
        <w:tblLook w:val="04A0" w:firstRow="1" w:lastRow="0" w:firstColumn="1" w:lastColumn="0" w:noHBand="0" w:noVBand="1"/>
      </w:tblPr>
      <w:tblGrid>
        <w:gridCol w:w="1671"/>
        <w:gridCol w:w="822"/>
        <w:gridCol w:w="1257"/>
        <w:gridCol w:w="1000"/>
        <w:gridCol w:w="856"/>
        <w:gridCol w:w="1144"/>
        <w:gridCol w:w="1000"/>
      </w:tblGrid>
      <w:tr w:rsidR="0006183C" w:rsidRPr="0006183C" w14:paraId="62E0083B" w14:textId="77777777" w:rsidTr="0006183C">
        <w:trPr>
          <w:divId w:val="1054546409"/>
          <w:trHeight w:val="288"/>
          <w:jc w:val="center"/>
        </w:trPr>
        <w:tc>
          <w:tcPr>
            <w:tcW w:w="1671" w:type="dxa"/>
            <w:tcBorders>
              <w:top w:val="single" w:sz="4" w:space="0" w:color="auto"/>
              <w:left w:val="nil"/>
              <w:bottom w:val="nil"/>
              <w:right w:val="nil"/>
            </w:tcBorders>
            <w:shd w:val="clear" w:color="auto" w:fill="auto"/>
            <w:noWrap/>
            <w:vAlign w:val="bottom"/>
            <w:hideMark/>
          </w:tcPr>
          <w:p w14:paraId="11508BCD" w14:textId="62799A2F"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Dep. Variable:   </w:t>
            </w:r>
          </w:p>
        </w:tc>
        <w:tc>
          <w:tcPr>
            <w:tcW w:w="2079" w:type="dxa"/>
            <w:gridSpan w:val="2"/>
            <w:tcBorders>
              <w:top w:val="single" w:sz="4" w:space="0" w:color="auto"/>
              <w:left w:val="nil"/>
              <w:bottom w:val="nil"/>
              <w:right w:val="nil"/>
            </w:tcBorders>
            <w:shd w:val="clear" w:color="auto" w:fill="auto"/>
            <w:noWrap/>
            <w:vAlign w:val="bottom"/>
            <w:hideMark/>
          </w:tcPr>
          <w:p w14:paraId="5A0FE2D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Similarity      </w:t>
            </w:r>
          </w:p>
        </w:tc>
        <w:tc>
          <w:tcPr>
            <w:tcW w:w="1000" w:type="dxa"/>
            <w:tcBorders>
              <w:top w:val="single" w:sz="4" w:space="0" w:color="auto"/>
              <w:left w:val="nil"/>
              <w:bottom w:val="nil"/>
              <w:right w:val="nil"/>
            </w:tcBorders>
            <w:shd w:val="clear" w:color="auto" w:fill="auto"/>
            <w:noWrap/>
            <w:vAlign w:val="bottom"/>
            <w:hideMark/>
          </w:tcPr>
          <w:p w14:paraId="2E7ECBE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single" w:sz="4" w:space="0" w:color="auto"/>
              <w:left w:val="nil"/>
              <w:bottom w:val="nil"/>
              <w:right w:val="nil"/>
            </w:tcBorders>
            <w:shd w:val="clear" w:color="auto" w:fill="auto"/>
            <w:noWrap/>
            <w:vAlign w:val="bottom"/>
            <w:hideMark/>
          </w:tcPr>
          <w:p w14:paraId="5161C07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R-squared:         </w:t>
            </w:r>
          </w:p>
        </w:tc>
        <w:tc>
          <w:tcPr>
            <w:tcW w:w="1000" w:type="dxa"/>
            <w:tcBorders>
              <w:top w:val="single" w:sz="4" w:space="0" w:color="auto"/>
              <w:left w:val="nil"/>
              <w:bottom w:val="nil"/>
              <w:right w:val="nil"/>
            </w:tcBorders>
            <w:shd w:val="clear" w:color="auto" w:fill="auto"/>
            <w:noWrap/>
            <w:vAlign w:val="bottom"/>
            <w:hideMark/>
          </w:tcPr>
          <w:p w14:paraId="2E21D47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0.509</w:t>
            </w:r>
          </w:p>
        </w:tc>
      </w:tr>
      <w:tr w:rsidR="0006183C" w:rsidRPr="0006183C" w14:paraId="14CDC4D8" w14:textId="77777777" w:rsidTr="0006183C">
        <w:trPr>
          <w:divId w:val="1054546409"/>
          <w:trHeight w:val="288"/>
          <w:jc w:val="center"/>
        </w:trPr>
        <w:tc>
          <w:tcPr>
            <w:tcW w:w="2493" w:type="dxa"/>
            <w:gridSpan w:val="2"/>
            <w:tcBorders>
              <w:top w:val="nil"/>
              <w:left w:val="nil"/>
              <w:bottom w:val="nil"/>
              <w:right w:val="nil"/>
            </w:tcBorders>
            <w:shd w:val="clear" w:color="auto" w:fill="auto"/>
            <w:noWrap/>
            <w:vAlign w:val="bottom"/>
            <w:hideMark/>
          </w:tcPr>
          <w:p w14:paraId="47A8B21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Model:           </w:t>
            </w:r>
          </w:p>
        </w:tc>
        <w:tc>
          <w:tcPr>
            <w:tcW w:w="1257" w:type="dxa"/>
            <w:tcBorders>
              <w:top w:val="nil"/>
              <w:left w:val="nil"/>
              <w:bottom w:val="nil"/>
              <w:right w:val="nil"/>
            </w:tcBorders>
            <w:shd w:val="clear" w:color="auto" w:fill="auto"/>
            <w:noWrap/>
            <w:vAlign w:val="bottom"/>
            <w:hideMark/>
          </w:tcPr>
          <w:p w14:paraId="2DC4594C"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OLS             </w:t>
            </w:r>
          </w:p>
        </w:tc>
        <w:tc>
          <w:tcPr>
            <w:tcW w:w="1000" w:type="dxa"/>
            <w:tcBorders>
              <w:top w:val="nil"/>
              <w:left w:val="nil"/>
              <w:bottom w:val="nil"/>
              <w:right w:val="nil"/>
            </w:tcBorders>
            <w:shd w:val="clear" w:color="auto" w:fill="auto"/>
            <w:noWrap/>
            <w:vAlign w:val="bottom"/>
            <w:hideMark/>
          </w:tcPr>
          <w:p w14:paraId="60A27CA5"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54949D1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Adj. R-squared:    </w:t>
            </w:r>
          </w:p>
        </w:tc>
        <w:tc>
          <w:tcPr>
            <w:tcW w:w="1000" w:type="dxa"/>
            <w:tcBorders>
              <w:top w:val="nil"/>
              <w:left w:val="nil"/>
              <w:bottom w:val="nil"/>
              <w:right w:val="nil"/>
            </w:tcBorders>
            <w:shd w:val="clear" w:color="auto" w:fill="auto"/>
            <w:noWrap/>
            <w:vAlign w:val="bottom"/>
            <w:hideMark/>
          </w:tcPr>
          <w:p w14:paraId="645B11F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0.501</w:t>
            </w:r>
          </w:p>
        </w:tc>
      </w:tr>
      <w:tr w:rsidR="0006183C" w:rsidRPr="0006183C" w14:paraId="5DCBB07B" w14:textId="77777777" w:rsidTr="0006183C">
        <w:trPr>
          <w:divId w:val="1054546409"/>
          <w:trHeight w:val="288"/>
          <w:jc w:val="center"/>
        </w:trPr>
        <w:tc>
          <w:tcPr>
            <w:tcW w:w="2493" w:type="dxa"/>
            <w:gridSpan w:val="2"/>
            <w:tcBorders>
              <w:top w:val="nil"/>
              <w:left w:val="nil"/>
              <w:bottom w:val="nil"/>
              <w:right w:val="nil"/>
            </w:tcBorders>
            <w:shd w:val="clear" w:color="auto" w:fill="auto"/>
            <w:noWrap/>
            <w:vAlign w:val="bottom"/>
            <w:hideMark/>
          </w:tcPr>
          <w:p w14:paraId="3505533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Method:          </w:t>
            </w:r>
          </w:p>
        </w:tc>
        <w:tc>
          <w:tcPr>
            <w:tcW w:w="1257" w:type="dxa"/>
            <w:tcBorders>
              <w:top w:val="nil"/>
              <w:left w:val="nil"/>
              <w:bottom w:val="nil"/>
              <w:right w:val="nil"/>
            </w:tcBorders>
            <w:shd w:val="clear" w:color="auto" w:fill="auto"/>
            <w:noWrap/>
            <w:vAlign w:val="bottom"/>
            <w:hideMark/>
          </w:tcPr>
          <w:p w14:paraId="2855EFB2"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Least Squares   </w:t>
            </w:r>
          </w:p>
        </w:tc>
        <w:tc>
          <w:tcPr>
            <w:tcW w:w="1000" w:type="dxa"/>
            <w:tcBorders>
              <w:top w:val="nil"/>
              <w:left w:val="nil"/>
              <w:bottom w:val="nil"/>
              <w:right w:val="nil"/>
            </w:tcBorders>
            <w:shd w:val="clear" w:color="auto" w:fill="auto"/>
            <w:noWrap/>
            <w:vAlign w:val="bottom"/>
            <w:hideMark/>
          </w:tcPr>
          <w:p w14:paraId="03D95888"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44261D3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F-statistic:       </w:t>
            </w:r>
          </w:p>
        </w:tc>
        <w:tc>
          <w:tcPr>
            <w:tcW w:w="1000" w:type="dxa"/>
            <w:tcBorders>
              <w:top w:val="nil"/>
              <w:left w:val="nil"/>
              <w:bottom w:val="nil"/>
              <w:right w:val="nil"/>
            </w:tcBorders>
            <w:shd w:val="clear" w:color="auto" w:fill="auto"/>
            <w:noWrap/>
            <w:vAlign w:val="bottom"/>
            <w:hideMark/>
          </w:tcPr>
          <w:p w14:paraId="053BAF9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65.11</w:t>
            </w:r>
          </w:p>
        </w:tc>
      </w:tr>
      <w:tr w:rsidR="0006183C" w:rsidRPr="0006183C" w14:paraId="7C853E7B" w14:textId="77777777" w:rsidTr="0006183C">
        <w:trPr>
          <w:divId w:val="1054546409"/>
          <w:trHeight w:val="288"/>
          <w:jc w:val="center"/>
        </w:trPr>
        <w:tc>
          <w:tcPr>
            <w:tcW w:w="2493" w:type="dxa"/>
            <w:gridSpan w:val="2"/>
            <w:tcBorders>
              <w:top w:val="nil"/>
              <w:left w:val="nil"/>
              <w:bottom w:val="nil"/>
              <w:right w:val="nil"/>
            </w:tcBorders>
            <w:shd w:val="clear" w:color="auto" w:fill="auto"/>
            <w:noWrap/>
            <w:vAlign w:val="bottom"/>
            <w:hideMark/>
          </w:tcPr>
          <w:p w14:paraId="6A3E583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No. Observations:</w:t>
            </w:r>
          </w:p>
        </w:tc>
        <w:tc>
          <w:tcPr>
            <w:tcW w:w="1257" w:type="dxa"/>
            <w:tcBorders>
              <w:top w:val="nil"/>
              <w:left w:val="nil"/>
              <w:bottom w:val="nil"/>
              <w:right w:val="nil"/>
            </w:tcBorders>
            <w:shd w:val="clear" w:color="auto" w:fill="auto"/>
            <w:noWrap/>
            <w:vAlign w:val="bottom"/>
            <w:hideMark/>
          </w:tcPr>
          <w:p w14:paraId="74CB27A5"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256</w:t>
            </w:r>
          </w:p>
        </w:tc>
        <w:tc>
          <w:tcPr>
            <w:tcW w:w="1000" w:type="dxa"/>
            <w:tcBorders>
              <w:top w:val="nil"/>
              <w:left w:val="nil"/>
              <w:bottom w:val="nil"/>
              <w:right w:val="nil"/>
            </w:tcBorders>
            <w:shd w:val="clear" w:color="auto" w:fill="auto"/>
            <w:noWrap/>
            <w:vAlign w:val="bottom"/>
            <w:hideMark/>
          </w:tcPr>
          <w:p w14:paraId="30BCD3D6"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57178BF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 (F-statistic):</w:t>
            </w:r>
          </w:p>
        </w:tc>
        <w:tc>
          <w:tcPr>
            <w:tcW w:w="1000" w:type="dxa"/>
            <w:tcBorders>
              <w:top w:val="nil"/>
              <w:left w:val="nil"/>
              <w:bottom w:val="nil"/>
              <w:right w:val="nil"/>
            </w:tcBorders>
            <w:shd w:val="clear" w:color="auto" w:fill="auto"/>
            <w:noWrap/>
            <w:vAlign w:val="bottom"/>
            <w:hideMark/>
          </w:tcPr>
          <w:p w14:paraId="3D623B2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1.04E-37</w:t>
            </w:r>
          </w:p>
        </w:tc>
      </w:tr>
      <w:tr w:rsidR="0006183C" w:rsidRPr="0006183C" w14:paraId="3869ADEC" w14:textId="77777777" w:rsidTr="0006183C">
        <w:trPr>
          <w:divId w:val="1054546409"/>
          <w:trHeight w:val="288"/>
          <w:jc w:val="center"/>
        </w:trPr>
        <w:tc>
          <w:tcPr>
            <w:tcW w:w="2493" w:type="dxa"/>
            <w:gridSpan w:val="2"/>
            <w:tcBorders>
              <w:top w:val="nil"/>
              <w:left w:val="nil"/>
              <w:bottom w:val="nil"/>
              <w:right w:val="nil"/>
            </w:tcBorders>
            <w:shd w:val="clear" w:color="auto" w:fill="auto"/>
            <w:noWrap/>
            <w:vAlign w:val="bottom"/>
            <w:hideMark/>
          </w:tcPr>
          <w:p w14:paraId="1EBAEEA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Residuals:    </w:t>
            </w:r>
          </w:p>
        </w:tc>
        <w:tc>
          <w:tcPr>
            <w:tcW w:w="1257" w:type="dxa"/>
            <w:tcBorders>
              <w:top w:val="nil"/>
              <w:left w:val="nil"/>
              <w:bottom w:val="nil"/>
              <w:right w:val="nil"/>
            </w:tcBorders>
            <w:shd w:val="clear" w:color="auto" w:fill="auto"/>
            <w:noWrap/>
            <w:vAlign w:val="bottom"/>
            <w:hideMark/>
          </w:tcPr>
          <w:p w14:paraId="0462E4E0"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251</w:t>
            </w:r>
          </w:p>
        </w:tc>
        <w:tc>
          <w:tcPr>
            <w:tcW w:w="1000" w:type="dxa"/>
            <w:tcBorders>
              <w:top w:val="nil"/>
              <w:left w:val="nil"/>
              <w:bottom w:val="nil"/>
              <w:right w:val="nil"/>
            </w:tcBorders>
            <w:shd w:val="clear" w:color="auto" w:fill="auto"/>
            <w:noWrap/>
            <w:vAlign w:val="bottom"/>
            <w:hideMark/>
          </w:tcPr>
          <w:p w14:paraId="60F3152D"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68805B3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Log-Likelihood:    </w:t>
            </w:r>
          </w:p>
        </w:tc>
        <w:tc>
          <w:tcPr>
            <w:tcW w:w="1000" w:type="dxa"/>
            <w:tcBorders>
              <w:top w:val="nil"/>
              <w:left w:val="nil"/>
              <w:bottom w:val="nil"/>
              <w:right w:val="nil"/>
            </w:tcBorders>
            <w:shd w:val="clear" w:color="auto" w:fill="auto"/>
            <w:noWrap/>
            <w:vAlign w:val="bottom"/>
            <w:hideMark/>
          </w:tcPr>
          <w:p w14:paraId="1F37BD6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-174.38</w:t>
            </w:r>
          </w:p>
        </w:tc>
      </w:tr>
      <w:tr w:rsidR="0006183C" w:rsidRPr="0006183C" w14:paraId="3D5EC3D4" w14:textId="77777777" w:rsidTr="0006183C">
        <w:trPr>
          <w:divId w:val="1054546409"/>
          <w:trHeight w:val="288"/>
          <w:jc w:val="center"/>
        </w:trPr>
        <w:tc>
          <w:tcPr>
            <w:tcW w:w="2493" w:type="dxa"/>
            <w:gridSpan w:val="2"/>
            <w:tcBorders>
              <w:top w:val="nil"/>
              <w:left w:val="nil"/>
              <w:bottom w:val="nil"/>
              <w:right w:val="nil"/>
            </w:tcBorders>
            <w:shd w:val="clear" w:color="auto" w:fill="auto"/>
            <w:noWrap/>
            <w:vAlign w:val="bottom"/>
            <w:hideMark/>
          </w:tcPr>
          <w:p w14:paraId="4942159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Model:        </w:t>
            </w:r>
          </w:p>
        </w:tc>
        <w:tc>
          <w:tcPr>
            <w:tcW w:w="1257" w:type="dxa"/>
            <w:tcBorders>
              <w:top w:val="nil"/>
              <w:left w:val="nil"/>
              <w:bottom w:val="nil"/>
              <w:right w:val="nil"/>
            </w:tcBorders>
            <w:shd w:val="clear" w:color="auto" w:fill="auto"/>
            <w:noWrap/>
            <w:vAlign w:val="bottom"/>
            <w:hideMark/>
          </w:tcPr>
          <w:p w14:paraId="0743406A"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4</w:t>
            </w:r>
          </w:p>
        </w:tc>
        <w:tc>
          <w:tcPr>
            <w:tcW w:w="1000" w:type="dxa"/>
            <w:tcBorders>
              <w:top w:val="nil"/>
              <w:left w:val="nil"/>
              <w:bottom w:val="nil"/>
              <w:right w:val="nil"/>
            </w:tcBorders>
            <w:shd w:val="clear" w:color="auto" w:fill="auto"/>
            <w:noWrap/>
            <w:vAlign w:val="bottom"/>
            <w:hideMark/>
          </w:tcPr>
          <w:p w14:paraId="3A0ACDF8"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4B8C640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AIC:               </w:t>
            </w:r>
          </w:p>
        </w:tc>
        <w:tc>
          <w:tcPr>
            <w:tcW w:w="1000" w:type="dxa"/>
            <w:tcBorders>
              <w:top w:val="nil"/>
              <w:left w:val="nil"/>
              <w:bottom w:val="nil"/>
              <w:right w:val="nil"/>
            </w:tcBorders>
            <w:shd w:val="clear" w:color="auto" w:fill="auto"/>
            <w:noWrap/>
            <w:vAlign w:val="bottom"/>
            <w:hideMark/>
          </w:tcPr>
          <w:p w14:paraId="63E7596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358.8</w:t>
            </w:r>
          </w:p>
        </w:tc>
      </w:tr>
      <w:tr w:rsidR="0006183C" w:rsidRPr="0006183C" w14:paraId="45B84A22" w14:textId="77777777" w:rsidTr="0006183C">
        <w:trPr>
          <w:divId w:val="1054546409"/>
          <w:trHeight w:val="288"/>
          <w:jc w:val="center"/>
        </w:trPr>
        <w:tc>
          <w:tcPr>
            <w:tcW w:w="2493" w:type="dxa"/>
            <w:gridSpan w:val="2"/>
            <w:tcBorders>
              <w:top w:val="nil"/>
              <w:left w:val="nil"/>
              <w:bottom w:val="nil"/>
              <w:right w:val="nil"/>
            </w:tcBorders>
            <w:shd w:val="clear" w:color="auto" w:fill="auto"/>
            <w:noWrap/>
            <w:vAlign w:val="bottom"/>
            <w:hideMark/>
          </w:tcPr>
          <w:p w14:paraId="778B60F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Covariance Type: </w:t>
            </w:r>
          </w:p>
        </w:tc>
        <w:tc>
          <w:tcPr>
            <w:tcW w:w="1257" w:type="dxa"/>
            <w:tcBorders>
              <w:top w:val="nil"/>
              <w:left w:val="nil"/>
              <w:bottom w:val="nil"/>
              <w:right w:val="nil"/>
            </w:tcBorders>
            <w:shd w:val="clear" w:color="auto" w:fill="auto"/>
            <w:noWrap/>
            <w:vAlign w:val="bottom"/>
            <w:hideMark/>
          </w:tcPr>
          <w:p w14:paraId="39132850"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nonrobust</w:t>
            </w:r>
            <w:proofErr w:type="spellEnd"/>
            <w:r w:rsidRPr="0006183C">
              <w:rPr>
                <w:rFonts w:ascii="Calibri" w:eastAsia="Times New Roman" w:hAnsi="Calibri" w:cs="Calibri"/>
                <w:color w:val="000000"/>
                <w:kern w:val="0"/>
                <w:sz w:val="18"/>
                <w:szCs w:val="18"/>
                <w14:ligatures w14:val="none"/>
              </w:rPr>
              <w:t xml:space="preserve">       </w:t>
            </w:r>
          </w:p>
        </w:tc>
        <w:tc>
          <w:tcPr>
            <w:tcW w:w="1000" w:type="dxa"/>
            <w:tcBorders>
              <w:top w:val="nil"/>
              <w:left w:val="nil"/>
              <w:bottom w:val="nil"/>
              <w:right w:val="nil"/>
            </w:tcBorders>
            <w:shd w:val="clear" w:color="auto" w:fill="auto"/>
            <w:noWrap/>
            <w:vAlign w:val="bottom"/>
            <w:hideMark/>
          </w:tcPr>
          <w:p w14:paraId="2EFE5D68"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6F52182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BIC:               </w:t>
            </w:r>
          </w:p>
        </w:tc>
        <w:tc>
          <w:tcPr>
            <w:tcW w:w="1000" w:type="dxa"/>
            <w:tcBorders>
              <w:top w:val="nil"/>
              <w:left w:val="nil"/>
              <w:bottom w:val="nil"/>
              <w:right w:val="nil"/>
            </w:tcBorders>
            <w:shd w:val="clear" w:color="auto" w:fill="auto"/>
            <w:noWrap/>
            <w:vAlign w:val="bottom"/>
            <w:hideMark/>
          </w:tcPr>
          <w:p w14:paraId="3B76556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376.5</w:t>
            </w:r>
          </w:p>
        </w:tc>
      </w:tr>
      <w:tr w:rsidR="0006183C" w:rsidRPr="0006183C" w14:paraId="2309AB10" w14:textId="77777777" w:rsidTr="0006183C">
        <w:trPr>
          <w:divId w:val="1054546409"/>
          <w:trHeight w:val="288"/>
          <w:jc w:val="center"/>
        </w:trPr>
        <w:tc>
          <w:tcPr>
            <w:tcW w:w="1671" w:type="dxa"/>
            <w:tcBorders>
              <w:top w:val="single" w:sz="4" w:space="0" w:color="auto"/>
              <w:left w:val="nil"/>
              <w:bottom w:val="single" w:sz="4" w:space="0" w:color="auto"/>
              <w:right w:val="nil"/>
            </w:tcBorders>
            <w:shd w:val="clear" w:color="auto" w:fill="auto"/>
            <w:noWrap/>
            <w:vAlign w:val="bottom"/>
            <w:hideMark/>
          </w:tcPr>
          <w:p w14:paraId="4A00C6C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
        </w:tc>
        <w:tc>
          <w:tcPr>
            <w:tcW w:w="822" w:type="dxa"/>
            <w:tcBorders>
              <w:top w:val="single" w:sz="4" w:space="0" w:color="auto"/>
              <w:left w:val="nil"/>
              <w:bottom w:val="single" w:sz="4" w:space="0" w:color="auto"/>
              <w:right w:val="nil"/>
            </w:tcBorders>
            <w:shd w:val="clear" w:color="auto" w:fill="auto"/>
            <w:noWrap/>
            <w:vAlign w:val="bottom"/>
            <w:hideMark/>
          </w:tcPr>
          <w:p w14:paraId="1AD6A4A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roofErr w:type="spellStart"/>
            <w:r w:rsidRPr="0006183C">
              <w:rPr>
                <w:rFonts w:ascii="Calibri" w:eastAsia="Times New Roman" w:hAnsi="Calibri" w:cs="Calibri"/>
                <w:color w:val="000000"/>
                <w:kern w:val="0"/>
                <w:sz w:val="18"/>
                <w:szCs w:val="18"/>
                <w14:ligatures w14:val="none"/>
              </w:rPr>
              <w:t>coef</w:t>
            </w:r>
            <w:proofErr w:type="spellEnd"/>
            <w:r w:rsidRPr="0006183C">
              <w:rPr>
                <w:rFonts w:ascii="Calibri" w:eastAsia="Times New Roman" w:hAnsi="Calibri" w:cs="Calibri"/>
                <w:color w:val="000000"/>
                <w:kern w:val="0"/>
                <w:sz w:val="18"/>
                <w:szCs w:val="18"/>
                <w14:ligatures w14:val="none"/>
              </w:rPr>
              <w:t xml:space="preserve">   </w:t>
            </w:r>
          </w:p>
        </w:tc>
        <w:tc>
          <w:tcPr>
            <w:tcW w:w="1257" w:type="dxa"/>
            <w:tcBorders>
              <w:top w:val="single" w:sz="4" w:space="0" w:color="auto"/>
              <w:left w:val="nil"/>
              <w:bottom w:val="single" w:sz="4" w:space="0" w:color="auto"/>
              <w:right w:val="nil"/>
            </w:tcBorders>
            <w:shd w:val="clear" w:color="auto" w:fill="auto"/>
            <w:noWrap/>
            <w:vAlign w:val="bottom"/>
            <w:hideMark/>
          </w:tcPr>
          <w:p w14:paraId="377649E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std err </w:t>
            </w:r>
          </w:p>
        </w:tc>
        <w:tc>
          <w:tcPr>
            <w:tcW w:w="1000" w:type="dxa"/>
            <w:tcBorders>
              <w:top w:val="single" w:sz="4" w:space="0" w:color="auto"/>
              <w:left w:val="nil"/>
              <w:bottom w:val="single" w:sz="4" w:space="0" w:color="auto"/>
              <w:right w:val="nil"/>
            </w:tcBorders>
            <w:shd w:val="clear" w:color="auto" w:fill="auto"/>
            <w:noWrap/>
            <w:vAlign w:val="bottom"/>
            <w:hideMark/>
          </w:tcPr>
          <w:p w14:paraId="4FFE944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t    </w:t>
            </w:r>
          </w:p>
        </w:tc>
        <w:tc>
          <w:tcPr>
            <w:tcW w:w="856" w:type="dxa"/>
            <w:tcBorders>
              <w:top w:val="single" w:sz="4" w:space="0" w:color="auto"/>
              <w:left w:val="nil"/>
              <w:bottom w:val="single" w:sz="4" w:space="0" w:color="auto"/>
              <w:right w:val="nil"/>
            </w:tcBorders>
            <w:shd w:val="clear" w:color="auto" w:fill="auto"/>
            <w:noWrap/>
            <w:vAlign w:val="bottom"/>
            <w:hideMark/>
          </w:tcPr>
          <w:p w14:paraId="748AAAA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P&gt;|t| </w:t>
            </w:r>
          </w:p>
        </w:tc>
        <w:tc>
          <w:tcPr>
            <w:tcW w:w="1144" w:type="dxa"/>
            <w:tcBorders>
              <w:top w:val="single" w:sz="4" w:space="0" w:color="auto"/>
              <w:left w:val="nil"/>
              <w:bottom w:val="single" w:sz="4" w:space="0" w:color="auto"/>
              <w:right w:val="nil"/>
            </w:tcBorders>
            <w:shd w:val="clear" w:color="auto" w:fill="auto"/>
            <w:noWrap/>
            <w:vAlign w:val="bottom"/>
            <w:hideMark/>
          </w:tcPr>
          <w:p w14:paraId="06C19A1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[0.025 </w:t>
            </w:r>
          </w:p>
        </w:tc>
        <w:tc>
          <w:tcPr>
            <w:tcW w:w="1000" w:type="dxa"/>
            <w:tcBorders>
              <w:top w:val="single" w:sz="4" w:space="0" w:color="auto"/>
              <w:left w:val="nil"/>
              <w:bottom w:val="single" w:sz="4" w:space="0" w:color="auto"/>
              <w:right w:val="nil"/>
            </w:tcBorders>
            <w:shd w:val="clear" w:color="auto" w:fill="auto"/>
            <w:noWrap/>
            <w:vAlign w:val="bottom"/>
            <w:hideMark/>
          </w:tcPr>
          <w:p w14:paraId="4C42357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0.975] </w:t>
            </w:r>
          </w:p>
        </w:tc>
      </w:tr>
      <w:tr w:rsidR="0006183C" w:rsidRPr="0006183C" w14:paraId="5E860B50" w14:textId="77777777" w:rsidTr="0006183C">
        <w:trPr>
          <w:divId w:val="1054546409"/>
          <w:trHeight w:val="288"/>
          <w:jc w:val="center"/>
        </w:trPr>
        <w:tc>
          <w:tcPr>
            <w:tcW w:w="1671" w:type="dxa"/>
            <w:tcBorders>
              <w:top w:val="nil"/>
              <w:left w:val="nil"/>
              <w:bottom w:val="nil"/>
              <w:right w:val="nil"/>
            </w:tcBorders>
            <w:shd w:val="clear" w:color="auto" w:fill="auto"/>
            <w:noWrap/>
            <w:vAlign w:val="bottom"/>
            <w:hideMark/>
          </w:tcPr>
          <w:p w14:paraId="44F44B5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const           </w:t>
            </w:r>
          </w:p>
        </w:tc>
        <w:tc>
          <w:tcPr>
            <w:tcW w:w="822" w:type="dxa"/>
            <w:tcBorders>
              <w:top w:val="nil"/>
              <w:left w:val="nil"/>
              <w:bottom w:val="nil"/>
              <w:right w:val="nil"/>
            </w:tcBorders>
            <w:shd w:val="clear" w:color="auto" w:fill="auto"/>
            <w:noWrap/>
            <w:vAlign w:val="bottom"/>
            <w:hideMark/>
          </w:tcPr>
          <w:p w14:paraId="6AFA5FB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-1.8776</w:t>
            </w:r>
          </w:p>
        </w:tc>
        <w:tc>
          <w:tcPr>
            <w:tcW w:w="1257" w:type="dxa"/>
            <w:tcBorders>
              <w:top w:val="nil"/>
              <w:left w:val="nil"/>
              <w:bottom w:val="nil"/>
              <w:right w:val="nil"/>
            </w:tcBorders>
            <w:shd w:val="clear" w:color="auto" w:fill="auto"/>
            <w:noWrap/>
            <w:vAlign w:val="bottom"/>
            <w:hideMark/>
          </w:tcPr>
          <w:p w14:paraId="2236713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0.073</w:t>
            </w:r>
          </w:p>
        </w:tc>
        <w:tc>
          <w:tcPr>
            <w:tcW w:w="1000" w:type="dxa"/>
            <w:tcBorders>
              <w:top w:val="nil"/>
              <w:left w:val="nil"/>
              <w:bottom w:val="nil"/>
              <w:right w:val="nil"/>
            </w:tcBorders>
            <w:shd w:val="clear" w:color="auto" w:fill="auto"/>
            <w:noWrap/>
            <w:vAlign w:val="bottom"/>
            <w:hideMark/>
          </w:tcPr>
          <w:p w14:paraId="1DA1B8A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-25.723</w:t>
            </w:r>
          </w:p>
        </w:tc>
        <w:tc>
          <w:tcPr>
            <w:tcW w:w="856" w:type="dxa"/>
            <w:tcBorders>
              <w:top w:val="nil"/>
              <w:left w:val="nil"/>
              <w:bottom w:val="nil"/>
              <w:right w:val="nil"/>
            </w:tcBorders>
            <w:shd w:val="clear" w:color="auto" w:fill="auto"/>
            <w:noWrap/>
            <w:vAlign w:val="bottom"/>
            <w:hideMark/>
          </w:tcPr>
          <w:p w14:paraId="603498B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144" w:type="dxa"/>
            <w:tcBorders>
              <w:top w:val="nil"/>
              <w:left w:val="nil"/>
              <w:bottom w:val="nil"/>
              <w:right w:val="nil"/>
            </w:tcBorders>
            <w:shd w:val="clear" w:color="auto" w:fill="auto"/>
            <w:noWrap/>
            <w:vAlign w:val="bottom"/>
            <w:hideMark/>
          </w:tcPr>
          <w:p w14:paraId="5CD335A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-2.021</w:t>
            </w:r>
          </w:p>
        </w:tc>
        <w:tc>
          <w:tcPr>
            <w:tcW w:w="1000" w:type="dxa"/>
            <w:tcBorders>
              <w:top w:val="nil"/>
              <w:left w:val="nil"/>
              <w:bottom w:val="nil"/>
              <w:right w:val="nil"/>
            </w:tcBorders>
            <w:shd w:val="clear" w:color="auto" w:fill="auto"/>
            <w:noWrap/>
            <w:vAlign w:val="bottom"/>
            <w:hideMark/>
          </w:tcPr>
          <w:p w14:paraId="2DBD9EE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-1.734</w:t>
            </w:r>
          </w:p>
        </w:tc>
      </w:tr>
      <w:tr w:rsidR="0006183C" w:rsidRPr="0006183C" w14:paraId="49B700B7" w14:textId="77777777" w:rsidTr="0006183C">
        <w:trPr>
          <w:divId w:val="1054546409"/>
          <w:trHeight w:val="288"/>
          <w:jc w:val="center"/>
        </w:trPr>
        <w:tc>
          <w:tcPr>
            <w:tcW w:w="1671" w:type="dxa"/>
            <w:tcBorders>
              <w:top w:val="nil"/>
              <w:left w:val="nil"/>
              <w:bottom w:val="nil"/>
              <w:right w:val="nil"/>
            </w:tcBorders>
            <w:shd w:val="clear" w:color="auto" w:fill="auto"/>
            <w:noWrap/>
            <w:vAlign w:val="bottom"/>
            <w:hideMark/>
          </w:tcPr>
          <w:p w14:paraId="576CDE8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Time count      </w:t>
            </w:r>
          </w:p>
        </w:tc>
        <w:tc>
          <w:tcPr>
            <w:tcW w:w="822" w:type="dxa"/>
            <w:tcBorders>
              <w:top w:val="nil"/>
              <w:left w:val="nil"/>
              <w:bottom w:val="nil"/>
              <w:right w:val="nil"/>
            </w:tcBorders>
            <w:shd w:val="clear" w:color="auto" w:fill="auto"/>
            <w:noWrap/>
            <w:vAlign w:val="bottom"/>
            <w:hideMark/>
          </w:tcPr>
          <w:p w14:paraId="06A161B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0.0061</w:t>
            </w:r>
          </w:p>
        </w:tc>
        <w:tc>
          <w:tcPr>
            <w:tcW w:w="1257" w:type="dxa"/>
            <w:tcBorders>
              <w:top w:val="nil"/>
              <w:left w:val="nil"/>
              <w:bottom w:val="nil"/>
              <w:right w:val="nil"/>
            </w:tcBorders>
            <w:shd w:val="clear" w:color="auto" w:fill="auto"/>
            <w:noWrap/>
            <w:vAlign w:val="bottom"/>
            <w:hideMark/>
          </w:tcPr>
          <w:p w14:paraId="782E9BA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0.00E+00</w:t>
            </w:r>
          </w:p>
        </w:tc>
        <w:tc>
          <w:tcPr>
            <w:tcW w:w="1000" w:type="dxa"/>
            <w:tcBorders>
              <w:top w:val="nil"/>
              <w:left w:val="nil"/>
              <w:bottom w:val="nil"/>
              <w:right w:val="nil"/>
            </w:tcBorders>
            <w:shd w:val="clear" w:color="auto" w:fill="auto"/>
            <w:noWrap/>
            <w:vAlign w:val="bottom"/>
            <w:hideMark/>
          </w:tcPr>
          <w:p w14:paraId="2F16E86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14.675</w:t>
            </w:r>
          </w:p>
        </w:tc>
        <w:tc>
          <w:tcPr>
            <w:tcW w:w="856" w:type="dxa"/>
            <w:tcBorders>
              <w:top w:val="nil"/>
              <w:left w:val="nil"/>
              <w:bottom w:val="nil"/>
              <w:right w:val="nil"/>
            </w:tcBorders>
            <w:shd w:val="clear" w:color="auto" w:fill="auto"/>
            <w:noWrap/>
            <w:vAlign w:val="bottom"/>
            <w:hideMark/>
          </w:tcPr>
          <w:p w14:paraId="1CDFA0C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144" w:type="dxa"/>
            <w:tcBorders>
              <w:top w:val="nil"/>
              <w:left w:val="nil"/>
              <w:bottom w:val="nil"/>
              <w:right w:val="nil"/>
            </w:tcBorders>
            <w:shd w:val="clear" w:color="auto" w:fill="auto"/>
            <w:noWrap/>
            <w:vAlign w:val="bottom"/>
            <w:hideMark/>
          </w:tcPr>
          <w:p w14:paraId="4A288DF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0.005</w:t>
            </w:r>
          </w:p>
        </w:tc>
        <w:tc>
          <w:tcPr>
            <w:tcW w:w="1000" w:type="dxa"/>
            <w:tcBorders>
              <w:top w:val="nil"/>
              <w:left w:val="nil"/>
              <w:bottom w:val="nil"/>
              <w:right w:val="nil"/>
            </w:tcBorders>
            <w:shd w:val="clear" w:color="auto" w:fill="auto"/>
            <w:noWrap/>
            <w:vAlign w:val="bottom"/>
            <w:hideMark/>
          </w:tcPr>
          <w:p w14:paraId="10DB577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0.007</w:t>
            </w:r>
          </w:p>
        </w:tc>
      </w:tr>
      <w:tr w:rsidR="0006183C" w:rsidRPr="0006183C" w14:paraId="3A6F950A" w14:textId="77777777" w:rsidTr="0006183C">
        <w:trPr>
          <w:divId w:val="1054546409"/>
          <w:trHeight w:val="288"/>
          <w:jc w:val="center"/>
        </w:trPr>
        <w:tc>
          <w:tcPr>
            <w:tcW w:w="1671" w:type="dxa"/>
            <w:tcBorders>
              <w:top w:val="nil"/>
              <w:left w:val="nil"/>
              <w:bottom w:val="nil"/>
              <w:right w:val="nil"/>
            </w:tcBorders>
            <w:shd w:val="clear" w:color="auto" w:fill="auto"/>
            <w:noWrap/>
            <w:vAlign w:val="bottom"/>
            <w:hideMark/>
          </w:tcPr>
          <w:p w14:paraId="0CA344D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output_gap_quart</w:t>
            </w:r>
            <w:proofErr w:type="spellEnd"/>
          </w:p>
        </w:tc>
        <w:tc>
          <w:tcPr>
            <w:tcW w:w="822" w:type="dxa"/>
            <w:tcBorders>
              <w:top w:val="nil"/>
              <w:left w:val="nil"/>
              <w:bottom w:val="nil"/>
              <w:right w:val="nil"/>
            </w:tcBorders>
            <w:shd w:val="clear" w:color="auto" w:fill="auto"/>
            <w:noWrap/>
            <w:vAlign w:val="bottom"/>
            <w:hideMark/>
          </w:tcPr>
          <w:p w14:paraId="6E940C0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6.1769</w:t>
            </w:r>
          </w:p>
        </w:tc>
        <w:tc>
          <w:tcPr>
            <w:tcW w:w="1257" w:type="dxa"/>
            <w:tcBorders>
              <w:top w:val="nil"/>
              <w:left w:val="nil"/>
              <w:bottom w:val="nil"/>
              <w:right w:val="nil"/>
            </w:tcBorders>
            <w:shd w:val="clear" w:color="auto" w:fill="auto"/>
            <w:noWrap/>
            <w:vAlign w:val="bottom"/>
            <w:hideMark/>
          </w:tcPr>
          <w:p w14:paraId="409F077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1.778</w:t>
            </w:r>
          </w:p>
        </w:tc>
        <w:tc>
          <w:tcPr>
            <w:tcW w:w="1000" w:type="dxa"/>
            <w:tcBorders>
              <w:top w:val="nil"/>
              <w:left w:val="nil"/>
              <w:bottom w:val="nil"/>
              <w:right w:val="nil"/>
            </w:tcBorders>
            <w:shd w:val="clear" w:color="auto" w:fill="auto"/>
            <w:noWrap/>
            <w:vAlign w:val="bottom"/>
            <w:hideMark/>
          </w:tcPr>
          <w:p w14:paraId="2FED673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3.474</w:t>
            </w:r>
          </w:p>
        </w:tc>
        <w:tc>
          <w:tcPr>
            <w:tcW w:w="856" w:type="dxa"/>
            <w:tcBorders>
              <w:top w:val="nil"/>
              <w:left w:val="nil"/>
              <w:bottom w:val="nil"/>
              <w:right w:val="nil"/>
            </w:tcBorders>
            <w:shd w:val="clear" w:color="auto" w:fill="auto"/>
            <w:noWrap/>
            <w:vAlign w:val="bottom"/>
            <w:hideMark/>
          </w:tcPr>
          <w:p w14:paraId="419DC22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0.001</w:t>
            </w:r>
          </w:p>
        </w:tc>
        <w:tc>
          <w:tcPr>
            <w:tcW w:w="1144" w:type="dxa"/>
            <w:tcBorders>
              <w:top w:val="nil"/>
              <w:left w:val="nil"/>
              <w:bottom w:val="nil"/>
              <w:right w:val="nil"/>
            </w:tcBorders>
            <w:shd w:val="clear" w:color="auto" w:fill="auto"/>
            <w:noWrap/>
            <w:vAlign w:val="bottom"/>
            <w:hideMark/>
          </w:tcPr>
          <w:p w14:paraId="5C2D76A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2.676</w:t>
            </w:r>
          </w:p>
        </w:tc>
        <w:tc>
          <w:tcPr>
            <w:tcW w:w="1000" w:type="dxa"/>
            <w:tcBorders>
              <w:top w:val="nil"/>
              <w:left w:val="nil"/>
              <w:bottom w:val="nil"/>
              <w:right w:val="nil"/>
            </w:tcBorders>
            <w:shd w:val="clear" w:color="auto" w:fill="auto"/>
            <w:noWrap/>
            <w:vAlign w:val="bottom"/>
            <w:hideMark/>
          </w:tcPr>
          <w:p w14:paraId="572ED35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9.678</w:t>
            </w:r>
          </w:p>
        </w:tc>
      </w:tr>
      <w:tr w:rsidR="0006183C" w:rsidRPr="0006183C" w14:paraId="0A68697B" w14:textId="77777777" w:rsidTr="0006183C">
        <w:trPr>
          <w:divId w:val="1054546409"/>
          <w:trHeight w:val="288"/>
          <w:jc w:val="center"/>
        </w:trPr>
        <w:tc>
          <w:tcPr>
            <w:tcW w:w="1671" w:type="dxa"/>
            <w:tcBorders>
              <w:top w:val="nil"/>
              <w:left w:val="nil"/>
              <w:bottom w:val="nil"/>
              <w:right w:val="nil"/>
            </w:tcBorders>
            <w:shd w:val="clear" w:color="auto" w:fill="auto"/>
            <w:noWrap/>
            <w:vAlign w:val="bottom"/>
            <w:hideMark/>
          </w:tcPr>
          <w:p w14:paraId="65B57CF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Inflation       </w:t>
            </w:r>
          </w:p>
        </w:tc>
        <w:tc>
          <w:tcPr>
            <w:tcW w:w="822" w:type="dxa"/>
            <w:tcBorders>
              <w:top w:val="nil"/>
              <w:left w:val="nil"/>
              <w:bottom w:val="nil"/>
              <w:right w:val="nil"/>
            </w:tcBorders>
            <w:shd w:val="clear" w:color="auto" w:fill="auto"/>
            <w:noWrap/>
            <w:vAlign w:val="bottom"/>
            <w:hideMark/>
          </w:tcPr>
          <w:p w14:paraId="7E87215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-16.6609</w:t>
            </w:r>
          </w:p>
        </w:tc>
        <w:tc>
          <w:tcPr>
            <w:tcW w:w="1257" w:type="dxa"/>
            <w:tcBorders>
              <w:top w:val="nil"/>
              <w:left w:val="nil"/>
              <w:bottom w:val="nil"/>
              <w:right w:val="nil"/>
            </w:tcBorders>
            <w:shd w:val="clear" w:color="auto" w:fill="auto"/>
            <w:noWrap/>
            <w:vAlign w:val="bottom"/>
            <w:hideMark/>
          </w:tcPr>
          <w:p w14:paraId="2117B14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2.148</w:t>
            </w:r>
          </w:p>
        </w:tc>
        <w:tc>
          <w:tcPr>
            <w:tcW w:w="1000" w:type="dxa"/>
            <w:tcBorders>
              <w:top w:val="nil"/>
              <w:left w:val="nil"/>
              <w:bottom w:val="nil"/>
              <w:right w:val="nil"/>
            </w:tcBorders>
            <w:shd w:val="clear" w:color="auto" w:fill="auto"/>
            <w:noWrap/>
            <w:vAlign w:val="bottom"/>
            <w:hideMark/>
          </w:tcPr>
          <w:p w14:paraId="24F87EC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-7.755</w:t>
            </w:r>
          </w:p>
        </w:tc>
        <w:tc>
          <w:tcPr>
            <w:tcW w:w="856" w:type="dxa"/>
            <w:tcBorders>
              <w:top w:val="nil"/>
              <w:left w:val="nil"/>
              <w:bottom w:val="nil"/>
              <w:right w:val="nil"/>
            </w:tcBorders>
            <w:shd w:val="clear" w:color="auto" w:fill="auto"/>
            <w:noWrap/>
            <w:vAlign w:val="bottom"/>
            <w:hideMark/>
          </w:tcPr>
          <w:p w14:paraId="6C257D6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144" w:type="dxa"/>
            <w:tcBorders>
              <w:top w:val="nil"/>
              <w:left w:val="nil"/>
              <w:bottom w:val="nil"/>
              <w:right w:val="nil"/>
            </w:tcBorders>
            <w:shd w:val="clear" w:color="auto" w:fill="auto"/>
            <w:noWrap/>
            <w:vAlign w:val="bottom"/>
            <w:hideMark/>
          </w:tcPr>
          <w:p w14:paraId="7548A6B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-20.892</w:t>
            </w:r>
          </w:p>
        </w:tc>
        <w:tc>
          <w:tcPr>
            <w:tcW w:w="1000" w:type="dxa"/>
            <w:tcBorders>
              <w:top w:val="nil"/>
              <w:left w:val="nil"/>
              <w:bottom w:val="nil"/>
              <w:right w:val="nil"/>
            </w:tcBorders>
            <w:shd w:val="clear" w:color="auto" w:fill="auto"/>
            <w:noWrap/>
            <w:vAlign w:val="bottom"/>
            <w:hideMark/>
          </w:tcPr>
          <w:p w14:paraId="7F30B3A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-12.43</w:t>
            </w:r>
          </w:p>
        </w:tc>
      </w:tr>
      <w:tr w:rsidR="0006183C" w:rsidRPr="0006183C" w14:paraId="703DE228" w14:textId="77777777" w:rsidTr="0006183C">
        <w:trPr>
          <w:divId w:val="1054546409"/>
          <w:trHeight w:val="288"/>
          <w:jc w:val="center"/>
        </w:trPr>
        <w:tc>
          <w:tcPr>
            <w:tcW w:w="1671" w:type="dxa"/>
            <w:tcBorders>
              <w:top w:val="nil"/>
              <w:left w:val="nil"/>
              <w:bottom w:val="single" w:sz="4" w:space="0" w:color="auto"/>
              <w:right w:val="nil"/>
            </w:tcBorders>
            <w:shd w:val="clear" w:color="auto" w:fill="auto"/>
            <w:noWrap/>
            <w:vAlign w:val="bottom"/>
            <w:hideMark/>
          </w:tcPr>
          <w:p w14:paraId="62A3517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Delta MRO       </w:t>
            </w:r>
          </w:p>
        </w:tc>
        <w:tc>
          <w:tcPr>
            <w:tcW w:w="822" w:type="dxa"/>
            <w:tcBorders>
              <w:top w:val="nil"/>
              <w:left w:val="nil"/>
              <w:bottom w:val="single" w:sz="4" w:space="0" w:color="auto"/>
              <w:right w:val="nil"/>
            </w:tcBorders>
            <w:shd w:val="clear" w:color="auto" w:fill="auto"/>
            <w:noWrap/>
            <w:vAlign w:val="bottom"/>
            <w:hideMark/>
          </w:tcPr>
          <w:p w14:paraId="2E7A6FB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0.2722</w:t>
            </w:r>
          </w:p>
        </w:tc>
        <w:tc>
          <w:tcPr>
            <w:tcW w:w="1257" w:type="dxa"/>
            <w:tcBorders>
              <w:top w:val="nil"/>
              <w:left w:val="nil"/>
              <w:bottom w:val="single" w:sz="4" w:space="0" w:color="auto"/>
              <w:right w:val="nil"/>
            </w:tcBorders>
            <w:shd w:val="clear" w:color="auto" w:fill="auto"/>
            <w:noWrap/>
            <w:vAlign w:val="bottom"/>
            <w:hideMark/>
          </w:tcPr>
          <w:p w14:paraId="2A1CC5F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0.207</w:t>
            </w:r>
          </w:p>
        </w:tc>
        <w:tc>
          <w:tcPr>
            <w:tcW w:w="1000" w:type="dxa"/>
            <w:tcBorders>
              <w:top w:val="nil"/>
              <w:left w:val="nil"/>
              <w:bottom w:val="single" w:sz="4" w:space="0" w:color="auto"/>
              <w:right w:val="nil"/>
            </w:tcBorders>
            <w:shd w:val="clear" w:color="auto" w:fill="auto"/>
            <w:noWrap/>
            <w:vAlign w:val="bottom"/>
            <w:hideMark/>
          </w:tcPr>
          <w:p w14:paraId="2CE3E36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1.313</w:t>
            </w:r>
          </w:p>
        </w:tc>
        <w:tc>
          <w:tcPr>
            <w:tcW w:w="856" w:type="dxa"/>
            <w:tcBorders>
              <w:top w:val="nil"/>
              <w:left w:val="nil"/>
              <w:bottom w:val="single" w:sz="4" w:space="0" w:color="auto"/>
              <w:right w:val="nil"/>
            </w:tcBorders>
            <w:shd w:val="clear" w:color="auto" w:fill="auto"/>
            <w:noWrap/>
            <w:vAlign w:val="bottom"/>
            <w:hideMark/>
          </w:tcPr>
          <w:p w14:paraId="3D96FF1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0.19</w:t>
            </w:r>
          </w:p>
        </w:tc>
        <w:tc>
          <w:tcPr>
            <w:tcW w:w="1144" w:type="dxa"/>
            <w:tcBorders>
              <w:top w:val="nil"/>
              <w:left w:val="nil"/>
              <w:bottom w:val="single" w:sz="4" w:space="0" w:color="auto"/>
              <w:right w:val="nil"/>
            </w:tcBorders>
            <w:shd w:val="clear" w:color="auto" w:fill="auto"/>
            <w:noWrap/>
            <w:vAlign w:val="bottom"/>
            <w:hideMark/>
          </w:tcPr>
          <w:p w14:paraId="64C5030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-0.136</w:t>
            </w:r>
          </w:p>
        </w:tc>
        <w:tc>
          <w:tcPr>
            <w:tcW w:w="1000" w:type="dxa"/>
            <w:tcBorders>
              <w:top w:val="nil"/>
              <w:left w:val="nil"/>
              <w:bottom w:val="single" w:sz="4" w:space="0" w:color="auto"/>
              <w:right w:val="nil"/>
            </w:tcBorders>
            <w:shd w:val="clear" w:color="auto" w:fill="auto"/>
            <w:noWrap/>
            <w:vAlign w:val="bottom"/>
            <w:hideMark/>
          </w:tcPr>
          <w:p w14:paraId="7512E09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0.68</w:t>
            </w:r>
          </w:p>
        </w:tc>
      </w:tr>
      <w:tr w:rsidR="0006183C" w:rsidRPr="0006183C" w14:paraId="7DB0A079" w14:textId="77777777" w:rsidTr="0006183C">
        <w:trPr>
          <w:divId w:val="1054546409"/>
          <w:trHeight w:val="288"/>
          <w:jc w:val="center"/>
        </w:trPr>
        <w:tc>
          <w:tcPr>
            <w:tcW w:w="2493" w:type="dxa"/>
            <w:gridSpan w:val="2"/>
            <w:tcBorders>
              <w:top w:val="nil"/>
              <w:left w:val="nil"/>
              <w:bottom w:val="nil"/>
              <w:right w:val="nil"/>
            </w:tcBorders>
            <w:shd w:val="clear" w:color="auto" w:fill="auto"/>
            <w:noWrap/>
            <w:vAlign w:val="bottom"/>
            <w:hideMark/>
          </w:tcPr>
          <w:p w14:paraId="1119FD7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Omnibus:      </w:t>
            </w:r>
          </w:p>
        </w:tc>
        <w:tc>
          <w:tcPr>
            <w:tcW w:w="1257" w:type="dxa"/>
            <w:tcBorders>
              <w:top w:val="nil"/>
              <w:left w:val="nil"/>
              <w:bottom w:val="nil"/>
              <w:right w:val="nil"/>
            </w:tcBorders>
            <w:shd w:val="clear" w:color="auto" w:fill="auto"/>
            <w:noWrap/>
            <w:vAlign w:val="bottom"/>
            <w:hideMark/>
          </w:tcPr>
          <w:p w14:paraId="2D1D651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222.646</w:t>
            </w:r>
          </w:p>
        </w:tc>
        <w:tc>
          <w:tcPr>
            <w:tcW w:w="1000" w:type="dxa"/>
            <w:tcBorders>
              <w:top w:val="nil"/>
              <w:left w:val="nil"/>
              <w:bottom w:val="nil"/>
              <w:right w:val="nil"/>
            </w:tcBorders>
            <w:shd w:val="clear" w:color="auto" w:fill="auto"/>
            <w:noWrap/>
            <w:vAlign w:val="bottom"/>
            <w:hideMark/>
          </w:tcPr>
          <w:p w14:paraId="5BBD142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7FBAF75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Durbin-Watson:     </w:t>
            </w:r>
          </w:p>
        </w:tc>
        <w:tc>
          <w:tcPr>
            <w:tcW w:w="1000" w:type="dxa"/>
            <w:tcBorders>
              <w:top w:val="nil"/>
              <w:left w:val="nil"/>
              <w:bottom w:val="nil"/>
              <w:right w:val="nil"/>
            </w:tcBorders>
            <w:shd w:val="clear" w:color="auto" w:fill="auto"/>
            <w:noWrap/>
            <w:vAlign w:val="bottom"/>
            <w:hideMark/>
          </w:tcPr>
          <w:p w14:paraId="42B03A1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0.955</w:t>
            </w:r>
          </w:p>
        </w:tc>
      </w:tr>
      <w:tr w:rsidR="0006183C" w:rsidRPr="0006183C" w14:paraId="0DF95310" w14:textId="77777777" w:rsidTr="0006183C">
        <w:trPr>
          <w:divId w:val="1054546409"/>
          <w:trHeight w:val="288"/>
          <w:jc w:val="center"/>
        </w:trPr>
        <w:tc>
          <w:tcPr>
            <w:tcW w:w="2493" w:type="dxa"/>
            <w:gridSpan w:val="2"/>
            <w:tcBorders>
              <w:top w:val="nil"/>
              <w:left w:val="nil"/>
              <w:bottom w:val="nil"/>
              <w:right w:val="nil"/>
            </w:tcBorders>
            <w:shd w:val="clear" w:color="auto" w:fill="auto"/>
            <w:noWrap/>
            <w:vAlign w:val="bottom"/>
            <w:hideMark/>
          </w:tcPr>
          <w:p w14:paraId="7C093D4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Prob(Omnibus):</w:t>
            </w:r>
          </w:p>
        </w:tc>
        <w:tc>
          <w:tcPr>
            <w:tcW w:w="1257" w:type="dxa"/>
            <w:tcBorders>
              <w:top w:val="nil"/>
              <w:left w:val="nil"/>
              <w:bottom w:val="nil"/>
              <w:right w:val="nil"/>
            </w:tcBorders>
            <w:shd w:val="clear" w:color="auto" w:fill="auto"/>
            <w:noWrap/>
            <w:vAlign w:val="bottom"/>
            <w:hideMark/>
          </w:tcPr>
          <w:p w14:paraId="0981192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000" w:type="dxa"/>
            <w:tcBorders>
              <w:top w:val="nil"/>
              <w:left w:val="nil"/>
              <w:bottom w:val="nil"/>
              <w:right w:val="nil"/>
            </w:tcBorders>
            <w:shd w:val="clear" w:color="auto" w:fill="auto"/>
            <w:noWrap/>
            <w:vAlign w:val="bottom"/>
            <w:hideMark/>
          </w:tcPr>
          <w:p w14:paraId="38ADA0F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7805E4D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Jarque-Bera (JB):  </w:t>
            </w:r>
          </w:p>
        </w:tc>
        <w:tc>
          <w:tcPr>
            <w:tcW w:w="1000" w:type="dxa"/>
            <w:tcBorders>
              <w:top w:val="nil"/>
              <w:left w:val="nil"/>
              <w:bottom w:val="nil"/>
              <w:right w:val="nil"/>
            </w:tcBorders>
            <w:shd w:val="clear" w:color="auto" w:fill="auto"/>
            <w:noWrap/>
            <w:vAlign w:val="bottom"/>
            <w:hideMark/>
          </w:tcPr>
          <w:p w14:paraId="152A2C7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5311.103</w:t>
            </w:r>
          </w:p>
        </w:tc>
      </w:tr>
      <w:tr w:rsidR="0006183C" w:rsidRPr="0006183C" w14:paraId="382F374C" w14:textId="77777777" w:rsidTr="0006183C">
        <w:trPr>
          <w:divId w:val="1054546409"/>
          <w:trHeight w:val="288"/>
          <w:jc w:val="center"/>
        </w:trPr>
        <w:tc>
          <w:tcPr>
            <w:tcW w:w="2493" w:type="dxa"/>
            <w:gridSpan w:val="2"/>
            <w:tcBorders>
              <w:top w:val="nil"/>
              <w:left w:val="nil"/>
              <w:bottom w:val="nil"/>
              <w:right w:val="nil"/>
            </w:tcBorders>
            <w:shd w:val="clear" w:color="auto" w:fill="auto"/>
            <w:noWrap/>
            <w:vAlign w:val="bottom"/>
            <w:hideMark/>
          </w:tcPr>
          <w:p w14:paraId="30F4414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Skew:         </w:t>
            </w:r>
          </w:p>
        </w:tc>
        <w:tc>
          <w:tcPr>
            <w:tcW w:w="1257" w:type="dxa"/>
            <w:tcBorders>
              <w:top w:val="nil"/>
              <w:left w:val="nil"/>
              <w:bottom w:val="nil"/>
              <w:right w:val="nil"/>
            </w:tcBorders>
            <w:shd w:val="clear" w:color="auto" w:fill="auto"/>
            <w:noWrap/>
            <w:vAlign w:val="bottom"/>
            <w:hideMark/>
          </w:tcPr>
          <w:p w14:paraId="257886E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-3.326</w:t>
            </w:r>
          </w:p>
        </w:tc>
        <w:tc>
          <w:tcPr>
            <w:tcW w:w="1000" w:type="dxa"/>
            <w:tcBorders>
              <w:top w:val="nil"/>
              <w:left w:val="nil"/>
              <w:bottom w:val="nil"/>
              <w:right w:val="nil"/>
            </w:tcBorders>
            <w:shd w:val="clear" w:color="auto" w:fill="auto"/>
            <w:noWrap/>
            <w:vAlign w:val="bottom"/>
            <w:hideMark/>
          </w:tcPr>
          <w:p w14:paraId="1BDB098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3D0A5FA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Prob(JB):          </w:t>
            </w:r>
          </w:p>
        </w:tc>
        <w:tc>
          <w:tcPr>
            <w:tcW w:w="1000" w:type="dxa"/>
            <w:tcBorders>
              <w:top w:val="nil"/>
              <w:left w:val="nil"/>
              <w:bottom w:val="nil"/>
              <w:right w:val="nil"/>
            </w:tcBorders>
            <w:shd w:val="clear" w:color="auto" w:fill="auto"/>
            <w:noWrap/>
            <w:vAlign w:val="bottom"/>
            <w:hideMark/>
          </w:tcPr>
          <w:p w14:paraId="520580E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0.00E+00</w:t>
            </w:r>
          </w:p>
        </w:tc>
      </w:tr>
      <w:tr w:rsidR="0006183C" w:rsidRPr="0006183C" w14:paraId="563D5D2B" w14:textId="77777777" w:rsidTr="0006183C">
        <w:trPr>
          <w:divId w:val="1054546409"/>
          <w:trHeight w:val="288"/>
          <w:jc w:val="center"/>
        </w:trPr>
        <w:tc>
          <w:tcPr>
            <w:tcW w:w="2493" w:type="dxa"/>
            <w:gridSpan w:val="2"/>
            <w:tcBorders>
              <w:top w:val="nil"/>
              <w:left w:val="nil"/>
              <w:bottom w:val="single" w:sz="4" w:space="0" w:color="auto"/>
              <w:right w:val="nil"/>
            </w:tcBorders>
            <w:shd w:val="clear" w:color="auto" w:fill="auto"/>
            <w:noWrap/>
            <w:vAlign w:val="bottom"/>
            <w:hideMark/>
          </w:tcPr>
          <w:p w14:paraId="0669317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Kurtosis:     </w:t>
            </w:r>
          </w:p>
        </w:tc>
        <w:tc>
          <w:tcPr>
            <w:tcW w:w="1257" w:type="dxa"/>
            <w:tcBorders>
              <w:top w:val="nil"/>
              <w:left w:val="nil"/>
              <w:bottom w:val="single" w:sz="4" w:space="0" w:color="auto"/>
              <w:right w:val="nil"/>
            </w:tcBorders>
            <w:shd w:val="clear" w:color="auto" w:fill="auto"/>
            <w:noWrap/>
            <w:vAlign w:val="bottom"/>
            <w:hideMark/>
          </w:tcPr>
          <w:p w14:paraId="0C9C117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24.3</w:t>
            </w:r>
          </w:p>
        </w:tc>
        <w:tc>
          <w:tcPr>
            <w:tcW w:w="1000" w:type="dxa"/>
            <w:tcBorders>
              <w:top w:val="nil"/>
              <w:left w:val="nil"/>
              <w:bottom w:val="single" w:sz="4" w:space="0" w:color="auto"/>
              <w:right w:val="nil"/>
            </w:tcBorders>
            <w:shd w:val="clear" w:color="auto" w:fill="auto"/>
            <w:noWrap/>
            <w:vAlign w:val="bottom"/>
            <w:hideMark/>
          </w:tcPr>
          <w:p w14:paraId="5A574E5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nil"/>
              <w:left w:val="nil"/>
              <w:bottom w:val="single" w:sz="4" w:space="0" w:color="auto"/>
              <w:right w:val="nil"/>
            </w:tcBorders>
            <w:shd w:val="clear" w:color="auto" w:fill="auto"/>
            <w:noWrap/>
            <w:vAlign w:val="bottom"/>
            <w:hideMark/>
          </w:tcPr>
          <w:p w14:paraId="62650AF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Cond. No.          </w:t>
            </w:r>
          </w:p>
        </w:tc>
        <w:tc>
          <w:tcPr>
            <w:tcW w:w="1000" w:type="dxa"/>
            <w:tcBorders>
              <w:top w:val="nil"/>
              <w:left w:val="nil"/>
              <w:bottom w:val="single" w:sz="4" w:space="0" w:color="auto"/>
              <w:right w:val="nil"/>
            </w:tcBorders>
            <w:shd w:val="clear" w:color="auto" w:fill="auto"/>
            <w:noWrap/>
            <w:vAlign w:val="bottom"/>
            <w:hideMark/>
          </w:tcPr>
          <w:p w14:paraId="59636C4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1.13E+04</w:t>
            </w:r>
          </w:p>
        </w:tc>
      </w:tr>
    </w:tbl>
    <w:p w14:paraId="3AEFC68D" w14:textId="73E340E5" w:rsidR="00060515" w:rsidRDefault="00370D75" w:rsidP="00060515">
      <w:pPr>
        <w:spacing w:line="240" w:lineRule="auto"/>
        <w:jc w:val="center"/>
        <w:rPr>
          <w:rFonts w:ascii="Times New Roman" w:hAnsi="Times New Roman" w:cs="Times New Roman"/>
          <w:sz w:val="24"/>
          <w:szCs w:val="24"/>
        </w:rPr>
      </w:pPr>
      <w:r>
        <w:rPr>
          <w:rFonts w:ascii="Times New Roman" w:hAnsi="Times New Roman" w:cs="Times New Roman"/>
          <w:sz w:val="24"/>
          <w:szCs w:val="24"/>
        </w:rPr>
        <w:fldChar w:fldCharType="end"/>
      </w:r>
      <w:r w:rsidR="00060515">
        <w:rPr>
          <w:rFonts w:ascii="Times New Roman" w:hAnsi="Times New Roman" w:cs="Times New Roman"/>
          <w:sz w:val="24"/>
          <w:szCs w:val="24"/>
        </w:rPr>
        <w:t>Source: Own elaboration.</w:t>
      </w:r>
    </w:p>
    <w:p w14:paraId="35C08C97" w14:textId="77777777" w:rsidR="00060515" w:rsidRDefault="00060515" w:rsidP="00204631">
      <w:pPr>
        <w:spacing w:line="240" w:lineRule="auto"/>
        <w:rPr>
          <w:rFonts w:ascii="Times New Roman" w:hAnsi="Times New Roman" w:cs="Times New Roman"/>
          <w:b/>
          <w:bCs/>
          <w:sz w:val="24"/>
          <w:szCs w:val="24"/>
        </w:rPr>
      </w:pPr>
    </w:p>
    <w:p w14:paraId="67C9DCB3" w14:textId="29C207F7" w:rsidR="00204631" w:rsidRPr="00060515" w:rsidRDefault="00060515" w:rsidP="00204631">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ANNEX </w:t>
      </w:r>
      <w:r w:rsidRPr="00060515">
        <w:rPr>
          <w:rFonts w:ascii="Times New Roman" w:hAnsi="Times New Roman" w:cs="Times New Roman"/>
          <w:b/>
          <w:bCs/>
          <w:sz w:val="28"/>
          <w:szCs w:val="28"/>
        </w:rPr>
        <w:t>I</w:t>
      </w:r>
      <w:r>
        <w:rPr>
          <w:rFonts w:ascii="Times New Roman" w:hAnsi="Times New Roman" w:cs="Times New Roman"/>
          <w:b/>
          <w:bCs/>
          <w:sz w:val="28"/>
          <w:szCs w:val="28"/>
        </w:rPr>
        <w:t>I</w:t>
      </w:r>
      <w:r w:rsidRPr="00060515">
        <w:rPr>
          <w:rFonts w:ascii="Times New Roman" w:hAnsi="Times New Roman" w:cs="Times New Roman"/>
          <w:b/>
          <w:bCs/>
          <w:sz w:val="28"/>
          <w:szCs w:val="28"/>
        </w:rPr>
        <w:t>:</w:t>
      </w:r>
    </w:p>
    <w:p w14:paraId="3C58E1EE" w14:textId="20DD1025" w:rsidR="0006183C" w:rsidRPr="0006183C" w:rsidRDefault="00060515" w:rsidP="0006183C">
      <w:pPr>
        <w:spacing w:before="240" w:line="240" w:lineRule="auto"/>
        <w:jc w:val="center"/>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Table 9. Regression result for specification 1 of equation 2</w:t>
      </w:r>
      <w:r w:rsidR="00370D75">
        <w:fldChar w:fldCharType="begin"/>
      </w:r>
      <w:r w:rsidR="00370D75">
        <w:instrText xml:space="preserve"> LINK </w:instrText>
      </w:r>
      <w:r w:rsidR="0011635A">
        <w:instrText xml:space="preserve">Excel.Sheet.12 "C:\\Users\\camil\\Dropbox\\Artículos académicos\\Similarity of ECB’s communication\\2Tables.xlsx" Reg2_1!R2C1:R15C7 </w:instrText>
      </w:r>
      <w:r w:rsidR="00370D75">
        <w:instrText xml:space="preserve">\a \f 4 \h  \* MERGEFORMAT </w:instrText>
      </w:r>
      <w:r w:rsidR="00370D75">
        <w:fldChar w:fldCharType="separate"/>
      </w:r>
    </w:p>
    <w:tbl>
      <w:tblPr>
        <w:tblW w:w="7000" w:type="dxa"/>
        <w:jc w:val="center"/>
        <w:tblLook w:val="04A0" w:firstRow="1" w:lastRow="0" w:firstColumn="1" w:lastColumn="0" w:noHBand="0" w:noVBand="1"/>
      </w:tblPr>
      <w:tblGrid>
        <w:gridCol w:w="1199"/>
        <w:gridCol w:w="801"/>
        <w:gridCol w:w="1079"/>
        <w:gridCol w:w="921"/>
        <w:gridCol w:w="864"/>
        <w:gridCol w:w="1136"/>
        <w:gridCol w:w="1000"/>
      </w:tblGrid>
      <w:tr w:rsidR="0006183C" w:rsidRPr="0006183C" w14:paraId="7995996F" w14:textId="77777777" w:rsidTr="0006183C">
        <w:trPr>
          <w:divId w:val="1720086735"/>
          <w:trHeight w:val="288"/>
          <w:jc w:val="center"/>
        </w:trPr>
        <w:tc>
          <w:tcPr>
            <w:tcW w:w="2000" w:type="dxa"/>
            <w:gridSpan w:val="2"/>
            <w:tcBorders>
              <w:top w:val="single" w:sz="4" w:space="0" w:color="auto"/>
              <w:left w:val="nil"/>
              <w:bottom w:val="nil"/>
              <w:right w:val="nil"/>
            </w:tcBorders>
            <w:shd w:val="clear" w:color="auto" w:fill="auto"/>
            <w:noWrap/>
            <w:vAlign w:val="bottom"/>
            <w:hideMark/>
          </w:tcPr>
          <w:p w14:paraId="5599C1E6" w14:textId="59EB8BA3"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Dep. Variable:   </w:t>
            </w:r>
          </w:p>
        </w:tc>
        <w:tc>
          <w:tcPr>
            <w:tcW w:w="2000" w:type="dxa"/>
            <w:gridSpan w:val="2"/>
            <w:tcBorders>
              <w:top w:val="single" w:sz="4" w:space="0" w:color="auto"/>
              <w:left w:val="nil"/>
              <w:bottom w:val="nil"/>
              <w:right w:val="nil"/>
            </w:tcBorders>
            <w:shd w:val="clear" w:color="auto" w:fill="auto"/>
            <w:noWrap/>
            <w:vAlign w:val="bottom"/>
            <w:hideMark/>
          </w:tcPr>
          <w:p w14:paraId="06B08B2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AV_cum_ab_returns</w:t>
            </w:r>
            <w:proofErr w:type="spellEnd"/>
          </w:p>
        </w:tc>
        <w:tc>
          <w:tcPr>
            <w:tcW w:w="2000" w:type="dxa"/>
            <w:gridSpan w:val="2"/>
            <w:tcBorders>
              <w:top w:val="single" w:sz="4" w:space="0" w:color="auto"/>
              <w:left w:val="nil"/>
              <w:bottom w:val="nil"/>
              <w:right w:val="nil"/>
            </w:tcBorders>
            <w:shd w:val="clear" w:color="auto" w:fill="auto"/>
            <w:noWrap/>
            <w:vAlign w:val="bottom"/>
            <w:hideMark/>
          </w:tcPr>
          <w:p w14:paraId="3DD7B8B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R-squared:         </w:t>
            </w:r>
          </w:p>
        </w:tc>
        <w:tc>
          <w:tcPr>
            <w:tcW w:w="1000" w:type="dxa"/>
            <w:tcBorders>
              <w:top w:val="single" w:sz="4" w:space="0" w:color="auto"/>
              <w:left w:val="nil"/>
              <w:bottom w:val="nil"/>
              <w:right w:val="nil"/>
            </w:tcBorders>
            <w:shd w:val="clear" w:color="auto" w:fill="auto"/>
            <w:noWrap/>
            <w:vAlign w:val="bottom"/>
            <w:hideMark/>
          </w:tcPr>
          <w:p w14:paraId="17D5A13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0.028</w:t>
            </w:r>
          </w:p>
        </w:tc>
      </w:tr>
      <w:tr w:rsidR="0006183C" w:rsidRPr="0006183C" w14:paraId="192DD668" w14:textId="77777777" w:rsidTr="0006183C">
        <w:trPr>
          <w:divId w:val="1720086735"/>
          <w:trHeight w:val="288"/>
          <w:jc w:val="center"/>
        </w:trPr>
        <w:tc>
          <w:tcPr>
            <w:tcW w:w="2000" w:type="dxa"/>
            <w:gridSpan w:val="2"/>
            <w:tcBorders>
              <w:top w:val="nil"/>
              <w:left w:val="nil"/>
              <w:bottom w:val="nil"/>
              <w:right w:val="nil"/>
            </w:tcBorders>
            <w:shd w:val="clear" w:color="auto" w:fill="auto"/>
            <w:noWrap/>
            <w:vAlign w:val="bottom"/>
            <w:hideMark/>
          </w:tcPr>
          <w:p w14:paraId="7B2C1FD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Model:           </w:t>
            </w:r>
          </w:p>
        </w:tc>
        <w:tc>
          <w:tcPr>
            <w:tcW w:w="2000" w:type="dxa"/>
            <w:gridSpan w:val="2"/>
            <w:tcBorders>
              <w:top w:val="nil"/>
              <w:left w:val="nil"/>
              <w:bottom w:val="nil"/>
              <w:right w:val="nil"/>
            </w:tcBorders>
            <w:shd w:val="clear" w:color="auto" w:fill="auto"/>
            <w:noWrap/>
            <w:vAlign w:val="bottom"/>
            <w:hideMark/>
          </w:tcPr>
          <w:p w14:paraId="66CEB0A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OLS              </w:t>
            </w:r>
          </w:p>
        </w:tc>
        <w:tc>
          <w:tcPr>
            <w:tcW w:w="2000" w:type="dxa"/>
            <w:gridSpan w:val="2"/>
            <w:tcBorders>
              <w:top w:val="nil"/>
              <w:left w:val="nil"/>
              <w:bottom w:val="nil"/>
              <w:right w:val="nil"/>
            </w:tcBorders>
            <w:shd w:val="clear" w:color="auto" w:fill="auto"/>
            <w:noWrap/>
            <w:vAlign w:val="bottom"/>
            <w:hideMark/>
          </w:tcPr>
          <w:p w14:paraId="225BFB5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Adj. R-squared:    </w:t>
            </w:r>
          </w:p>
        </w:tc>
        <w:tc>
          <w:tcPr>
            <w:tcW w:w="1000" w:type="dxa"/>
            <w:tcBorders>
              <w:top w:val="nil"/>
              <w:left w:val="nil"/>
              <w:bottom w:val="nil"/>
              <w:right w:val="nil"/>
            </w:tcBorders>
            <w:shd w:val="clear" w:color="auto" w:fill="auto"/>
            <w:noWrap/>
            <w:vAlign w:val="bottom"/>
            <w:hideMark/>
          </w:tcPr>
          <w:p w14:paraId="3DC712E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0.025</w:t>
            </w:r>
          </w:p>
        </w:tc>
      </w:tr>
      <w:tr w:rsidR="0006183C" w:rsidRPr="0006183C" w14:paraId="4ADC85D3" w14:textId="77777777" w:rsidTr="0006183C">
        <w:trPr>
          <w:divId w:val="1720086735"/>
          <w:trHeight w:val="288"/>
          <w:jc w:val="center"/>
        </w:trPr>
        <w:tc>
          <w:tcPr>
            <w:tcW w:w="2000" w:type="dxa"/>
            <w:gridSpan w:val="2"/>
            <w:tcBorders>
              <w:top w:val="nil"/>
              <w:left w:val="nil"/>
              <w:bottom w:val="nil"/>
              <w:right w:val="nil"/>
            </w:tcBorders>
            <w:shd w:val="clear" w:color="auto" w:fill="auto"/>
            <w:noWrap/>
            <w:vAlign w:val="bottom"/>
            <w:hideMark/>
          </w:tcPr>
          <w:p w14:paraId="0E87122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Method:          </w:t>
            </w:r>
          </w:p>
        </w:tc>
        <w:tc>
          <w:tcPr>
            <w:tcW w:w="2000" w:type="dxa"/>
            <w:gridSpan w:val="2"/>
            <w:tcBorders>
              <w:top w:val="nil"/>
              <w:left w:val="nil"/>
              <w:bottom w:val="nil"/>
              <w:right w:val="nil"/>
            </w:tcBorders>
            <w:shd w:val="clear" w:color="auto" w:fill="auto"/>
            <w:noWrap/>
            <w:vAlign w:val="bottom"/>
            <w:hideMark/>
          </w:tcPr>
          <w:p w14:paraId="6ECF0DE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Least Squares    </w:t>
            </w:r>
          </w:p>
        </w:tc>
        <w:tc>
          <w:tcPr>
            <w:tcW w:w="2000" w:type="dxa"/>
            <w:gridSpan w:val="2"/>
            <w:tcBorders>
              <w:top w:val="nil"/>
              <w:left w:val="nil"/>
              <w:bottom w:val="nil"/>
              <w:right w:val="nil"/>
            </w:tcBorders>
            <w:shd w:val="clear" w:color="auto" w:fill="auto"/>
            <w:noWrap/>
            <w:vAlign w:val="bottom"/>
            <w:hideMark/>
          </w:tcPr>
          <w:p w14:paraId="1854F3D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F-statistic:       </w:t>
            </w:r>
          </w:p>
        </w:tc>
        <w:tc>
          <w:tcPr>
            <w:tcW w:w="1000" w:type="dxa"/>
            <w:tcBorders>
              <w:top w:val="nil"/>
              <w:left w:val="nil"/>
              <w:bottom w:val="nil"/>
              <w:right w:val="nil"/>
            </w:tcBorders>
            <w:shd w:val="clear" w:color="auto" w:fill="auto"/>
            <w:noWrap/>
            <w:vAlign w:val="bottom"/>
            <w:hideMark/>
          </w:tcPr>
          <w:p w14:paraId="0E1B5D7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7.43</w:t>
            </w:r>
          </w:p>
        </w:tc>
      </w:tr>
      <w:tr w:rsidR="0006183C" w:rsidRPr="0006183C" w14:paraId="45536E63" w14:textId="77777777" w:rsidTr="0006183C">
        <w:trPr>
          <w:divId w:val="1720086735"/>
          <w:trHeight w:val="288"/>
          <w:jc w:val="center"/>
        </w:trPr>
        <w:tc>
          <w:tcPr>
            <w:tcW w:w="2000" w:type="dxa"/>
            <w:gridSpan w:val="2"/>
            <w:tcBorders>
              <w:top w:val="nil"/>
              <w:left w:val="nil"/>
              <w:bottom w:val="nil"/>
              <w:right w:val="nil"/>
            </w:tcBorders>
            <w:shd w:val="clear" w:color="auto" w:fill="auto"/>
            <w:noWrap/>
            <w:vAlign w:val="bottom"/>
            <w:hideMark/>
          </w:tcPr>
          <w:p w14:paraId="0906DE5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No. Observations:</w:t>
            </w:r>
          </w:p>
        </w:tc>
        <w:tc>
          <w:tcPr>
            <w:tcW w:w="1079" w:type="dxa"/>
            <w:tcBorders>
              <w:top w:val="nil"/>
              <w:left w:val="nil"/>
              <w:bottom w:val="nil"/>
              <w:right w:val="nil"/>
            </w:tcBorders>
            <w:shd w:val="clear" w:color="auto" w:fill="auto"/>
            <w:noWrap/>
            <w:vAlign w:val="bottom"/>
            <w:hideMark/>
          </w:tcPr>
          <w:p w14:paraId="678BD47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256</w:t>
            </w:r>
          </w:p>
        </w:tc>
        <w:tc>
          <w:tcPr>
            <w:tcW w:w="921" w:type="dxa"/>
            <w:tcBorders>
              <w:top w:val="nil"/>
              <w:left w:val="nil"/>
              <w:bottom w:val="nil"/>
              <w:right w:val="nil"/>
            </w:tcBorders>
            <w:shd w:val="clear" w:color="auto" w:fill="auto"/>
            <w:noWrap/>
            <w:vAlign w:val="bottom"/>
            <w:hideMark/>
          </w:tcPr>
          <w:p w14:paraId="7A63C46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6072B36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 (F-statistic):</w:t>
            </w:r>
          </w:p>
        </w:tc>
        <w:tc>
          <w:tcPr>
            <w:tcW w:w="1000" w:type="dxa"/>
            <w:tcBorders>
              <w:top w:val="nil"/>
              <w:left w:val="nil"/>
              <w:bottom w:val="nil"/>
              <w:right w:val="nil"/>
            </w:tcBorders>
            <w:shd w:val="clear" w:color="auto" w:fill="auto"/>
            <w:noWrap/>
            <w:vAlign w:val="bottom"/>
            <w:hideMark/>
          </w:tcPr>
          <w:p w14:paraId="2B5A614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0.00686</w:t>
            </w:r>
          </w:p>
        </w:tc>
      </w:tr>
      <w:tr w:rsidR="0006183C" w:rsidRPr="0006183C" w14:paraId="1E2994B0" w14:textId="77777777" w:rsidTr="0006183C">
        <w:trPr>
          <w:divId w:val="1720086735"/>
          <w:trHeight w:val="288"/>
          <w:jc w:val="center"/>
        </w:trPr>
        <w:tc>
          <w:tcPr>
            <w:tcW w:w="2000" w:type="dxa"/>
            <w:gridSpan w:val="2"/>
            <w:tcBorders>
              <w:top w:val="nil"/>
              <w:left w:val="nil"/>
              <w:bottom w:val="nil"/>
              <w:right w:val="nil"/>
            </w:tcBorders>
            <w:shd w:val="clear" w:color="auto" w:fill="auto"/>
            <w:noWrap/>
            <w:vAlign w:val="bottom"/>
            <w:hideMark/>
          </w:tcPr>
          <w:p w14:paraId="2CBE944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Residuals:    </w:t>
            </w:r>
          </w:p>
        </w:tc>
        <w:tc>
          <w:tcPr>
            <w:tcW w:w="1079" w:type="dxa"/>
            <w:tcBorders>
              <w:top w:val="nil"/>
              <w:left w:val="nil"/>
              <w:bottom w:val="nil"/>
              <w:right w:val="nil"/>
            </w:tcBorders>
            <w:shd w:val="clear" w:color="auto" w:fill="auto"/>
            <w:noWrap/>
            <w:vAlign w:val="bottom"/>
            <w:hideMark/>
          </w:tcPr>
          <w:p w14:paraId="264AFFC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254</w:t>
            </w:r>
          </w:p>
        </w:tc>
        <w:tc>
          <w:tcPr>
            <w:tcW w:w="921" w:type="dxa"/>
            <w:tcBorders>
              <w:top w:val="nil"/>
              <w:left w:val="nil"/>
              <w:bottom w:val="nil"/>
              <w:right w:val="nil"/>
            </w:tcBorders>
            <w:shd w:val="clear" w:color="auto" w:fill="auto"/>
            <w:noWrap/>
            <w:vAlign w:val="bottom"/>
            <w:hideMark/>
          </w:tcPr>
          <w:p w14:paraId="2643073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7478192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Log-Likelihood:    </w:t>
            </w:r>
          </w:p>
        </w:tc>
        <w:tc>
          <w:tcPr>
            <w:tcW w:w="1000" w:type="dxa"/>
            <w:tcBorders>
              <w:top w:val="nil"/>
              <w:left w:val="nil"/>
              <w:bottom w:val="nil"/>
              <w:right w:val="nil"/>
            </w:tcBorders>
            <w:shd w:val="clear" w:color="auto" w:fill="auto"/>
            <w:noWrap/>
            <w:vAlign w:val="bottom"/>
            <w:hideMark/>
          </w:tcPr>
          <w:p w14:paraId="3E6AB18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512.94</w:t>
            </w:r>
          </w:p>
        </w:tc>
      </w:tr>
      <w:tr w:rsidR="0006183C" w:rsidRPr="0006183C" w14:paraId="28C4200A" w14:textId="77777777" w:rsidTr="0006183C">
        <w:trPr>
          <w:divId w:val="1720086735"/>
          <w:trHeight w:val="288"/>
          <w:jc w:val="center"/>
        </w:trPr>
        <w:tc>
          <w:tcPr>
            <w:tcW w:w="2000" w:type="dxa"/>
            <w:gridSpan w:val="2"/>
            <w:tcBorders>
              <w:top w:val="nil"/>
              <w:left w:val="nil"/>
              <w:bottom w:val="nil"/>
              <w:right w:val="nil"/>
            </w:tcBorders>
            <w:shd w:val="clear" w:color="auto" w:fill="auto"/>
            <w:noWrap/>
            <w:vAlign w:val="bottom"/>
            <w:hideMark/>
          </w:tcPr>
          <w:p w14:paraId="3C39D51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Model:        </w:t>
            </w:r>
          </w:p>
        </w:tc>
        <w:tc>
          <w:tcPr>
            <w:tcW w:w="1079" w:type="dxa"/>
            <w:tcBorders>
              <w:top w:val="nil"/>
              <w:left w:val="nil"/>
              <w:bottom w:val="nil"/>
              <w:right w:val="nil"/>
            </w:tcBorders>
            <w:shd w:val="clear" w:color="auto" w:fill="auto"/>
            <w:noWrap/>
            <w:vAlign w:val="bottom"/>
            <w:hideMark/>
          </w:tcPr>
          <w:p w14:paraId="11B0B33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w:t>
            </w:r>
          </w:p>
        </w:tc>
        <w:tc>
          <w:tcPr>
            <w:tcW w:w="921" w:type="dxa"/>
            <w:tcBorders>
              <w:top w:val="nil"/>
              <w:left w:val="nil"/>
              <w:bottom w:val="nil"/>
              <w:right w:val="nil"/>
            </w:tcBorders>
            <w:shd w:val="clear" w:color="auto" w:fill="auto"/>
            <w:noWrap/>
            <w:vAlign w:val="bottom"/>
            <w:hideMark/>
          </w:tcPr>
          <w:p w14:paraId="42D71E7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51B98A6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AIC:               </w:t>
            </w:r>
          </w:p>
        </w:tc>
        <w:tc>
          <w:tcPr>
            <w:tcW w:w="1000" w:type="dxa"/>
            <w:tcBorders>
              <w:top w:val="nil"/>
              <w:left w:val="nil"/>
              <w:bottom w:val="nil"/>
              <w:right w:val="nil"/>
            </w:tcBorders>
            <w:shd w:val="clear" w:color="auto" w:fill="auto"/>
            <w:noWrap/>
            <w:vAlign w:val="bottom"/>
            <w:hideMark/>
          </w:tcPr>
          <w:p w14:paraId="55FEBDC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-1022</w:t>
            </w:r>
          </w:p>
        </w:tc>
      </w:tr>
      <w:tr w:rsidR="0006183C" w:rsidRPr="0006183C" w14:paraId="658E7C1F" w14:textId="77777777" w:rsidTr="0006183C">
        <w:trPr>
          <w:divId w:val="1720086735"/>
          <w:trHeight w:val="288"/>
          <w:jc w:val="center"/>
        </w:trPr>
        <w:tc>
          <w:tcPr>
            <w:tcW w:w="2000" w:type="dxa"/>
            <w:gridSpan w:val="2"/>
            <w:tcBorders>
              <w:top w:val="nil"/>
              <w:left w:val="nil"/>
              <w:bottom w:val="nil"/>
              <w:right w:val="nil"/>
            </w:tcBorders>
            <w:shd w:val="clear" w:color="auto" w:fill="auto"/>
            <w:noWrap/>
            <w:vAlign w:val="bottom"/>
            <w:hideMark/>
          </w:tcPr>
          <w:p w14:paraId="070DECD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Covariance Type: </w:t>
            </w:r>
          </w:p>
        </w:tc>
        <w:tc>
          <w:tcPr>
            <w:tcW w:w="2000" w:type="dxa"/>
            <w:gridSpan w:val="2"/>
            <w:tcBorders>
              <w:top w:val="nil"/>
              <w:left w:val="nil"/>
              <w:bottom w:val="nil"/>
              <w:right w:val="nil"/>
            </w:tcBorders>
            <w:shd w:val="clear" w:color="auto" w:fill="auto"/>
            <w:noWrap/>
            <w:vAlign w:val="bottom"/>
            <w:hideMark/>
          </w:tcPr>
          <w:p w14:paraId="3C429E7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nonrobust</w:t>
            </w:r>
            <w:proofErr w:type="spellEnd"/>
            <w:r w:rsidRPr="0006183C">
              <w:rPr>
                <w:rFonts w:ascii="Calibri" w:eastAsia="Times New Roman" w:hAnsi="Calibri" w:cs="Calibri"/>
                <w:color w:val="000000"/>
                <w:kern w:val="0"/>
                <w:sz w:val="18"/>
                <w:szCs w:val="18"/>
                <w14:ligatures w14:val="none"/>
              </w:rPr>
              <w:t xml:space="preserve">        </w:t>
            </w:r>
          </w:p>
        </w:tc>
        <w:tc>
          <w:tcPr>
            <w:tcW w:w="2000" w:type="dxa"/>
            <w:gridSpan w:val="2"/>
            <w:tcBorders>
              <w:top w:val="nil"/>
              <w:left w:val="nil"/>
              <w:bottom w:val="nil"/>
              <w:right w:val="nil"/>
            </w:tcBorders>
            <w:shd w:val="clear" w:color="auto" w:fill="auto"/>
            <w:noWrap/>
            <w:vAlign w:val="bottom"/>
            <w:hideMark/>
          </w:tcPr>
          <w:p w14:paraId="62C6DA5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BIC:               </w:t>
            </w:r>
          </w:p>
        </w:tc>
        <w:tc>
          <w:tcPr>
            <w:tcW w:w="1000" w:type="dxa"/>
            <w:tcBorders>
              <w:top w:val="nil"/>
              <w:left w:val="nil"/>
              <w:bottom w:val="nil"/>
              <w:right w:val="nil"/>
            </w:tcBorders>
            <w:shd w:val="clear" w:color="auto" w:fill="auto"/>
            <w:noWrap/>
            <w:vAlign w:val="bottom"/>
            <w:hideMark/>
          </w:tcPr>
          <w:p w14:paraId="01B3B0B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-1015</w:t>
            </w:r>
          </w:p>
        </w:tc>
      </w:tr>
      <w:tr w:rsidR="0006183C" w:rsidRPr="0006183C" w14:paraId="1CD7746B" w14:textId="77777777" w:rsidTr="0006183C">
        <w:trPr>
          <w:divId w:val="1720086735"/>
          <w:trHeight w:val="288"/>
          <w:jc w:val="center"/>
        </w:trPr>
        <w:tc>
          <w:tcPr>
            <w:tcW w:w="1199" w:type="dxa"/>
            <w:tcBorders>
              <w:top w:val="single" w:sz="4" w:space="0" w:color="auto"/>
              <w:left w:val="nil"/>
              <w:bottom w:val="single" w:sz="4" w:space="0" w:color="auto"/>
              <w:right w:val="nil"/>
            </w:tcBorders>
            <w:shd w:val="clear" w:color="auto" w:fill="auto"/>
            <w:noWrap/>
            <w:vAlign w:val="bottom"/>
            <w:hideMark/>
          </w:tcPr>
          <w:p w14:paraId="263C9AD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
        </w:tc>
        <w:tc>
          <w:tcPr>
            <w:tcW w:w="801" w:type="dxa"/>
            <w:tcBorders>
              <w:top w:val="single" w:sz="4" w:space="0" w:color="auto"/>
              <w:left w:val="nil"/>
              <w:bottom w:val="single" w:sz="4" w:space="0" w:color="auto"/>
              <w:right w:val="nil"/>
            </w:tcBorders>
            <w:shd w:val="clear" w:color="auto" w:fill="auto"/>
            <w:noWrap/>
            <w:vAlign w:val="bottom"/>
            <w:hideMark/>
          </w:tcPr>
          <w:p w14:paraId="7E0CF1F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roofErr w:type="spellStart"/>
            <w:r w:rsidRPr="0006183C">
              <w:rPr>
                <w:rFonts w:ascii="Calibri" w:eastAsia="Times New Roman" w:hAnsi="Calibri" w:cs="Calibri"/>
                <w:color w:val="000000"/>
                <w:kern w:val="0"/>
                <w:sz w:val="18"/>
                <w:szCs w:val="18"/>
                <w14:ligatures w14:val="none"/>
              </w:rPr>
              <w:t>coef</w:t>
            </w:r>
            <w:proofErr w:type="spellEnd"/>
            <w:r w:rsidRPr="0006183C">
              <w:rPr>
                <w:rFonts w:ascii="Calibri" w:eastAsia="Times New Roman" w:hAnsi="Calibri" w:cs="Calibri"/>
                <w:color w:val="000000"/>
                <w:kern w:val="0"/>
                <w:sz w:val="18"/>
                <w:szCs w:val="18"/>
                <w14:ligatures w14:val="none"/>
              </w:rPr>
              <w:t xml:space="preserve">   </w:t>
            </w:r>
          </w:p>
        </w:tc>
        <w:tc>
          <w:tcPr>
            <w:tcW w:w="1079" w:type="dxa"/>
            <w:tcBorders>
              <w:top w:val="single" w:sz="4" w:space="0" w:color="auto"/>
              <w:left w:val="nil"/>
              <w:bottom w:val="single" w:sz="4" w:space="0" w:color="auto"/>
              <w:right w:val="nil"/>
            </w:tcBorders>
            <w:shd w:val="clear" w:color="auto" w:fill="auto"/>
            <w:noWrap/>
            <w:vAlign w:val="bottom"/>
            <w:hideMark/>
          </w:tcPr>
          <w:p w14:paraId="51AB4BA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std err </w:t>
            </w:r>
          </w:p>
        </w:tc>
        <w:tc>
          <w:tcPr>
            <w:tcW w:w="921" w:type="dxa"/>
            <w:tcBorders>
              <w:top w:val="single" w:sz="4" w:space="0" w:color="auto"/>
              <w:left w:val="nil"/>
              <w:bottom w:val="single" w:sz="4" w:space="0" w:color="auto"/>
              <w:right w:val="nil"/>
            </w:tcBorders>
            <w:shd w:val="clear" w:color="auto" w:fill="auto"/>
            <w:noWrap/>
            <w:vAlign w:val="bottom"/>
            <w:hideMark/>
          </w:tcPr>
          <w:p w14:paraId="33810A4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t    </w:t>
            </w:r>
          </w:p>
        </w:tc>
        <w:tc>
          <w:tcPr>
            <w:tcW w:w="864" w:type="dxa"/>
            <w:tcBorders>
              <w:top w:val="single" w:sz="4" w:space="0" w:color="auto"/>
              <w:left w:val="nil"/>
              <w:bottom w:val="single" w:sz="4" w:space="0" w:color="auto"/>
              <w:right w:val="nil"/>
            </w:tcBorders>
            <w:shd w:val="clear" w:color="auto" w:fill="auto"/>
            <w:noWrap/>
            <w:vAlign w:val="bottom"/>
            <w:hideMark/>
          </w:tcPr>
          <w:p w14:paraId="7873EE6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P&gt;|t| </w:t>
            </w:r>
          </w:p>
        </w:tc>
        <w:tc>
          <w:tcPr>
            <w:tcW w:w="1136" w:type="dxa"/>
            <w:tcBorders>
              <w:top w:val="single" w:sz="4" w:space="0" w:color="auto"/>
              <w:left w:val="nil"/>
              <w:bottom w:val="single" w:sz="4" w:space="0" w:color="auto"/>
              <w:right w:val="nil"/>
            </w:tcBorders>
            <w:shd w:val="clear" w:color="auto" w:fill="auto"/>
            <w:noWrap/>
            <w:vAlign w:val="bottom"/>
            <w:hideMark/>
          </w:tcPr>
          <w:p w14:paraId="128DD07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[0.025 </w:t>
            </w:r>
          </w:p>
        </w:tc>
        <w:tc>
          <w:tcPr>
            <w:tcW w:w="1000" w:type="dxa"/>
            <w:tcBorders>
              <w:top w:val="single" w:sz="4" w:space="0" w:color="auto"/>
              <w:left w:val="nil"/>
              <w:bottom w:val="single" w:sz="4" w:space="0" w:color="auto"/>
              <w:right w:val="nil"/>
            </w:tcBorders>
            <w:shd w:val="clear" w:color="auto" w:fill="auto"/>
            <w:noWrap/>
            <w:vAlign w:val="bottom"/>
            <w:hideMark/>
          </w:tcPr>
          <w:p w14:paraId="65843AF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0.975] </w:t>
            </w:r>
          </w:p>
        </w:tc>
      </w:tr>
      <w:tr w:rsidR="0006183C" w:rsidRPr="0006183C" w14:paraId="16B3B843" w14:textId="77777777" w:rsidTr="0006183C">
        <w:trPr>
          <w:divId w:val="1720086735"/>
          <w:trHeight w:val="288"/>
          <w:jc w:val="center"/>
        </w:trPr>
        <w:tc>
          <w:tcPr>
            <w:tcW w:w="1199" w:type="dxa"/>
            <w:tcBorders>
              <w:top w:val="nil"/>
              <w:left w:val="nil"/>
              <w:bottom w:val="nil"/>
              <w:right w:val="nil"/>
            </w:tcBorders>
            <w:shd w:val="clear" w:color="auto" w:fill="auto"/>
            <w:noWrap/>
            <w:vAlign w:val="bottom"/>
            <w:hideMark/>
          </w:tcPr>
          <w:p w14:paraId="109A006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const    </w:t>
            </w:r>
          </w:p>
        </w:tc>
        <w:tc>
          <w:tcPr>
            <w:tcW w:w="801" w:type="dxa"/>
            <w:tcBorders>
              <w:top w:val="nil"/>
              <w:left w:val="nil"/>
              <w:bottom w:val="nil"/>
              <w:right w:val="nil"/>
            </w:tcBorders>
            <w:shd w:val="clear" w:color="auto" w:fill="auto"/>
            <w:noWrap/>
            <w:vAlign w:val="bottom"/>
            <w:hideMark/>
          </w:tcPr>
          <w:p w14:paraId="7F0ED0A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0.0318</w:t>
            </w:r>
          </w:p>
        </w:tc>
        <w:tc>
          <w:tcPr>
            <w:tcW w:w="1079" w:type="dxa"/>
            <w:tcBorders>
              <w:top w:val="nil"/>
              <w:left w:val="nil"/>
              <w:bottom w:val="nil"/>
              <w:right w:val="nil"/>
            </w:tcBorders>
            <w:shd w:val="clear" w:color="auto" w:fill="auto"/>
            <w:noWrap/>
            <w:vAlign w:val="bottom"/>
            <w:hideMark/>
          </w:tcPr>
          <w:p w14:paraId="766770F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0.002</w:t>
            </w:r>
          </w:p>
        </w:tc>
        <w:tc>
          <w:tcPr>
            <w:tcW w:w="921" w:type="dxa"/>
            <w:tcBorders>
              <w:top w:val="nil"/>
              <w:left w:val="nil"/>
              <w:bottom w:val="nil"/>
              <w:right w:val="nil"/>
            </w:tcBorders>
            <w:shd w:val="clear" w:color="auto" w:fill="auto"/>
            <w:noWrap/>
            <w:vAlign w:val="bottom"/>
            <w:hideMark/>
          </w:tcPr>
          <w:p w14:paraId="79653C3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15.532</w:t>
            </w:r>
          </w:p>
        </w:tc>
        <w:tc>
          <w:tcPr>
            <w:tcW w:w="864" w:type="dxa"/>
            <w:tcBorders>
              <w:top w:val="nil"/>
              <w:left w:val="nil"/>
              <w:bottom w:val="nil"/>
              <w:right w:val="nil"/>
            </w:tcBorders>
            <w:shd w:val="clear" w:color="auto" w:fill="auto"/>
            <w:noWrap/>
            <w:vAlign w:val="bottom"/>
            <w:hideMark/>
          </w:tcPr>
          <w:p w14:paraId="3BC3383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136" w:type="dxa"/>
            <w:tcBorders>
              <w:top w:val="nil"/>
              <w:left w:val="nil"/>
              <w:bottom w:val="nil"/>
              <w:right w:val="nil"/>
            </w:tcBorders>
            <w:shd w:val="clear" w:color="auto" w:fill="auto"/>
            <w:noWrap/>
            <w:vAlign w:val="bottom"/>
            <w:hideMark/>
          </w:tcPr>
          <w:p w14:paraId="4B51293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0.028</w:t>
            </w:r>
          </w:p>
        </w:tc>
        <w:tc>
          <w:tcPr>
            <w:tcW w:w="1000" w:type="dxa"/>
            <w:tcBorders>
              <w:top w:val="nil"/>
              <w:left w:val="nil"/>
              <w:bottom w:val="nil"/>
              <w:right w:val="nil"/>
            </w:tcBorders>
            <w:shd w:val="clear" w:color="auto" w:fill="auto"/>
            <w:noWrap/>
            <w:vAlign w:val="bottom"/>
            <w:hideMark/>
          </w:tcPr>
          <w:p w14:paraId="03A61D0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0.036</w:t>
            </w:r>
          </w:p>
        </w:tc>
      </w:tr>
      <w:tr w:rsidR="0006183C" w:rsidRPr="0006183C" w14:paraId="73AFA729" w14:textId="77777777" w:rsidTr="0006183C">
        <w:trPr>
          <w:divId w:val="1720086735"/>
          <w:trHeight w:val="288"/>
          <w:jc w:val="center"/>
        </w:trPr>
        <w:tc>
          <w:tcPr>
            <w:tcW w:w="1199" w:type="dxa"/>
            <w:tcBorders>
              <w:top w:val="nil"/>
              <w:left w:val="nil"/>
              <w:bottom w:val="nil"/>
              <w:right w:val="nil"/>
            </w:tcBorders>
            <w:shd w:val="clear" w:color="auto" w:fill="auto"/>
            <w:noWrap/>
            <w:vAlign w:val="bottom"/>
            <w:hideMark/>
          </w:tcPr>
          <w:p w14:paraId="07B0905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Pessimism</w:t>
            </w:r>
          </w:p>
        </w:tc>
        <w:tc>
          <w:tcPr>
            <w:tcW w:w="801" w:type="dxa"/>
            <w:tcBorders>
              <w:top w:val="nil"/>
              <w:left w:val="nil"/>
              <w:bottom w:val="nil"/>
              <w:right w:val="nil"/>
            </w:tcBorders>
            <w:shd w:val="clear" w:color="auto" w:fill="auto"/>
            <w:noWrap/>
            <w:vAlign w:val="bottom"/>
            <w:hideMark/>
          </w:tcPr>
          <w:p w14:paraId="1B9E6E0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0.6962</w:t>
            </w:r>
          </w:p>
        </w:tc>
        <w:tc>
          <w:tcPr>
            <w:tcW w:w="1079" w:type="dxa"/>
            <w:tcBorders>
              <w:top w:val="nil"/>
              <w:left w:val="nil"/>
              <w:bottom w:val="nil"/>
              <w:right w:val="nil"/>
            </w:tcBorders>
            <w:shd w:val="clear" w:color="auto" w:fill="auto"/>
            <w:noWrap/>
            <w:vAlign w:val="bottom"/>
            <w:hideMark/>
          </w:tcPr>
          <w:p w14:paraId="27F048F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0.255</w:t>
            </w:r>
          </w:p>
        </w:tc>
        <w:tc>
          <w:tcPr>
            <w:tcW w:w="921" w:type="dxa"/>
            <w:tcBorders>
              <w:top w:val="nil"/>
              <w:left w:val="nil"/>
              <w:bottom w:val="nil"/>
              <w:right w:val="nil"/>
            </w:tcBorders>
            <w:shd w:val="clear" w:color="auto" w:fill="auto"/>
            <w:noWrap/>
            <w:vAlign w:val="bottom"/>
            <w:hideMark/>
          </w:tcPr>
          <w:p w14:paraId="482B91E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2.726</w:t>
            </w:r>
          </w:p>
        </w:tc>
        <w:tc>
          <w:tcPr>
            <w:tcW w:w="864" w:type="dxa"/>
            <w:tcBorders>
              <w:top w:val="nil"/>
              <w:left w:val="nil"/>
              <w:bottom w:val="nil"/>
              <w:right w:val="nil"/>
            </w:tcBorders>
            <w:shd w:val="clear" w:color="auto" w:fill="auto"/>
            <w:noWrap/>
            <w:vAlign w:val="bottom"/>
            <w:hideMark/>
          </w:tcPr>
          <w:p w14:paraId="4A884B6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0.007</w:t>
            </w:r>
          </w:p>
        </w:tc>
        <w:tc>
          <w:tcPr>
            <w:tcW w:w="1136" w:type="dxa"/>
            <w:tcBorders>
              <w:top w:val="nil"/>
              <w:left w:val="nil"/>
              <w:bottom w:val="nil"/>
              <w:right w:val="nil"/>
            </w:tcBorders>
            <w:shd w:val="clear" w:color="auto" w:fill="auto"/>
            <w:noWrap/>
            <w:vAlign w:val="bottom"/>
            <w:hideMark/>
          </w:tcPr>
          <w:p w14:paraId="69C10F5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0.193</w:t>
            </w:r>
          </w:p>
        </w:tc>
        <w:tc>
          <w:tcPr>
            <w:tcW w:w="1000" w:type="dxa"/>
            <w:tcBorders>
              <w:top w:val="nil"/>
              <w:left w:val="nil"/>
              <w:bottom w:val="nil"/>
              <w:right w:val="nil"/>
            </w:tcBorders>
            <w:shd w:val="clear" w:color="auto" w:fill="auto"/>
            <w:noWrap/>
            <w:vAlign w:val="bottom"/>
            <w:hideMark/>
          </w:tcPr>
          <w:p w14:paraId="2E75AE6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1.199</w:t>
            </w:r>
          </w:p>
        </w:tc>
      </w:tr>
      <w:tr w:rsidR="0006183C" w:rsidRPr="0006183C" w14:paraId="0C3C06FB" w14:textId="77777777" w:rsidTr="0006183C">
        <w:trPr>
          <w:divId w:val="1720086735"/>
          <w:trHeight w:val="288"/>
          <w:jc w:val="center"/>
        </w:trPr>
        <w:tc>
          <w:tcPr>
            <w:tcW w:w="2000" w:type="dxa"/>
            <w:gridSpan w:val="2"/>
            <w:tcBorders>
              <w:top w:val="single" w:sz="4" w:space="0" w:color="auto"/>
              <w:left w:val="nil"/>
              <w:bottom w:val="nil"/>
              <w:right w:val="nil"/>
            </w:tcBorders>
            <w:shd w:val="clear" w:color="auto" w:fill="auto"/>
            <w:noWrap/>
            <w:vAlign w:val="bottom"/>
            <w:hideMark/>
          </w:tcPr>
          <w:p w14:paraId="34ACCDA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Omnibus:      </w:t>
            </w:r>
          </w:p>
        </w:tc>
        <w:tc>
          <w:tcPr>
            <w:tcW w:w="1079" w:type="dxa"/>
            <w:tcBorders>
              <w:top w:val="single" w:sz="4" w:space="0" w:color="auto"/>
              <w:left w:val="nil"/>
              <w:bottom w:val="nil"/>
              <w:right w:val="nil"/>
            </w:tcBorders>
            <w:shd w:val="clear" w:color="auto" w:fill="auto"/>
            <w:noWrap/>
            <w:vAlign w:val="bottom"/>
            <w:hideMark/>
          </w:tcPr>
          <w:p w14:paraId="6459452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257.832</w:t>
            </w:r>
          </w:p>
        </w:tc>
        <w:tc>
          <w:tcPr>
            <w:tcW w:w="921" w:type="dxa"/>
            <w:tcBorders>
              <w:top w:val="single" w:sz="4" w:space="0" w:color="auto"/>
              <w:left w:val="nil"/>
              <w:bottom w:val="nil"/>
              <w:right w:val="nil"/>
            </w:tcBorders>
            <w:shd w:val="clear" w:color="auto" w:fill="auto"/>
            <w:noWrap/>
            <w:vAlign w:val="bottom"/>
            <w:hideMark/>
          </w:tcPr>
          <w:p w14:paraId="4FBF7ED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single" w:sz="4" w:space="0" w:color="auto"/>
              <w:left w:val="nil"/>
              <w:bottom w:val="nil"/>
              <w:right w:val="nil"/>
            </w:tcBorders>
            <w:shd w:val="clear" w:color="auto" w:fill="auto"/>
            <w:noWrap/>
            <w:vAlign w:val="bottom"/>
            <w:hideMark/>
          </w:tcPr>
          <w:p w14:paraId="0072512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Durbin-Watson:     </w:t>
            </w:r>
          </w:p>
        </w:tc>
        <w:tc>
          <w:tcPr>
            <w:tcW w:w="1000" w:type="dxa"/>
            <w:tcBorders>
              <w:top w:val="single" w:sz="4" w:space="0" w:color="auto"/>
              <w:left w:val="nil"/>
              <w:bottom w:val="nil"/>
              <w:right w:val="nil"/>
            </w:tcBorders>
            <w:shd w:val="clear" w:color="auto" w:fill="auto"/>
            <w:noWrap/>
            <w:vAlign w:val="bottom"/>
            <w:hideMark/>
          </w:tcPr>
          <w:p w14:paraId="3CA11F5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1.945</w:t>
            </w:r>
          </w:p>
        </w:tc>
      </w:tr>
      <w:tr w:rsidR="0006183C" w:rsidRPr="0006183C" w14:paraId="6BD4C598" w14:textId="77777777" w:rsidTr="0006183C">
        <w:trPr>
          <w:divId w:val="1720086735"/>
          <w:trHeight w:val="288"/>
          <w:jc w:val="center"/>
        </w:trPr>
        <w:tc>
          <w:tcPr>
            <w:tcW w:w="2000" w:type="dxa"/>
            <w:gridSpan w:val="2"/>
            <w:tcBorders>
              <w:top w:val="nil"/>
              <w:left w:val="nil"/>
              <w:bottom w:val="nil"/>
              <w:right w:val="nil"/>
            </w:tcBorders>
            <w:shd w:val="clear" w:color="auto" w:fill="auto"/>
            <w:noWrap/>
            <w:vAlign w:val="bottom"/>
            <w:hideMark/>
          </w:tcPr>
          <w:p w14:paraId="75E476D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Prob(Omnibus):</w:t>
            </w:r>
          </w:p>
        </w:tc>
        <w:tc>
          <w:tcPr>
            <w:tcW w:w="1079" w:type="dxa"/>
            <w:tcBorders>
              <w:top w:val="nil"/>
              <w:left w:val="nil"/>
              <w:bottom w:val="nil"/>
              <w:right w:val="nil"/>
            </w:tcBorders>
            <w:shd w:val="clear" w:color="auto" w:fill="auto"/>
            <w:noWrap/>
            <w:vAlign w:val="bottom"/>
            <w:hideMark/>
          </w:tcPr>
          <w:p w14:paraId="58B0F88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921" w:type="dxa"/>
            <w:tcBorders>
              <w:top w:val="nil"/>
              <w:left w:val="nil"/>
              <w:bottom w:val="nil"/>
              <w:right w:val="nil"/>
            </w:tcBorders>
            <w:shd w:val="clear" w:color="auto" w:fill="auto"/>
            <w:noWrap/>
            <w:vAlign w:val="bottom"/>
            <w:hideMark/>
          </w:tcPr>
          <w:p w14:paraId="183AC01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0E7E78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Jarque-Bera (JB):  </w:t>
            </w:r>
          </w:p>
        </w:tc>
        <w:tc>
          <w:tcPr>
            <w:tcW w:w="1000" w:type="dxa"/>
            <w:tcBorders>
              <w:top w:val="nil"/>
              <w:left w:val="nil"/>
              <w:bottom w:val="nil"/>
              <w:right w:val="nil"/>
            </w:tcBorders>
            <w:shd w:val="clear" w:color="auto" w:fill="auto"/>
            <w:noWrap/>
            <w:vAlign w:val="bottom"/>
            <w:hideMark/>
          </w:tcPr>
          <w:p w14:paraId="7BAB0B1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9318.849</w:t>
            </w:r>
          </w:p>
        </w:tc>
      </w:tr>
      <w:tr w:rsidR="0006183C" w:rsidRPr="0006183C" w14:paraId="34921021" w14:textId="77777777" w:rsidTr="0006183C">
        <w:trPr>
          <w:divId w:val="1720086735"/>
          <w:trHeight w:val="288"/>
          <w:jc w:val="center"/>
        </w:trPr>
        <w:tc>
          <w:tcPr>
            <w:tcW w:w="2000" w:type="dxa"/>
            <w:gridSpan w:val="2"/>
            <w:tcBorders>
              <w:top w:val="nil"/>
              <w:left w:val="nil"/>
              <w:bottom w:val="nil"/>
              <w:right w:val="nil"/>
            </w:tcBorders>
            <w:shd w:val="clear" w:color="auto" w:fill="auto"/>
            <w:noWrap/>
            <w:vAlign w:val="bottom"/>
            <w:hideMark/>
          </w:tcPr>
          <w:p w14:paraId="5CAD556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Skew:         </w:t>
            </w:r>
          </w:p>
        </w:tc>
        <w:tc>
          <w:tcPr>
            <w:tcW w:w="1079" w:type="dxa"/>
            <w:tcBorders>
              <w:top w:val="nil"/>
              <w:left w:val="nil"/>
              <w:bottom w:val="nil"/>
              <w:right w:val="nil"/>
            </w:tcBorders>
            <w:shd w:val="clear" w:color="auto" w:fill="auto"/>
            <w:noWrap/>
            <w:vAlign w:val="bottom"/>
            <w:hideMark/>
          </w:tcPr>
          <w:p w14:paraId="00B2FE2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4.005</w:t>
            </w:r>
          </w:p>
        </w:tc>
        <w:tc>
          <w:tcPr>
            <w:tcW w:w="921" w:type="dxa"/>
            <w:tcBorders>
              <w:top w:val="nil"/>
              <w:left w:val="nil"/>
              <w:bottom w:val="nil"/>
              <w:right w:val="nil"/>
            </w:tcBorders>
            <w:shd w:val="clear" w:color="auto" w:fill="auto"/>
            <w:noWrap/>
            <w:vAlign w:val="bottom"/>
            <w:hideMark/>
          </w:tcPr>
          <w:p w14:paraId="6DCD09E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6E02377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Prob(JB):          </w:t>
            </w:r>
          </w:p>
        </w:tc>
        <w:tc>
          <w:tcPr>
            <w:tcW w:w="1000" w:type="dxa"/>
            <w:tcBorders>
              <w:top w:val="nil"/>
              <w:left w:val="nil"/>
              <w:bottom w:val="nil"/>
              <w:right w:val="nil"/>
            </w:tcBorders>
            <w:shd w:val="clear" w:color="auto" w:fill="auto"/>
            <w:noWrap/>
            <w:vAlign w:val="bottom"/>
            <w:hideMark/>
          </w:tcPr>
          <w:p w14:paraId="6617A7E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r>
      <w:tr w:rsidR="0006183C" w:rsidRPr="0006183C" w14:paraId="01D0F684" w14:textId="77777777" w:rsidTr="0006183C">
        <w:trPr>
          <w:divId w:val="1720086735"/>
          <w:trHeight w:val="288"/>
          <w:jc w:val="center"/>
        </w:trPr>
        <w:tc>
          <w:tcPr>
            <w:tcW w:w="2000" w:type="dxa"/>
            <w:gridSpan w:val="2"/>
            <w:tcBorders>
              <w:top w:val="nil"/>
              <w:left w:val="nil"/>
              <w:bottom w:val="single" w:sz="4" w:space="0" w:color="auto"/>
              <w:right w:val="nil"/>
            </w:tcBorders>
            <w:shd w:val="clear" w:color="auto" w:fill="auto"/>
            <w:noWrap/>
            <w:vAlign w:val="bottom"/>
            <w:hideMark/>
          </w:tcPr>
          <w:p w14:paraId="6281A47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Kurtosis:     </w:t>
            </w:r>
          </w:p>
        </w:tc>
        <w:tc>
          <w:tcPr>
            <w:tcW w:w="1079" w:type="dxa"/>
            <w:tcBorders>
              <w:top w:val="nil"/>
              <w:left w:val="nil"/>
              <w:bottom w:val="single" w:sz="4" w:space="0" w:color="auto"/>
              <w:right w:val="nil"/>
            </w:tcBorders>
            <w:shd w:val="clear" w:color="auto" w:fill="auto"/>
            <w:noWrap/>
            <w:vAlign w:val="bottom"/>
            <w:hideMark/>
          </w:tcPr>
          <w:p w14:paraId="228E76D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31.451</w:t>
            </w:r>
          </w:p>
        </w:tc>
        <w:tc>
          <w:tcPr>
            <w:tcW w:w="921" w:type="dxa"/>
            <w:tcBorders>
              <w:top w:val="nil"/>
              <w:left w:val="nil"/>
              <w:bottom w:val="single" w:sz="4" w:space="0" w:color="auto"/>
              <w:right w:val="nil"/>
            </w:tcBorders>
            <w:shd w:val="clear" w:color="auto" w:fill="auto"/>
            <w:noWrap/>
            <w:vAlign w:val="bottom"/>
            <w:hideMark/>
          </w:tcPr>
          <w:p w14:paraId="4E70FBC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nil"/>
              <w:left w:val="nil"/>
              <w:bottom w:val="single" w:sz="4" w:space="0" w:color="auto"/>
              <w:right w:val="nil"/>
            </w:tcBorders>
            <w:shd w:val="clear" w:color="auto" w:fill="auto"/>
            <w:noWrap/>
            <w:vAlign w:val="bottom"/>
            <w:hideMark/>
          </w:tcPr>
          <w:p w14:paraId="5F76EE0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Cond. No.          </w:t>
            </w:r>
          </w:p>
        </w:tc>
        <w:tc>
          <w:tcPr>
            <w:tcW w:w="1000" w:type="dxa"/>
            <w:tcBorders>
              <w:top w:val="nil"/>
              <w:left w:val="nil"/>
              <w:bottom w:val="single" w:sz="4" w:space="0" w:color="auto"/>
              <w:right w:val="nil"/>
            </w:tcBorders>
            <w:shd w:val="clear" w:color="auto" w:fill="auto"/>
            <w:noWrap/>
            <w:vAlign w:val="bottom"/>
            <w:hideMark/>
          </w:tcPr>
          <w:p w14:paraId="7097923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125</w:t>
            </w:r>
          </w:p>
        </w:tc>
      </w:tr>
    </w:tbl>
    <w:p w14:paraId="18E7A2F2" w14:textId="396B73BF" w:rsidR="00060515" w:rsidRDefault="00370D75" w:rsidP="00A07E95">
      <w:pPr>
        <w:spacing w:line="240" w:lineRule="auto"/>
        <w:jc w:val="center"/>
        <w:rPr>
          <w:rFonts w:ascii="Times New Roman" w:hAnsi="Times New Roman" w:cs="Times New Roman"/>
          <w:sz w:val="24"/>
          <w:szCs w:val="24"/>
        </w:rPr>
      </w:pPr>
      <w:r>
        <w:rPr>
          <w:rFonts w:ascii="Times New Roman" w:hAnsi="Times New Roman" w:cs="Times New Roman"/>
          <w:sz w:val="24"/>
          <w:szCs w:val="24"/>
        </w:rPr>
        <w:fldChar w:fldCharType="end"/>
      </w:r>
      <w:r w:rsidR="00060515">
        <w:rPr>
          <w:rFonts w:ascii="Times New Roman" w:hAnsi="Times New Roman" w:cs="Times New Roman"/>
          <w:sz w:val="24"/>
          <w:szCs w:val="24"/>
        </w:rPr>
        <w:t>Source: Own elaboration.</w:t>
      </w:r>
    </w:p>
    <w:p w14:paraId="7A0496AC" w14:textId="77777777" w:rsidR="00204631" w:rsidRDefault="00204631" w:rsidP="0079605B">
      <w:pPr>
        <w:spacing w:line="240" w:lineRule="auto"/>
        <w:rPr>
          <w:rFonts w:ascii="Times New Roman" w:hAnsi="Times New Roman" w:cs="Times New Roman"/>
          <w:sz w:val="24"/>
          <w:szCs w:val="24"/>
        </w:rPr>
      </w:pPr>
    </w:p>
    <w:p w14:paraId="40519FBE" w14:textId="36C36C0E" w:rsidR="0006183C" w:rsidRPr="0006183C" w:rsidRDefault="00060515" w:rsidP="0006183C">
      <w:pPr>
        <w:spacing w:before="240" w:line="240" w:lineRule="auto"/>
        <w:jc w:val="center"/>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Table 10. Regression result for specification 2 of equation 2</w:t>
      </w:r>
      <w:r w:rsidR="00370D75">
        <w:fldChar w:fldCharType="begin"/>
      </w:r>
      <w:r w:rsidR="00370D75">
        <w:instrText xml:space="preserve"> LINK </w:instrText>
      </w:r>
      <w:r w:rsidR="0011635A">
        <w:instrText xml:space="preserve">Excel.Sheet.12 "C:\\Users\\camil\\Dropbox\\Artículos académicos\\Similarity of ECB’s communication\\2Tables.xlsx" Reg2_2!R2C1:R17C7 </w:instrText>
      </w:r>
      <w:r w:rsidR="00370D75">
        <w:instrText xml:space="preserve">\a \f 4 \h  \* MERGEFORMAT </w:instrText>
      </w:r>
      <w:r w:rsidR="00370D75">
        <w:fldChar w:fldCharType="separate"/>
      </w:r>
    </w:p>
    <w:tbl>
      <w:tblPr>
        <w:tblW w:w="7632" w:type="dxa"/>
        <w:jc w:val="center"/>
        <w:tblLook w:val="04A0" w:firstRow="1" w:lastRow="0" w:firstColumn="1" w:lastColumn="0" w:noHBand="0" w:noVBand="1"/>
      </w:tblPr>
      <w:tblGrid>
        <w:gridCol w:w="1671"/>
        <w:gridCol w:w="978"/>
        <w:gridCol w:w="1115"/>
        <w:gridCol w:w="885"/>
        <w:gridCol w:w="864"/>
        <w:gridCol w:w="1136"/>
        <w:gridCol w:w="1000"/>
      </w:tblGrid>
      <w:tr w:rsidR="0006183C" w:rsidRPr="0006183C" w14:paraId="0CF6D703" w14:textId="77777777" w:rsidTr="0006183C">
        <w:trPr>
          <w:divId w:val="569117048"/>
          <w:trHeight w:val="288"/>
          <w:jc w:val="center"/>
        </w:trPr>
        <w:tc>
          <w:tcPr>
            <w:tcW w:w="2632" w:type="dxa"/>
            <w:gridSpan w:val="2"/>
            <w:tcBorders>
              <w:top w:val="single" w:sz="4" w:space="0" w:color="auto"/>
              <w:left w:val="nil"/>
              <w:bottom w:val="nil"/>
              <w:right w:val="nil"/>
            </w:tcBorders>
            <w:shd w:val="clear" w:color="auto" w:fill="auto"/>
            <w:noWrap/>
            <w:vAlign w:val="bottom"/>
            <w:hideMark/>
          </w:tcPr>
          <w:p w14:paraId="544BA735" w14:textId="6CCAEF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Dep. Variable:   </w:t>
            </w:r>
          </w:p>
        </w:tc>
        <w:tc>
          <w:tcPr>
            <w:tcW w:w="2000" w:type="dxa"/>
            <w:gridSpan w:val="2"/>
            <w:tcBorders>
              <w:top w:val="single" w:sz="4" w:space="0" w:color="auto"/>
              <w:left w:val="nil"/>
              <w:bottom w:val="nil"/>
              <w:right w:val="nil"/>
            </w:tcBorders>
            <w:shd w:val="clear" w:color="auto" w:fill="auto"/>
            <w:noWrap/>
            <w:vAlign w:val="bottom"/>
            <w:hideMark/>
          </w:tcPr>
          <w:p w14:paraId="755A6F0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AV_cum_ab_returns</w:t>
            </w:r>
            <w:proofErr w:type="spellEnd"/>
          </w:p>
        </w:tc>
        <w:tc>
          <w:tcPr>
            <w:tcW w:w="2000" w:type="dxa"/>
            <w:gridSpan w:val="2"/>
            <w:tcBorders>
              <w:top w:val="single" w:sz="4" w:space="0" w:color="auto"/>
              <w:left w:val="nil"/>
              <w:bottom w:val="nil"/>
              <w:right w:val="nil"/>
            </w:tcBorders>
            <w:shd w:val="clear" w:color="auto" w:fill="auto"/>
            <w:noWrap/>
            <w:vAlign w:val="bottom"/>
            <w:hideMark/>
          </w:tcPr>
          <w:p w14:paraId="2963148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R-squared:         </w:t>
            </w:r>
          </w:p>
        </w:tc>
        <w:tc>
          <w:tcPr>
            <w:tcW w:w="1000" w:type="dxa"/>
            <w:tcBorders>
              <w:top w:val="single" w:sz="4" w:space="0" w:color="auto"/>
              <w:left w:val="nil"/>
              <w:bottom w:val="nil"/>
              <w:right w:val="nil"/>
            </w:tcBorders>
            <w:shd w:val="clear" w:color="auto" w:fill="auto"/>
            <w:noWrap/>
            <w:vAlign w:val="bottom"/>
            <w:hideMark/>
          </w:tcPr>
          <w:p w14:paraId="59181BF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0.029</w:t>
            </w:r>
          </w:p>
        </w:tc>
      </w:tr>
      <w:tr w:rsidR="0006183C" w:rsidRPr="0006183C" w14:paraId="13CEE886" w14:textId="77777777" w:rsidTr="0006183C">
        <w:trPr>
          <w:divId w:val="569117048"/>
          <w:trHeight w:val="288"/>
          <w:jc w:val="center"/>
        </w:trPr>
        <w:tc>
          <w:tcPr>
            <w:tcW w:w="2632" w:type="dxa"/>
            <w:gridSpan w:val="2"/>
            <w:tcBorders>
              <w:top w:val="nil"/>
              <w:left w:val="nil"/>
              <w:bottom w:val="nil"/>
              <w:right w:val="nil"/>
            </w:tcBorders>
            <w:shd w:val="clear" w:color="auto" w:fill="auto"/>
            <w:noWrap/>
            <w:vAlign w:val="bottom"/>
            <w:hideMark/>
          </w:tcPr>
          <w:p w14:paraId="74A34B9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Model:           </w:t>
            </w:r>
          </w:p>
        </w:tc>
        <w:tc>
          <w:tcPr>
            <w:tcW w:w="2000" w:type="dxa"/>
            <w:gridSpan w:val="2"/>
            <w:tcBorders>
              <w:top w:val="nil"/>
              <w:left w:val="nil"/>
              <w:bottom w:val="nil"/>
              <w:right w:val="nil"/>
            </w:tcBorders>
            <w:shd w:val="clear" w:color="auto" w:fill="auto"/>
            <w:noWrap/>
            <w:vAlign w:val="bottom"/>
            <w:hideMark/>
          </w:tcPr>
          <w:p w14:paraId="3798580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OLS              </w:t>
            </w:r>
          </w:p>
        </w:tc>
        <w:tc>
          <w:tcPr>
            <w:tcW w:w="2000" w:type="dxa"/>
            <w:gridSpan w:val="2"/>
            <w:tcBorders>
              <w:top w:val="nil"/>
              <w:left w:val="nil"/>
              <w:bottom w:val="nil"/>
              <w:right w:val="nil"/>
            </w:tcBorders>
            <w:shd w:val="clear" w:color="auto" w:fill="auto"/>
            <w:noWrap/>
            <w:vAlign w:val="bottom"/>
            <w:hideMark/>
          </w:tcPr>
          <w:p w14:paraId="6A75821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Adj. R-squared:    </w:t>
            </w:r>
          </w:p>
        </w:tc>
        <w:tc>
          <w:tcPr>
            <w:tcW w:w="1000" w:type="dxa"/>
            <w:tcBorders>
              <w:top w:val="nil"/>
              <w:left w:val="nil"/>
              <w:bottom w:val="nil"/>
              <w:right w:val="nil"/>
            </w:tcBorders>
            <w:shd w:val="clear" w:color="auto" w:fill="auto"/>
            <w:noWrap/>
            <w:vAlign w:val="bottom"/>
            <w:hideMark/>
          </w:tcPr>
          <w:p w14:paraId="390BC69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0.017</w:t>
            </w:r>
          </w:p>
        </w:tc>
      </w:tr>
      <w:tr w:rsidR="0006183C" w:rsidRPr="0006183C" w14:paraId="1CCB782F" w14:textId="77777777" w:rsidTr="0006183C">
        <w:trPr>
          <w:divId w:val="569117048"/>
          <w:trHeight w:val="288"/>
          <w:jc w:val="center"/>
        </w:trPr>
        <w:tc>
          <w:tcPr>
            <w:tcW w:w="2632" w:type="dxa"/>
            <w:gridSpan w:val="2"/>
            <w:tcBorders>
              <w:top w:val="nil"/>
              <w:left w:val="nil"/>
              <w:bottom w:val="nil"/>
              <w:right w:val="nil"/>
            </w:tcBorders>
            <w:shd w:val="clear" w:color="auto" w:fill="auto"/>
            <w:noWrap/>
            <w:vAlign w:val="bottom"/>
            <w:hideMark/>
          </w:tcPr>
          <w:p w14:paraId="03BB29B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Method:          </w:t>
            </w:r>
          </w:p>
        </w:tc>
        <w:tc>
          <w:tcPr>
            <w:tcW w:w="2000" w:type="dxa"/>
            <w:gridSpan w:val="2"/>
            <w:tcBorders>
              <w:top w:val="nil"/>
              <w:left w:val="nil"/>
              <w:bottom w:val="nil"/>
              <w:right w:val="nil"/>
            </w:tcBorders>
            <w:shd w:val="clear" w:color="auto" w:fill="auto"/>
            <w:noWrap/>
            <w:vAlign w:val="bottom"/>
            <w:hideMark/>
          </w:tcPr>
          <w:p w14:paraId="3E3BD41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Least Squares    </w:t>
            </w:r>
          </w:p>
        </w:tc>
        <w:tc>
          <w:tcPr>
            <w:tcW w:w="2000" w:type="dxa"/>
            <w:gridSpan w:val="2"/>
            <w:tcBorders>
              <w:top w:val="nil"/>
              <w:left w:val="nil"/>
              <w:bottom w:val="nil"/>
              <w:right w:val="nil"/>
            </w:tcBorders>
            <w:shd w:val="clear" w:color="auto" w:fill="auto"/>
            <w:noWrap/>
            <w:vAlign w:val="bottom"/>
            <w:hideMark/>
          </w:tcPr>
          <w:p w14:paraId="1844D10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F-statistic:       </w:t>
            </w:r>
          </w:p>
        </w:tc>
        <w:tc>
          <w:tcPr>
            <w:tcW w:w="1000" w:type="dxa"/>
            <w:tcBorders>
              <w:top w:val="nil"/>
              <w:left w:val="nil"/>
              <w:bottom w:val="nil"/>
              <w:right w:val="nil"/>
            </w:tcBorders>
            <w:shd w:val="clear" w:color="auto" w:fill="auto"/>
            <w:noWrap/>
            <w:vAlign w:val="bottom"/>
            <w:hideMark/>
          </w:tcPr>
          <w:p w14:paraId="2312A18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2.505</w:t>
            </w:r>
          </w:p>
        </w:tc>
      </w:tr>
      <w:tr w:rsidR="0006183C" w:rsidRPr="0006183C" w14:paraId="5BD87256" w14:textId="77777777" w:rsidTr="0006183C">
        <w:trPr>
          <w:divId w:val="569117048"/>
          <w:trHeight w:val="288"/>
          <w:jc w:val="center"/>
        </w:trPr>
        <w:tc>
          <w:tcPr>
            <w:tcW w:w="2632" w:type="dxa"/>
            <w:gridSpan w:val="2"/>
            <w:tcBorders>
              <w:top w:val="nil"/>
              <w:left w:val="nil"/>
              <w:bottom w:val="nil"/>
              <w:right w:val="nil"/>
            </w:tcBorders>
            <w:shd w:val="clear" w:color="auto" w:fill="auto"/>
            <w:noWrap/>
            <w:vAlign w:val="bottom"/>
            <w:hideMark/>
          </w:tcPr>
          <w:p w14:paraId="44CE692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No. Observations:</w:t>
            </w:r>
          </w:p>
        </w:tc>
        <w:tc>
          <w:tcPr>
            <w:tcW w:w="1115" w:type="dxa"/>
            <w:tcBorders>
              <w:top w:val="nil"/>
              <w:left w:val="nil"/>
              <w:bottom w:val="nil"/>
              <w:right w:val="nil"/>
            </w:tcBorders>
            <w:shd w:val="clear" w:color="auto" w:fill="auto"/>
            <w:noWrap/>
            <w:vAlign w:val="bottom"/>
            <w:hideMark/>
          </w:tcPr>
          <w:p w14:paraId="3DA410D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256</w:t>
            </w:r>
          </w:p>
        </w:tc>
        <w:tc>
          <w:tcPr>
            <w:tcW w:w="885" w:type="dxa"/>
            <w:tcBorders>
              <w:top w:val="nil"/>
              <w:left w:val="nil"/>
              <w:bottom w:val="nil"/>
              <w:right w:val="nil"/>
            </w:tcBorders>
            <w:shd w:val="clear" w:color="auto" w:fill="auto"/>
            <w:noWrap/>
            <w:vAlign w:val="bottom"/>
            <w:hideMark/>
          </w:tcPr>
          <w:p w14:paraId="5A262F7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05F7C6A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24 Feb 2024 </w:t>
            </w:r>
          </w:p>
        </w:tc>
        <w:tc>
          <w:tcPr>
            <w:tcW w:w="1000" w:type="dxa"/>
            <w:tcBorders>
              <w:top w:val="nil"/>
              <w:left w:val="nil"/>
              <w:bottom w:val="nil"/>
              <w:right w:val="nil"/>
            </w:tcBorders>
            <w:shd w:val="clear" w:color="auto" w:fill="auto"/>
            <w:noWrap/>
            <w:vAlign w:val="bottom"/>
            <w:hideMark/>
          </w:tcPr>
          <w:p w14:paraId="0D8C565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0.0597</w:t>
            </w:r>
          </w:p>
        </w:tc>
      </w:tr>
      <w:tr w:rsidR="0006183C" w:rsidRPr="0006183C" w14:paraId="2EFFC36A" w14:textId="77777777" w:rsidTr="0006183C">
        <w:trPr>
          <w:divId w:val="569117048"/>
          <w:trHeight w:val="288"/>
          <w:jc w:val="center"/>
        </w:trPr>
        <w:tc>
          <w:tcPr>
            <w:tcW w:w="2632" w:type="dxa"/>
            <w:gridSpan w:val="2"/>
            <w:tcBorders>
              <w:top w:val="nil"/>
              <w:left w:val="nil"/>
              <w:bottom w:val="nil"/>
              <w:right w:val="nil"/>
            </w:tcBorders>
            <w:shd w:val="clear" w:color="auto" w:fill="auto"/>
            <w:noWrap/>
            <w:vAlign w:val="bottom"/>
            <w:hideMark/>
          </w:tcPr>
          <w:p w14:paraId="19A7325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Residuals:    </w:t>
            </w:r>
          </w:p>
        </w:tc>
        <w:tc>
          <w:tcPr>
            <w:tcW w:w="1115" w:type="dxa"/>
            <w:tcBorders>
              <w:top w:val="nil"/>
              <w:left w:val="nil"/>
              <w:bottom w:val="nil"/>
              <w:right w:val="nil"/>
            </w:tcBorders>
            <w:shd w:val="clear" w:color="auto" w:fill="auto"/>
            <w:noWrap/>
            <w:vAlign w:val="bottom"/>
            <w:hideMark/>
          </w:tcPr>
          <w:p w14:paraId="3E424EE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252</w:t>
            </w:r>
          </w:p>
        </w:tc>
        <w:tc>
          <w:tcPr>
            <w:tcW w:w="885" w:type="dxa"/>
            <w:tcBorders>
              <w:top w:val="nil"/>
              <w:left w:val="nil"/>
              <w:bottom w:val="nil"/>
              <w:right w:val="nil"/>
            </w:tcBorders>
            <w:shd w:val="clear" w:color="auto" w:fill="auto"/>
            <w:noWrap/>
            <w:vAlign w:val="bottom"/>
            <w:hideMark/>
          </w:tcPr>
          <w:p w14:paraId="10D9C8F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0DFF656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Log-Likelihood:    </w:t>
            </w:r>
          </w:p>
        </w:tc>
        <w:tc>
          <w:tcPr>
            <w:tcW w:w="1000" w:type="dxa"/>
            <w:tcBorders>
              <w:top w:val="nil"/>
              <w:left w:val="nil"/>
              <w:bottom w:val="nil"/>
              <w:right w:val="nil"/>
            </w:tcBorders>
            <w:shd w:val="clear" w:color="auto" w:fill="auto"/>
            <w:noWrap/>
            <w:vAlign w:val="bottom"/>
            <w:hideMark/>
          </w:tcPr>
          <w:p w14:paraId="19E2DB3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513.01</w:t>
            </w:r>
          </w:p>
        </w:tc>
      </w:tr>
      <w:tr w:rsidR="0006183C" w:rsidRPr="0006183C" w14:paraId="0CCC535F" w14:textId="77777777" w:rsidTr="0006183C">
        <w:trPr>
          <w:divId w:val="569117048"/>
          <w:trHeight w:val="288"/>
          <w:jc w:val="center"/>
        </w:trPr>
        <w:tc>
          <w:tcPr>
            <w:tcW w:w="2632" w:type="dxa"/>
            <w:gridSpan w:val="2"/>
            <w:tcBorders>
              <w:top w:val="nil"/>
              <w:left w:val="nil"/>
              <w:bottom w:val="nil"/>
              <w:right w:val="nil"/>
            </w:tcBorders>
            <w:shd w:val="clear" w:color="auto" w:fill="auto"/>
            <w:noWrap/>
            <w:vAlign w:val="bottom"/>
            <w:hideMark/>
          </w:tcPr>
          <w:p w14:paraId="24F8807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Model:        </w:t>
            </w:r>
          </w:p>
        </w:tc>
        <w:tc>
          <w:tcPr>
            <w:tcW w:w="1115" w:type="dxa"/>
            <w:tcBorders>
              <w:top w:val="nil"/>
              <w:left w:val="nil"/>
              <w:bottom w:val="nil"/>
              <w:right w:val="nil"/>
            </w:tcBorders>
            <w:shd w:val="clear" w:color="auto" w:fill="auto"/>
            <w:noWrap/>
            <w:vAlign w:val="bottom"/>
            <w:hideMark/>
          </w:tcPr>
          <w:p w14:paraId="6C652F9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w:t>
            </w:r>
          </w:p>
        </w:tc>
        <w:tc>
          <w:tcPr>
            <w:tcW w:w="885" w:type="dxa"/>
            <w:tcBorders>
              <w:top w:val="nil"/>
              <w:left w:val="nil"/>
              <w:bottom w:val="nil"/>
              <w:right w:val="nil"/>
            </w:tcBorders>
            <w:shd w:val="clear" w:color="auto" w:fill="auto"/>
            <w:noWrap/>
            <w:vAlign w:val="bottom"/>
            <w:hideMark/>
          </w:tcPr>
          <w:p w14:paraId="00DFB64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161B15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AIC:               </w:t>
            </w:r>
          </w:p>
        </w:tc>
        <w:tc>
          <w:tcPr>
            <w:tcW w:w="1000" w:type="dxa"/>
            <w:tcBorders>
              <w:top w:val="nil"/>
              <w:left w:val="nil"/>
              <w:bottom w:val="nil"/>
              <w:right w:val="nil"/>
            </w:tcBorders>
            <w:shd w:val="clear" w:color="auto" w:fill="auto"/>
            <w:noWrap/>
            <w:vAlign w:val="bottom"/>
            <w:hideMark/>
          </w:tcPr>
          <w:p w14:paraId="3BDC483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-1018</w:t>
            </w:r>
          </w:p>
        </w:tc>
      </w:tr>
      <w:tr w:rsidR="0006183C" w:rsidRPr="0006183C" w14:paraId="4A6A5D39" w14:textId="77777777" w:rsidTr="0006183C">
        <w:trPr>
          <w:divId w:val="569117048"/>
          <w:trHeight w:val="288"/>
          <w:jc w:val="center"/>
        </w:trPr>
        <w:tc>
          <w:tcPr>
            <w:tcW w:w="1671" w:type="dxa"/>
            <w:tcBorders>
              <w:top w:val="nil"/>
              <w:left w:val="nil"/>
              <w:bottom w:val="nil"/>
              <w:right w:val="nil"/>
            </w:tcBorders>
            <w:shd w:val="clear" w:color="auto" w:fill="auto"/>
            <w:noWrap/>
            <w:vAlign w:val="bottom"/>
            <w:hideMark/>
          </w:tcPr>
          <w:p w14:paraId="15A7216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Covariance Type: </w:t>
            </w:r>
          </w:p>
        </w:tc>
        <w:tc>
          <w:tcPr>
            <w:tcW w:w="961" w:type="dxa"/>
            <w:tcBorders>
              <w:top w:val="nil"/>
              <w:left w:val="nil"/>
              <w:bottom w:val="nil"/>
              <w:right w:val="nil"/>
            </w:tcBorders>
            <w:shd w:val="clear" w:color="auto" w:fill="auto"/>
            <w:noWrap/>
            <w:vAlign w:val="bottom"/>
            <w:hideMark/>
          </w:tcPr>
          <w:p w14:paraId="47B9479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nonrobust</w:t>
            </w:r>
            <w:proofErr w:type="spellEnd"/>
            <w:r w:rsidRPr="0006183C">
              <w:rPr>
                <w:rFonts w:ascii="Calibri" w:eastAsia="Times New Roman" w:hAnsi="Calibri" w:cs="Calibri"/>
                <w:color w:val="000000"/>
                <w:kern w:val="0"/>
                <w:sz w:val="18"/>
                <w:szCs w:val="18"/>
                <w14:ligatures w14:val="none"/>
              </w:rPr>
              <w:t xml:space="preserve">        </w:t>
            </w:r>
          </w:p>
        </w:tc>
        <w:tc>
          <w:tcPr>
            <w:tcW w:w="2000" w:type="dxa"/>
            <w:gridSpan w:val="2"/>
            <w:tcBorders>
              <w:top w:val="nil"/>
              <w:left w:val="nil"/>
              <w:bottom w:val="nil"/>
              <w:right w:val="nil"/>
            </w:tcBorders>
            <w:shd w:val="clear" w:color="auto" w:fill="auto"/>
            <w:noWrap/>
            <w:vAlign w:val="bottom"/>
            <w:hideMark/>
          </w:tcPr>
          <w:p w14:paraId="29FCE15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
        </w:tc>
        <w:tc>
          <w:tcPr>
            <w:tcW w:w="2000" w:type="dxa"/>
            <w:gridSpan w:val="2"/>
            <w:tcBorders>
              <w:top w:val="nil"/>
              <w:left w:val="nil"/>
              <w:bottom w:val="nil"/>
              <w:right w:val="nil"/>
            </w:tcBorders>
            <w:shd w:val="clear" w:color="auto" w:fill="auto"/>
            <w:noWrap/>
            <w:vAlign w:val="bottom"/>
            <w:hideMark/>
          </w:tcPr>
          <w:p w14:paraId="655CE2B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BIC:               </w:t>
            </w:r>
          </w:p>
        </w:tc>
        <w:tc>
          <w:tcPr>
            <w:tcW w:w="1000" w:type="dxa"/>
            <w:tcBorders>
              <w:top w:val="nil"/>
              <w:left w:val="nil"/>
              <w:bottom w:val="nil"/>
              <w:right w:val="nil"/>
            </w:tcBorders>
            <w:shd w:val="clear" w:color="auto" w:fill="auto"/>
            <w:noWrap/>
            <w:vAlign w:val="bottom"/>
            <w:hideMark/>
          </w:tcPr>
          <w:p w14:paraId="3772CE8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-1004</w:t>
            </w:r>
          </w:p>
        </w:tc>
      </w:tr>
      <w:tr w:rsidR="0006183C" w:rsidRPr="0006183C" w14:paraId="04BDEA1B" w14:textId="77777777" w:rsidTr="0006183C">
        <w:trPr>
          <w:divId w:val="569117048"/>
          <w:trHeight w:val="288"/>
          <w:jc w:val="center"/>
        </w:trPr>
        <w:tc>
          <w:tcPr>
            <w:tcW w:w="1671" w:type="dxa"/>
            <w:tcBorders>
              <w:top w:val="single" w:sz="4" w:space="0" w:color="auto"/>
              <w:left w:val="nil"/>
              <w:bottom w:val="single" w:sz="4" w:space="0" w:color="auto"/>
              <w:right w:val="nil"/>
            </w:tcBorders>
            <w:shd w:val="clear" w:color="auto" w:fill="auto"/>
            <w:noWrap/>
            <w:vAlign w:val="bottom"/>
            <w:hideMark/>
          </w:tcPr>
          <w:p w14:paraId="6D872C6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
        </w:tc>
        <w:tc>
          <w:tcPr>
            <w:tcW w:w="961" w:type="dxa"/>
            <w:tcBorders>
              <w:top w:val="single" w:sz="4" w:space="0" w:color="auto"/>
              <w:left w:val="nil"/>
              <w:bottom w:val="single" w:sz="4" w:space="0" w:color="auto"/>
              <w:right w:val="nil"/>
            </w:tcBorders>
            <w:shd w:val="clear" w:color="auto" w:fill="auto"/>
            <w:noWrap/>
            <w:vAlign w:val="bottom"/>
            <w:hideMark/>
          </w:tcPr>
          <w:p w14:paraId="75C0077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roofErr w:type="spellStart"/>
            <w:r w:rsidRPr="0006183C">
              <w:rPr>
                <w:rFonts w:ascii="Calibri" w:eastAsia="Times New Roman" w:hAnsi="Calibri" w:cs="Calibri"/>
                <w:color w:val="000000"/>
                <w:kern w:val="0"/>
                <w:sz w:val="18"/>
                <w:szCs w:val="18"/>
                <w14:ligatures w14:val="none"/>
              </w:rPr>
              <w:t>coef</w:t>
            </w:r>
            <w:proofErr w:type="spellEnd"/>
            <w:r w:rsidRPr="0006183C">
              <w:rPr>
                <w:rFonts w:ascii="Calibri" w:eastAsia="Times New Roman" w:hAnsi="Calibri" w:cs="Calibri"/>
                <w:color w:val="000000"/>
                <w:kern w:val="0"/>
                <w:sz w:val="18"/>
                <w:szCs w:val="18"/>
                <w14:ligatures w14:val="none"/>
              </w:rPr>
              <w:t xml:space="preserve">   </w:t>
            </w:r>
          </w:p>
        </w:tc>
        <w:tc>
          <w:tcPr>
            <w:tcW w:w="1115" w:type="dxa"/>
            <w:tcBorders>
              <w:top w:val="single" w:sz="4" w:space="0" w:color="auto"/>
              <w:left w:val="nil"/>
              <w:bottom w:val="single" w:sz="4" w:space="0" w:color="auto"/>
              <w:right w:val="nil"/>
            </w:tcBorders>
            <w:shd w:val="clear" w:color="auto" w:fill="auto"/>
            <w:noWrap/>
            <w:vAlign w:val="bottom"/>
            <w:hideMark/>
          </w:tcPr>
          <w:p w14:paraId="62EB778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std err </w:t>
            </w:r>
          </w:p>
        </w:tc>
        <w:tc>
          <w:tcPr>
            <w:tcW w:w="885" w:type="dxa"/>
            <w:tcBorders>
              <w:top w:val="single" w:sz="4" w:space="0" w:color="auto"/>
              <w:left w:val="nil"/>
              <w:bottom w:val="single" w:sz="4" w:space="0" w:color="auto"/>
              <w:right w:val="nil"/>
            </w:tcBorders>
            <w:shd w:val="clear" w:color="auto" w:fill="auto"/>
            <w:noWrap/>
            <w:vAlign w:val="bottom"/>
            <w:hideMark/>
          </w:tcPr>
          <w:p w14:paraId="7E54AC3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t    </w:t>
            </w:r>
          </w:p>
        </w:tc>
        <w:tc>
          <w:tcPr>
            <w:tcW w:w="864" w:type="dxa"/>
            <w:tcBorders>
              <w:top w:val="single" w:sz="4" w:space="0" w:color="auto"/>
              <w:left w:val="nil"/>
              <w:bottom w:val="single" w:sz="4" w:space="0" w:color="auto"/>
              <w:right w:val="nil"/>
            </w:tcBorders>
            <w:shd w:val="clear" w:color="auto" w:fill="auto"/>
            <w:noWrap/>
            <w:vAlign w:val="bottom"/>
            <w:hideMark/>
          </w:tcPr>
          <w:p w14:paraId="11607D3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P&gt;|t| </w:t>
            </w:r>
          </w:p>
        </w:tc>
        <w:tc>
          <w:tcPr>
            <w:tcW w:w="1136" w:type="dxa"/>
            <w:tcBorders>
              <w:top w:val="single" w:sz="4" w:space="0" w:color="auto"/>
              <w:left w:val="nil"/>
              <w:bottom w:val="single" w:sz="4" w:space="0" w:color="auto"/>
              <w:right w:val="nil"/>
            </w:tcBorders>
            <w:shd w:val="clear" w:color="auto" w:fill="auto"/>
            <w:noWrap/>
            <w:vAlign w:val="bottom"/>
            <w:hideMark/>
          </w:tcPr>
          <w:p w14:paraId="3DB0BE4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[0.025 </w:t>
            </w:r>
          </w:p>
        </w:tc>
        <w:tc>
          <w:tcPr>
            <w:tcW w:w="1000" w:type="dxa"/>
            <w:tcBorders>
              <w:top w:val="single" w:sz="4" w:space="0" w:color="auto"/>
              <w:left w:val="nil"/>
              <w:bottom w:val="single" w:sz="4" w:space="0" w:color="auto"/>
              <w:right w:val="nil"/>
            </w:tcBorders>
            <w:shd w:val="clear" w:color="auto" w:fill="auto"/>
            <w:noWrap/>
            <w:vAlign w:val="bottom"/>
            <w:hideMark/>
          </w:tcPr>
          <w:p w14:paraId="407FDFE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0.975] </w:t>
            </w:r>
          </w:p>
        </w:tc>
      </w:tr>
      <w:tr w:rsidR="0006183C" w:rsidRPr="0006183C" w14:paraId="6CBA3EBE" w14:textId="77777777" w:rsidTr="0006183C">
        <w:trPr>
          <w:divId w:val="569117048"/>
          <w:trHeight w:val="288"/>
          <w:jc w:val="center"/>
        </w:trPr>
        <w:tc>
          <w:tcPr>
            <w:tcW w:w="1671" w:type="dxa"/>
            <w:tcBorders>
              <w:top w:val="nil"/>
              <w:left w:val="nil"/>
              <w:bottom w:val="nil"/>
              <w:right w:val="nil"/>
            </w:tcBorders>
            <w:shd w:val="clear" w:color="auto" w:fill="auto"/>
            <w:noWrap/>
            <w:vAlign w:val="bottom"/>
            <w:hideMark/>
          </w:tcPr>
          <w:p w14:paraId="04CAB5F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const           </w:t>
            </w:r>
          </w:p>
        </w:tc>
        <w:tc>
          <w:tcPr>
            <w:tcW w:w="961" w:type="dxa"/>
            <w:tcBorders>
              <w:top w:val="nil"/>
              <w:left w:val="nil"/>
              <w:bottom w:val="nil"/>
              <w:right w:val="nil"/>
            </w:tcBorders>
            <w:shd w:val="clear" w:color="auto" w:fill="auto"/>
            <w:noWrap/>
            <w:vAlign w:val="bottom"/>
            <w:hideMark/>
          </w:tcPr>
          <w:p w14:paraId="6FB3D2B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0.0283</w:t>
            </w:r>
          </w:p>
        </w:tc>
        <w:tc>
          <w:tcPr>
            <w:tcW w:w="1115" w:type="dxa"/>
            <w:tcBorders>
              <w:top w:val="nil"/>
              <w:left w:val="nil"/>
              <w:bottom w:val="nil"/>
              <w:right w:val="nil"/>
            </w:tcBorders>
            <w:shd w:val="clear" w:color="auto" w:fill="auto"/>
            <w:noWrap/>
            <w:vAlign w:val="bottom"/>
            <w:hideMark/>
          </w:tcPr>
          <w:p w14:paraId="60A7BEB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0.004</w:t>
            </w:r>
          </w:p>
        </w:tc>
        <w:tc>
          <w:tcPr>
            <w:tcW w:w="885" w:type="dxa"/>
            <w:tcBorders>
              <w:top w:val="nil"/>
              <w:left w:val="nil"/>
              <w:bottom w:val="nil"/>
              <w:right w:val="nil"/>
            </w:tcBorders>
            <w:shd w:val="clear" w:color="auto" w:fill="auto"/>
            <w:noWrap/>
            <w:vAlign w:val="bottom"/>
            <w:hideMark/>
          </w:tcPr>
          <w:p w14:paraId="1E4BBB8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7.802</w:t>
            </w:r>
          </w:p>
        </w:tc>
        <w:tc>
          <w:tcPr>
            <w:tcW w:w="864" w:type="dxa"/>
            <w:tcBorders>
              <w:top w:val="nil"/>
              <w:left w:val="nil"/>
              <w:bottom w:val="nil"/>
              <w:right w:val="nil"/>
            </w:tcBorders>
            <w:shd w:val="clear" w:color="auto" w:fill="auto"/>
            <w:noWrap/>
            <w:vAlign w:val="bottom"/>
            <w:hideMark/>
          </w:tcPr>
          <w:p w14:paraId="5A67315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136" w:type="dxa"/>
            <w:tcBorders>
              <w:top w:val="nil"/>
              <w:left w:val="nil"/>
              <w:bottom w:val="nil"/>
              <w:right w:val="nil"/>
            </w:tcBorders>
            <w:shd w:val="clear" w:color="auto" w:fill="auto"/>
            <w:noWrap/>
            <w:vAlign w:val="bottom"/>
            <w:hideMark/>
          </w:tcPr>
          <w:p w14:paraId="43DBDE7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0.021</w:t>
            </w:r>
          </w:p>
        </w:tc>
        <w:tc>
          <w:tcPr>
            <w:tcW w:w="1000" w:type="dxa"/>
            <w:tcBorders>
              <w:top w:val="nil"/>
              <w:left w:val="nil"/>
              <w:bottom w:val="nil"/>
              <w:right w:val="nil"/>
            </w:tcBorders>
            <w:shd w:val="clear" w:color="auto" w:fill="auto"/>
            <w:noWrap/>
            <w:vAlign w:val="bottom"/>
            <w:hideMark/>
          </w:tcPr>
          <w:p w14:paraId="64F3817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0.035</w:t>
            </w:r>
          </w:p>
        </w:tc>
      </w:tr>
      <w:tr w:rsidR="0006183C" w:rsidRPr="0006183C" w14:paraId="557C0C90" w14:textId="77777777" w:rsidTr="0006183C">
        <w:trPr>
          <w:divId w:val="569117048"/>
          <w:trHeight w:val="288"/>
          <w:jc w:val="center"/>
        </w:trPr>
        <w:tc>
          <w:tcPr>
            <w:tcW w:w="1671" w:type="dxa"/>
            <w:tcBorders>
              <w:top w:val="nil"/>
              <w:left w:val="nil"/>
              <w:bottom w:val="nil"/>
              <w:right w:val="nil"/>
            </w:tcBorders>
            <w:shd w:val="clear" w:color="auto" w:fill="auto"/>
            <w:noWrap/>
            <w:vAlign w:val="bottom"/>
            <w:hideMark/>
          </w:tcPr>
          <w:p w14:paraId="4005E5A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output_gap_quart</w:t>
            </w:r>
            <w:proofErr w:type="spellEnd"/>
          </w:p>
        </w:tc>
        <w:tc>
          <w:tcPr>
            <w:tcW w:w="961" w:type="dxa"/>
            <w:tcBorders>
              <w:top w:val="nil"/>
              <w:left w:val="nil"/>
              <w:bottom w:val="nil"/>
              <w:right w:val="nil"/>
            </w:tcBorders>
            <w:shd w:val="clear" w:color="auto" w:fill="auto"/>
            <w:noWrap/>
            <w:vAlign w:val="bottom"/>
            <w:hideMark/>
          </w:tcPr>
          <w:p w14:paraId="3D48F1F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-0.1648</w:t>
            </w:r>
          </w:p>
        </w:tc>
        <w:tc>
          <w:tcPr>
            <w:tcW w:w="1115" w:type="dxa"/>
            <w:tcBorders>
              <w:top w:val="nil"/>
              <w:left w:val="nil"/>
              <w:bottom w:val="nil"/>
              <w:right w:val="nil"/>
            </w:tcBorders>
            <w:shd w:val="clear" w:color="auto" w:fill="auto"/>
            <w:noWrap/>
            <w:vAlign w:val="bottom"/>
            <w:hideMark/>
          </w:tcPr>
          <w:p w14:paraId="3278767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0.12</w:t>
            </w:r>
          </w:p>
        </w:tc>
        <w:tc>
          <w:tcPr>
            <w:tcW w:w="885" w:type="dxa"/>
            <w:tcBorders>
              <w:top w:val="nil"/>
              <w:left w:val="nil"/>
              <w:bottom w:val="nil"/>
              <w:right w:val="nil"/>
            </w:tcBorders>
            <w:shd w:val="clear" w:color="auto" w:fill="auto"/>
            <w:noWrap/>
            <w:vAlign w:val="bottom"/>
            <w:hideMark/>
          </w:tcPr>
          <w:p w14:paraId="5264865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-1.37</w:t>
            </w:r>
          </w:p>
        </w:tc>
        <w:tc>
          <w:tcPr>
            <w:tcW w:w="864" w:type="dxa"/>
            <w:tcBorders>
              <w:top w:val="nil"/>
              <w:left w:val="nil"/>
              <w:bottom w:val="nil"/>
              <w:right w:val="nil"/>
            </w:tcBorders>
            <w:shd w:val="clear" w:color="auto" w:fill="auto"/>
            <w:noWrap/>
            <w:vAlign w:val="bottom"/>
            <w:hideMark/>
          </w:tcPr>
          <w:p w14:paraId="7583C2A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0.172</w:t>
            </w:r>
          </w:p>
        </w:tc>
        <w:tc>
          <w:tcPr>
            <w:tcW w:w="1136" w:type="dxa"/>
            <w:tcBorders>
              <w:top w:val="nil"/>
              <w:left w:val="nil"/>
              <w:bottom w:val="nil"/>
              <w:right w:val="nil"/>
            </w:tcBorders>
            <w:shd w:val="clear" w:color="auto" w:fill="auto"/>
            <w:noWrap/>
            <w:vAlign w:val="bottom"/>
            <w:hideMark/>
          </w:tcPr>
          <w:p w14:paraId="5ACE655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-0.402</w:t>
            </w:r>
          </w:p>
        </w:tc>
        <w:tc>
          <w:tcPr>
            <w:tcW w:w="1000" w:type="dxa"/>
            <w:tcBorders>
              <w:top w:val="nil"/>
              <w:left w:val="nil"/>
              <w:bottom w:val="nil"/>
              <w:right w:val="nil"/>
            </w:tcBorders>
            <w:shd w:val="clear" w:color="auto" w:fill="auto"/>
            <w:noWrap/>
            <w:vAlign w:val="bottom"/>
            <w:hideMark/>
          </w:tcPr>
          <w:p w14:paraId="3B12A62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0.072</w:t>
            </w:r>
          </w:p>
        </w:tc>
      </w:tr>
      <w:tr w:rsidR="0006183C" w:rsidRPr="0006183C" w14:paraId="355B008A" w14:textId="77777777" w:rsidTr="0006183C">
        <w:trPr>
          <w:divId w:val="569117048"/>
          <w:trHeight w:val="288"/>
          <w:jc w:val="center"/>
        </w:trPr>
        <w:tc>
          <w:tcPr>
            <w:tcW w:w="1671" w:type="dxa"/>
            <w:tcBorders>
              <w:top w:val="nil"/>
              <w:left w:val="nil"/>
              <w:bottom w:val="nil"/>
              <w:right w:val="nil"/>
            </w:tcBorders>
            <w:shd w:val="clear" w:color="auto" w:fill="auto"/>
            <w:noWrap/>
            <w:vAlign w:val="bottom"/>
            <w:hideMark/>
          </w:tcPr>
          <w:p w14:paraId="12FAE29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Inflation       </w:t>
            </w:r>
          </w:p>
        </w:tc>
        <w:tc>
          <w:tcPr>
            <w:tcW w:w="961" w:type="dxa"/>
            <w:tcBorders>
              <w:top w:val="nil"/>
              <w:left w:val="nil"/>
              <w:bottom w:val="nil"/>
              <w:right w:val="nil"/>
            </w:tcBorders>
            <w:shd w:val="clear" w:color="auto" w:fill="auto"/>
            <w:noWrap/>
            <w:vAlign w:val="bottom"/>
            <w:hideMark/>
          </w:tcPr>
          <w:p w14:paraId="3DD321A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0.1707</w:t>
            </w:r>
          </w:p>
        </w:tc>
        <w:tc>
          <w:tcPr>
            <w:tcW w:w="1115" w:type="dxa"/>
            <w:tcBorders>
              <w:top w:val="nil"/>
              <w:left w:val="nil"/>
              <w:bottom w:val="nil"/>
              <w:right w:val="nil"/>
            </w:tcBorders>
            <w:shd w:val="clear" w:color="auto" w:fill="auto"/>
            <w:noWrap/>
            <w:vAlign w:val="bottom"/>
            <w:hideMark/>
          </w:tcPr>
          <w:p w14:paraId="67BFE8D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0.146</w:t>
            </w:r>
          </w:p>
        </w:tc>
        <w:tc>
          <w:tcPr>
            <w:tcW w:w="885" w:type="dxa"/>
            <w:tcBorders>
              <w:top w:val="nil"/>
              <w:left w:val="nil"/>
              <w:bottom w:val="nil"/>
              <w:right w:val="nil"/>
            </w:tcBorders>
            <w:shd w:val="clear" w:color="auto" w:fill="auto"/>
            <w:noWrap/>
            <w:vAlign w:val="bottom"/>
            <w:hideMark/>
          </w:tcPr>
          <w:p w14:paraId="4854C87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1.17</w:t>
            </w:r>
          </w:p>
        </w:tc>
        <w:tc>
          <w:tcPr>
            <w:tcW w:w="864" w:type="dxa"/>
            <w:tcBorders>
              <w:top w:val="nil"/>
              <w:left w:val="nil"/>
              <w:bottom w:val="nil"/>
              <w:right w:val="nil"/>
            </w:tcBorders>
            <w:shd w:val="clear" w:color="auto" w:fill="auto"/>
            <w:noWrap/>
            <w:vAlign w:val="bottom"/>
            <w:hideMark/>
          </w:tcPr>
          <w:p w14:paraId="779B4BD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0.243</w:t>
            </w:r>
          </w:p>
        </w:tc>
        <w:tc>
          <w:tcPr>
            <w:tcW w:w="1136" w:type="dxa"/>
            <w:tcBorders>
              <w:top w:val="nil"/>
              <w:left w:val="nil"/>
              <w:bottom w:val="nil"/>
              <w:right w:val="nil"/>
            </w:tcBorders>
            <w:shd w:val="clear" w:color="auto" w:fill="auto"/>
            <w:noWrap/>
            <w:vAlign w:val="bottom"/>
            <w:hideMark/>
          </w:tcPr>
          <w:p w14:paraId="1BB8F29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-0.117</w:t>
            </w:r>
          </w:p>
        </w:tc>
        <w:tc>
          <w:tcPr>
            <w:tcW w:w="1000" w:type="dxa"/>
            <w:tcBorders>
              <w:top w:val="nil"/>
              <w:left w:val="nil"/>
              <w:bottom w:val="nil"/>
              <w:right w:val="nil"/>
            </w:tcBorders>
            <w:shd w:val="clear" w:color="auto" w:fill="auto"/>
            <w:noWrap/>
            <w:vAlign w:val="bottom"/>
            <w:hideMark/>
          </w:tcPr>
          <w:p w14:paraId="2140286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0.458</w:t>
            </w:r>
          </w:p>
        </w:tc>
      </w:tr>
      <w:tr w:rsidR="0006183C" w:rsidRPr="0006183C" w14:paraId="21E5208E" w14:textId="77777777" w:rsidTr="0006183C">
        <w:trPr>
          <w:divId w:val="569117048"/>
          <w:trHeight w:val="288"/>
          <w:jc w:val="center"/>
        </w:trPr>
        <w:tc>
          <w:tcPr>
            <w:tcW w:w="1671" w:type="dxa"/>
            <w:tcBorders>
              <w:top w:val="nil"/>
              <w:left w:val="nil"/>
              <w:bottom w:val="nil"/>
              <w:right w:val="nil"/>
            </w:tcBorders>
            <w:shd w:val="clear" w:color="auto" w:fill="auto"/>
            <w:noWrap/>
            <w:vAlign w:val="bottom"/>
            <w:hideMark/>
          </w:tcPr>
          <w:p w14:paraId="7F30710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Delta MRO       </w:t>
            </w:r>
          </w:p>
        </w:tc>
        <w:tc>
          <w:tcPr>
            <w:tcW w:w="961" w:type="dxa"/>
            <w:tcBorders>
              <w:top w:val="nil"/>
              <w:left w:val="nil"/>
              <w:bottom w:val="nil"/>
              <w:right w:val="nil"/>
            </w:tcBorders>
            <w:shd w:val="clear" w:color="auto" w:fill="auto"/>
            <w:noWrap/>
            <w:vAlign w:val="bottom"/>
            <w:hideMark/>
          </w:tcPr>
          <w:p w14:paraId="006D94B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-0.0326</w:t>
            </w:r>
          </w:p>
        </w:tc>
        <w:tc>
          <w:tcPr>
            <w:tcW w:w="1115" w:type="dxa"/>
            <w:tcBorders>
              <w:top w:val="nil"/>
              <w:left w:val="nil"/>
              <w:bottom w:val="nil"/>
              <w:right w:val="nil"/>
            </w:tcBorders>
            <w:shd w:val="clear" w:color="auto" w:fill="auto"/>
            <w:noWrap/>
            <w:vAlign w:val="bottom"/>
            <w:hideMark/>
          </w:tcPr>
          <w:p w14:paraId="06EE91D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0.014</w:t>
            </w:r>
          </w:p>
        </w:tc>
        <w:tc>
          <w:tcPr>
            <w:tcW w:w="885" w:type="dxa"/>
            <w:tcBorders>
              <w:top w:val="nil"/>
              <w:left w:val="nil"/>
              <w:bottom w:val="nil"/>
              <w:right w:val="nil"/>
            </w:tcBorders>
            <w:shd w:val="clear" w:color="auto" w:fill="auto"/>
            <w:noWrap/>
            <w:vAlign w:val="bottom"/>
            <w:hideMark/>
          </w:tcPr>
          <w:p w14:paraId="095D8D6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-2.334</w:t>
            </w:r>
          </w:p>
        </w:tc>
        <w:tc>
          <w:tcPr>
            <w:tcW w:w="864" w:type="dxa"/>
            <w:tcBorders>
              <w:top w:val="nil"/>
              <w:left w:val="nil"/>
              <w:bottom w:val="nil"/>
              <w:right w:val="nil"/>
            </w:tcBorders>
            <w:shd w:val="clear" w:color="auto" w:fill="auto"/>
            <w:noWrap/>
            <w:vAlign w:val="bottom"/>
            <w:hideMark/>
          </w:tcPr>
          <w:p w14:paraId="65071C9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w:t>
            </w:r>
          </w:p>
        </w:tc>
        <w:tc>
          <w:tcPr>
            <w:tcW w:w="1136" w:type="dxa"/>
            <w:tcBorders>
              <w:top w:val="nil"/>
              <w:left w:val="nil"/>
              <w:bottom w:val="nil"/>
              <w:right w:val="nil"/>
            </w:tcBorders>
            <w:shd w:val="clear" w:color="auto" w:fill="auto"/>
            <w:noWrap/>
            <w:vAlign w:val="bottom"/>
            <w:hideMark/>
          </w:tcPr>
          <w:p w14:paraId="5CDFF54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-0.06</w:t>
            </w:r>
          </w:p>
        </w:tc>
        <w:tc>
          <w:tcPr>
            <w:tcW w:w="1000" w:type="dxa"/>
            <w:tcBorders>
              <w:top w:val="nil"/>
              <w:left w:val="nil"/>
              <w:bottom w:val="nil"/>
              <w:right w:val="nil"/>
            </w:tcBorders>
            <w:shd w:val="clear" w:color="auto" w:fill="auto"/>
            <w:noWrap/>
            <w:vAlign w:val="bottom"/>
            <w:hideMark/>
          </w:tcPr>
          <w:p w14:paraId="16D26E7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-0.005</w:t>
            </w:r>
          </w:p>
        </w:tc>
      </w:tr>
      <w:tr w:rsidR="0006183C" w:rsidRPr="0006183C" w14:paraId="348115C1" w14:textId="77777777" w:rsidTr="0006183C">
        <w:trPr>
          <w:divId w:val="569117048"/>
          <w:trHeight w:val="288"/>
          <w:jc w:val="center"/>
        </w:trPr>
        <w:tc>
          <w:tcPr>
            <w:tcW w:w="2632" w:type="dxa"/>
            <w:gridSpan w:val="2"/>
            <w:tcBorders>
              <w:top w:val="single" w:sz="4" w:space="0" w:color="auto"/>
              <w:left w:val="nil"/>
              <w:bottom w:val="nil"/>
              <w:right w:val="nil"/>
            </w:tcBorders>
            <w:shd w:val="clear" w:color="auto" w:fill="auto"/>
            <w:noWrap/>
            <w:vAlign w:val="bottom"/>
            <w:hideMark/>
          </w:tcPr>
          <w:p w14:paraId="6E1EA01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Omnibus:      </w:t>
            </w:r>
          </w:p>
        </w:tc>
        <w:tc>
          <w:tcPr>
            <w:tcW w:w="1115" w:type="dxa"/>
            <w:tcBorders>
              <w:top w:val="single" w:sz="4" w:space="0" w:color="auto"/>
              <w:left w:val="nil"/>
              <w:bottom w:val="nil"/>
              <w:right w:val="nil"/>
            </w:tcBorders>
            <w:shd w:val="clear" w:color="auto" w:fill="auto"/>
            <w:noWrap/>
            <w:vAlign w:val="bottom"/>
            <w:hideMark/>
          </w:tcPr>
          <w:p w14:paraId="27F01DD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269.377</w:t>
            </w:r>
          </w:p>
        </w:tc>
        <w:tc>
          <w:tcPr>
            <w:tcW w:w="885" w:type="dxa"/>
            <w:tcBorders>
              <w:top w:val="single" w:sz="4" w:space="0" w:color="auto"/>
              <w:left w:val="nil"/>
              <w:bottom w:val="nil"/>
              <w:right w:val="nil"/>
            </w:tcBorders>
            <w:shd w:val="clear" w:color="auto" w:fill="auto"/>
            <w:noWrap/>
            <w:vAlign w:val="bottom"/>
            <w:hideMark/>
          </w:tcPr>
          <w:p w14:paraId="41B4D33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single" w:sz="4" w:space="0" w:color="auto"/>
              <w:left w:val="nil"/>
              <w:bottom w:val="nil"/>
              <w:right w:val="nil"/>
            </w:tcBorders>
            <w:shd w:val="clear" w:color="auto" w:fill="auto"/>
            <w:noWrap/>
            <w:vAlign w:val="bottom"/>
            <w:hideMark/>
          </w:tcPr>
          <w:p w14:paraId="5116A05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Durbin-Watson:     </w:t>
            </w:r>
          </w:p>
        </w:tc>
        <w:tc>
          <w:tcPr>
            <w:tcW w:w="1000" w:type="dxa"/>
            <w:tcBorders>
              <w:top w:val="single" w:sz="4" w:space="0" w:color="auto"/>
              <w:left w:val="nil"/>
              <w:bottom w:val="nil"/>
              <w:right w:val="nil"/>
            </w:tcBorders>
            <w:shd w:val="clear" w:color="auto" w:fill="auto"/>
            <w:noWrap/>
            <w:vAlign w:val="bottom"/>
            <w:hideMark/>
          </w:tcPr>
          <w:p w14:paraId="6C131E5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1.993</w:t>
            </w:r>
          </w:p>
        </w:tc>
      </w:tr>
      <w:tr w:rsidR="0006183C" w:rsidRPr="0006183C" w14:paraId="797DC735" w14:textId="77777777" w:rsidTr="0006183C">
        <w:trPr>
          <w:divId w:val="569117048"/>
          <w:trHeight w:val="288"/>
          <w:jc w:val="center"/>
        </w:trPr>
        <w:tc>
          <w:tcPr>
            <w:tcW w:w="2632" w:type="dxa"/>
            <w:gridSpan w:val="2"/>
            <w:tcBorders>
              <w:top w:val="nil"/>
              <w:left w:val="nil"/>
              <w:bottom w:val="nil"/>
              <w:right w:val="nil"/>
            </w:tcBorders>
            <w:shd w:val="clear" w:color="auto" w:fill="auto"/>
            <w:noWrap/>
            <w:vAlign w:val="bottom"/>
            <w:hideMark/>
          </w:tcPr>
          <w:p w14:paraId="572C4EA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Prob(Omnibus):</w:t>
            </w:r>
          </w:p>
        </w:tc>
        <w:tc>
          <w:tcPr>
            <w:tcW w:w="1115" w:type="dxa"/>
            <w:tcBorders>
              <w:top w:val="nil"/>
              <w:left w:val="nil"/>
              <w:bottom w:val="nil"/>
              <w:right w:val="nil"/>
            </w:tcBorders>
            <w:shd w:val="clear" w:color="auto" w:fill="auto"/>
            <w:noWrap/>
            <w:vAlign w:val="bottom"/>
            <w:hideMark/>
          </w:tcPr>
          <w:p w14:paraId="59D31A3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885" w:type="dxa"/>
            <w:tcBorders>
              <w:top w:val="nil"/>
              <w:left w:val="nil"/>
              <w:bottom w:val="nil"/>
              <w:right w:val="nil"/>
            </w:tcBorders>
            <w:shd w:val="clear" w:color="auto" w:fill="auto"/>
            <w:noWrap/>
            <w:vAlign w:val="bottom"/>
            <w:hideMark/>
          </w:tcPr>
          <w:p w14:paraId="12A181E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59005CA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Jarque-Bera (JB):  </w:t>
            </w:r>
          </w:p>
        </w:tc>
        <w:tc>
          <w:tcPr>
            <w:tcW w:w="1000" w:type="dxa"/>
            <w:tcBorders>
              <w:top w:val="nil"/>
              <w:left w:val="nil"/>
              <w:bottom w:val="nil"/>
              <w:right w:val="nil"/>
            </w:tcBorders>
            <w:shd w:val="clear" w:color="auto" w:fill="auto"/>
            <w:noWrap/>
            <w:vAlign w:val="bottom"/>
            <w:hideMark/>
          </w:tcPr>
          <w:p w14:paraId="7DEFF45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11479.61</w:t>
            </w:r>
          </w:p>
        </w:tc>
      </w:tr>
      <w:tr w:rsidR="0006183C" w:rsidRPr="0006183C" w14:paraId="7AC40300" w14:textId="77777777" w:rsidTr="0006183C">
        <w:trPr>
          <w:divId w:val="569117048"/>
          <w:trHeight w:val="288"/>
          <w:jc w:val="center"/>
        </w:trPr>
        <w:tc>
          <w:tcPr>
            <w:tcW w:w="2632" w:type="dxa"/>
            <w:gridSpan w:val="2"/>
            <w:tcBorders>
              <w:top w:val="nil"/>
              <w:left w:val="nil"/>
              <w:bottom w:val="nil"/>
              <w:right w:val="nil"/>
            </w:tcBorders>
            <w:shd w:val="clear" w:color="auto" w:fill="auto"/>
            <w:noWrap/>
            <w:vAlign w:val="bottom"/>
            <w:hideMark/>
          </w:tcPr>
          <w:p w14:paraId="6950242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Skew:         </w:t>
            </w:r>
          </w:p>
        </w:tc>
        <w:tc>
          <w:tcPr>
            <w:tcW w:w="1115" w:type="dxa"/>
            <w:tcBorders>
              <w:top w:val="nil"/>
              <w:left w:val="nil"/>
              <w:bottom w:val="nil"/>
              <w:right w:val="nil"/>
            </w:tcBorders>
            <w:shd w:val="clear" w:color="auto" w:fill="auto"/>
            <w:noWrap/>
            <w:vAlign w:val="bottom"/>
            <w:hideMark/>
          </w:tcPr>
          <w:p w14:paraId="4288D02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4.231</w:t>
            </w:r>
          </w:p>
        </w:tc>
        <w:tc>
          <w:tcPr>
            <w:tcW w:w="885" w:type="dxa"/>
            <w:tcBorders>
              <w:top w:val="nil"/>
              <w:left w:val="nil"/>
              <w:bottom w:val="nil"/>
              <w:right w:val="nil"/>
            </w:tcBorders>
            <w:shd w:val="clear" w:color="auto" w:fill="auto"/>
            <w:noWrap/>
            <w:vAlign w:val="bottom"/>
            <w:hideMark/>
          </w:tcPr>
          <w:p w14:paraId="15A6410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619BA1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Prob(JB):          </w:t>
            </w:r>
          </w:p>
        </w:tc>
        <w:tc>
          <w:tcPr>
            <w:tcW w:w="1000" w:type="dxa"/>
            <w:tcBorders>
              <w:top w:val="nil"/>
              <w:left w:val="nil"/>
              <w:bottom w:val="nil"/>
              <w:right w:val="nil"/>
            </w:tcBorders>
            <w:shd w:val="clear" w:color="auto" w:fill="auto"/>
            <w:noWrap/>
            <w:vAlign w:val="bottom"/>
            <w:hideMark/>
          </w:tcPr>
          <w:p w14:paraId="440479D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r>
      <w:tr w:rsidR="0006183C" w:rsidRPr="0006183C" w14:paraId="7C2C2336" w14:textId="77777777" w:rsidTr="0006183C">
        <w:trPr>
          <w:divId w:val="569117048"/>
          <w:trHeight w:val="288"/>
          <w:jc w:val="center"/>
        </w:trPr>
        <w:tc>
          <w:tcPr>
            <w:tcW w:w="2632" w:type="dxa"/>
            <w:gridSpan w:val="2"/>
            <w:tcBorders>
              <w:top w:val="nil"/>
              <w:left w:val="nil"/>
              <w:bottom w:val="single" w:sz="4" w:space="0" w:color="auto"/>
              <w:right w:val="nil"/>
            </w:tcBorders>
            <w:shd w:val="clear" w:color="auto" w:fill="auto"/>
            <w:noWrap/>
            <w:vAlign w:val="bottom"/>
            <w:hideMark/>
          </w:tcPr>
          <w:p w14:paraId="4CB4108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Kurtosis:     </w:t>
            </w:r>
          </w:p>
        </w:tc>
        <w:tc>
          <w:tcPr>
            <w:tcW w:w="1115" w:type="dxa"/>
            <w:tcBorders>
              <w:top w:val="nil"/>
              <w:left w:val="nil"/>
              <w:bottom w:val="single" w:sz="4" w:space="0" w:color="auto"/>
              <w:right w:val="nil"/>
            </w:tcBorders>
            <w:shd w:val="clear" w:color="auto" w:fill="auto"/>
            <w:noWrap/>
            <w:vAlign w:val="bottom"/>
            <w:hideMark/>
          </w:tcPr>
          <w:p w14:paraId="32EB233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34.695</w:t>
            </w:r>
          </w:p>
        </w:tc>
        <w:tc>
          <w:tcPr>
            <w:tcW w:w="885" w:type="dxa"/>
            <w:tcBorders>
              <w:top w:val="nil"/>
              <w:left w:val="nil"/>
              <w:bottom w:val="single" w:sz="4" w:space="0" w:color="auto"/>
              <w:right w:val="nil"/>
            </w:tcBorders>
            <w:shd w:val="clear" w:color="auto" w:fill="auto"/>
            <w:noWrap/>
            <w:vAlign w:val="bottom"/>
            <w:hideMark/>
          </w:tcPr>
          <w:p w14:paraId="01B3182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nil"/>
              <w:left w:val="nil"/>
              <w:bottom w:val="single" w:sz="4" w:space="0" w:color="auto"/>
              <w:right w:val="nil"/>
            </w:tcBorders>
            <w:shd w:val="clear" w:color="auto" w:fill="auto"/>
            <w:noWrap/>
            <w:vAlign w:val="bottom"/>
            <w:hideMark/>
          </w:tcPr>
          <w:p w14:paraId="4EB3415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Cond. No.          </w:t>
            </w:r>
          </w:p>
        </w:tc>
        <w:tc>
          <w:tcPr>
            <w:tcW w:w="1000" w:type="dxa"/>
            <w:tcBorders>
              <w:top w:val="nil"/>
              <w:left w:val="nil"/>
              <w:bottom w:val="single" w:sz="4" w:space="0" w:color="auto"/>
              <w:right w:val="nil"/>
            </w:tcBorders>
            <w:shd w:val="clear" w:color="auto" w:fill="auto"/>
            <w:noWrap/>
            <w:vAlign w:val="bottom"/>
            <w:hideMark/>
          </w:tcPr>
          <w:p w14:paraId="4DDEECB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76.3</w:t>
            </w:r>
          </w:p>
        </w:tc>
      </w:tr>
    </w:tbl>
    <w:p w14:paraId="6F6DBAEA" w14:textId="4692792C" w:rsidR="00060515" w:rsidRDefault="00370D75" w:rsidP="00A07E95">
      <w:pPr>
        <w:spacing w:line="240" w:lineRule="auto"/>
        <w:jc w:val="center"/>
        <w:rPr>
          <w:rFonts w:ascii="Times New Roman" w:hAnsi="Times New Roman" w:cs="Times New Roman"/>
          <w:sz w:val="24"/>
          <w:szCs w:val="24"/>
        </w:rPr>
      </w:pPr>
      <w:r>
        <w:rPr>
          <w:rFonts w:ascii="Times New Roman" w:hAnsi="Times New Roman" w:cs="Times New Roman"/>
          <w:sz w:val="24"/>
          <w:szCs w:val="24"/>
        </w:rPr>
        <w:fldChar w:fldCharType="end"/>
      </w:r>
      <w:r w:rsidR="00060515">
        <w:rPr>
          <w:rFonts w:ascii="Times New Roman" w:hAnsi="Times New Roman" w:cs="Times New Roman"/>
          <w:sz w:val="24"/>
          <w:szCs w:val="24"/>
        </w:rPr>
        <w:t>Source: Own elaboration.</w:t>
      </w:r>
    </w:p>
    <w:p w14:paraId="2A12BC58" w14:textId="77777777" w:rsidR="00060515" w:rsidRDefault="00060515" w:rsidP="0079605B">
      <w:pPr>
        <w:spacing w:line="240" w:lineRule="auto"/>
        <w:rPr>
          <w:rFonts w:ascii="Times New Roman" w:hAnsi="Times New Roman" w:cs="Times New Roman"/>
          <w:sz w:val="24"/>
          <w:szCs w:val="24"/>
        </w:rPr>
      </w:pPr>
    </w:p>
    <w:p w14:paraId="34F390DF" w14:textId="77777777" w:rsidR="00F95B88" w:rsidRDefault="00F95B88" w:rsidP="0079605B">
      <w:pPr>
        <w:spacing w:line="240" w:lineRule="auto"/>
        <w:rPr>
          <w:rFonts w:ascii="Times New Roman" w:hAnsi="Times New Roman" w:cs="Times New Roman"/>
          <w:sz w:val="24"/>
          <w:szCs w:val="24"/>
        </w:rPr>
      </w:pPr>
    </w:p>
    <w:p w14:paraId="2B83D92F" w14:textId="77777777" w:rsidR="00F95B88" w:rsidRDefault="00F95B88" w:rsidP="0079605B">
      <w:pPr>
        <w:spacing w:line="240" w:lineRule="auto"/>
        <w:rPr>
          <w:rFonts w:ascii="Times New Roman" w:hAnsi="Times New Roman" w:cs="Times New Roman"/>
          <w:sz w:val="24"/>
          <w:szCs w:val="24"/>
        </w:rPr>
      </w:pPr>
    </w:p>
    <w:p w14:paraId="2394FB16" w14:textId="24646529" w:rsidR="0006183C" w:rsidRPr="0006183C" w:rsidRDefault="00060515" w:rsidP="0006183C">
      <w:pPr>
        <w:spacing w:before="240" w:line="240" w:lineRule="auto"/>
        <w:jc w:val="center"/>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lastRenderedPageBreak/>
        <w:t>Table 11. Regression result for specification 3 of equation 2</w:t>
      </w:r>
      <w:r w:rsidR="00370D75">
        <w:fldChar w:fldCharType="begin"/>
      </w:r>
      <w:r w:rsidR="00370D75">
        <w:instrText xml:space="preserve"> LINK </w:instrText>
      </w:r>
      <w:r w:rsidR="0011635A">
        <w:instrText xml:space="preserve">Excel.Sheet.12 "C:\\Users\\camil\\Dropbox\\Artículos académicos\\Similarity of ECB’s communication\\2Tables.xlsx" Reg2_3!R2C1:R15C7 </w:instrText>
      </w:r>
      <w:r w:rsidR="00370D75">
        <w:instrText xml:space="preserve">\a \f 4 \h  \* MERGEFORMAT </w:instrText>
      </w:r>
      <w:r w:rsidR="00370D75">
        <w:fldChar w:fldCharType="separate"/>
      </w:r>
    </w:p>
    <w:tbl>
      <w:tblPr>
        <w:tblW w:w="7622" w:type="dxa"/>
        <w:jc w:val="center"/>
        <w:tblLook w:val="04A0" w:firstRow="1" w:lastRow="0" w:firstColumn="1" w:lastColumn="0" w:noHBand="0" w:noVBand="1"/>
      </w:tblPr>
      <w:tblGrid>
        <w:gridCol w:w="1978"/>
        <w:gridCol w:w="718"/>
        <w:gridCol w:w="1173"/>
        <w:gridCol w:w="827"/>
        <w:gridCol w:w="864"/>
        <w:gridCol w:w="1136"/>
        <w:gridCol w:w="1000"/>
      </w:tblGrid>
      <w:tr w:rsidR="0006183C" w:rsidRPr="0006183C" w14:paraId="37D2DC0C" w14:textId="77777777" w:rsidTr="0006183C">
        <w:trPr>
          <w:divId w:val="825050987"/>
          <w:trHeight w:val="288"/>
          <w:jc w:val="center"/>
        </w:trPr>
        <w:tc>
          <w:tcPr>
            <w:tcW w:w="2622" w:type="dxa"/>
            <w:gridSpan w:val="2"/>
            <w:tcBorders>
              <w:top w:val="single" w:sz="4" w:space="0" w:color="auto"/>
              <w:left w:val="nil"/>
              <w:bottom w:val="nil"/>
              <w:right w:val="nil"/>
            </w:tcBorders>
            <w:shd w:val="clear" w:color="auto" w:fill="auto"/>
            <w:noWrap/>
            <w:vAlign w:val="bottom"/>
            <w:hideMark/>
          </w:tcPr>
          <w:p w14:paraId="6E4ACD86" w14:textId="4D7BDB32"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Dep. Variable:   </w:t>
            </w:r>
          </w:p>
        </w:tc>
        <w:tc>
          <w:tcPr>
            <w:tcW w:w="2000" w:type="dxa"/>
            <w:gridSpan w:val="2"/>
            <w:tcBorders>
              <w:top w:val="single" w:sz="4" w:space="0" w:color="auto"/>
              <w:left w:val="nil"/>
              <w:bottom w:val="nil"/>
              <w:right w:val="nil"/>
            </w:tcBorders>
            <w:shd w:val="clear" w:color="auto" w:fill="auto"/>
            <w:noWrap/>
            <w:vAlign w:val="bottom"/>
            <w:hideMark/>
          </w:tcPr>
          <w:p w14:paraId="46BB76A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AV_cum_ab_returns</w:t>
            </w:r>
            <w:proofErr w:type="spellEnd"/>
          </w:p>
        </w:tc>
        <w:tc>
          <w:tcPr>
            <w:tcW w:w="2000" w:type="dxa"/>
            <w:gridSpan w:val="2"/>
            <w:tcBorders>
              <w:top w:val="single" w:sz="4" w:space="0" w:color="auto"/>
              <w:left w:val="nil"/>
              <w:bottom w:val="nil"/>
              <w:right w:val="nil"/>
            </w:tcBorders>
            <w:shd w:val="clear" w:color="auto" w:fill="auto"/>
            <w:noWrap/>
            <w:vAlign w:val="bottom"/>
            <w:hideMark/>
          </w:tcPr>
          <w:p w14:paraId="20C3D0F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R-squared:         </w:t>
            </w:r>
          </w:p>
        </w:tc>
        <w:tc>
          <w:tcPr>
            <w:tcW w:w="1000" w:type="dxa"/>
            <w:tcBorders>
              <w:top w:val="single" w:sz="4" w:space="0" w:color="auto"/>
              <w:left w:val="nil"/>
              <w:bottom w:val="nil"/>
              <w:right w:val="nil"/>
            </w:tcBorders>
            <w:shd w:val="clear" w:color="auto" w:fill="auto"/>
            <w:noWrap/>
            <w:vAlign w:val="bottom"/>
            <w:hideMark/>
          </w:tcPr>
          <w:p w14:paraId="1333731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0.024</w:t>
            </w:r>
          </w:p>
        </w:tc>
      </w:tr>
      <w:tr w:rsidR="0006183C" w:rsidRPr="0006183C" w14:paraId="25D91728" w14:textId="77777777" w:rsidTr="0006183C">
        <w:trPr>
          <w:divId w:val="825050987"/>
          <w:trHeight w:val="288"/>
          <w:jc w:val="center"/>
        </w:trPr>
        <w:tc>
          <w:tcPr>
            <w:tcW w:w="2622" w:type="dxa"/>
            <w:gridSpan w:val="2"/>
            <w:tcBorders>
              <w:top w:val="nil"/>
              <w:left w:val="nil"/>
              <w:bottom w:val="nil"/>
              <w:right w:val="nil"/>
            </w:tcBorders>
            <w:shd w:val="clear" w:color="auto" w:fill="auto"/>
            <w:noWrap/>
            <w:vAlign w:val="bottom"/>
            <w:hideMark/>
          </w:tcPr>
          <w:p w14:paraId="2F50960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Model:           </w:t>
            </w:r>
          </w:p>
        </w:tc>
        <w:tc>
          <w:tcPr>
            <w:tcW w:w="2000" w:type="dxa"/>
            <w:gridSpan w:val="2"/>
            <w:tcBorders>
              <w:top w:val="nil"/>
              <w:left w:val="nil"/>
              <w:bottom w:val="nil"/>
              <w:right w:val="nil"/>
            </w:tcBorders>
            <w:shd w:val="clear" w:color="auto" w:fill="auto"/>
            <w:noWrap/>
            <w:vAlign w:val="bottom"/>
            <w:hideMark/>
          </w:tcPr>
          <w:p w14:paraId="4198199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OLS              </w:t>
            </w:r>
          </w:p>
        </w:tc>
        <w:tc>
          <w:tcPr>
            <w:tcW w:w="2000" w:type="dxa"/>
            <w:gridSpan w:val="2"/>
            <w:tcBorders>
              <w:top w:val="nil"/>
              <w:left w:val="nil"/>
              <w:bottom w:val="nil"/>
              <w:right w:val="nil"/>
            </w:tcBorders>
            <w:shd w:val="clear" w:color="auto" w:fill="auto"/>
            <w:noWrap/>
            <w:vAlign w:val="bottom"/>
            <w:hideMark/>
          </w:tcPr>
          <w:p w14:paraId="031B165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Adj. R-squared:    </w:t>
            </w:r>
          </w:p>
        </w:tc>
        <w:tc>
          <w:tcPr>
            <w:tcW w:w="1000" w:type="dxa"/>
            <w:tcBorders>
              <w:top w:val="nil"/>
              <w:left w:val="nil"/>
              <w:bottom w:val="nil"/>
              <w:right w:val="nil"/>
            </w:tcBorders>
            <w:shd w:val="clear" w:color="auto" w:fill="auto"/>
            <w:noWrap/>
            <w:vAlign w:val="bottom"/>
            <w:hideMark/>
          </w:tcPr>
          <w:p w14:paraId="4134E8F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w:t>
            </w:r>
          </w:p>
        </w:tc>
      </w:tr>
      <w:tr w:rsidR="0006183C" w:rsidRPr="0006183C" w14:paraId="0061021C" w14:textId="77777777" w:rsidTr="0006183C">
        <w:trPr>
          <w:divId w:val="825050987"/>
          <w:trHeight w:val="288"/>
          <w:jc w:val="center"/>
        </w:trPr>
        <w:tc>
          <w:tcPr>
            <w:tcW w:w="2622" w:type="dxa"/>
            <w:gridSpan w:val="2"/>
            <w:tcBorders>
              <w:top w:val="nil"/>
              <w:left w:val="nil"/>
              <w:bottom w:val="nil"/>
              <w:right w:val="nil"/>
            </w:tcBorders>
            <w:shd w:val="clear" w:color="auto" w:fill="auto"/>
            <w:noWrap/>
            <w:vAlign w:val="bottom"/>
            <w:hideMark/>
          </w:tcPr>
          <w:p w14:paraId="145A2D7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Method:          </w:t>
            </w:r>
          </w:p>
        </w:tc>
        <w:tc>
          <w:tcPr>
            <w:tcW w:w="2000" w:type="dxa"/>
            <w:gridSpan w:val="2"/>
            <w:tcBorders>
              <w:top w:val="nil"/>
              <w:left w:val="nil"/>
              <w:bottom w:val="nil"/>
              <w:right w:val="nil"/>
            </w:tcBorders>
            <w:shd w:val="clear" w:color="auto" w:fill="auto"/>
            <w:noWrap/>
            <w:vAlign w:val="bottom"/>
            <w:hideMark/>
          </w:tcPr>
          <w:p w14:paraId="628E7F6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Least Squares    </w:t>
            </w:r>
          </w:p>
        </w:tc>
        <w:tc>
          <w:tcPr>
            <w:tcW w:w="2000" w:type="dxa"/>
            <w:gridSpan w:val="2"/>
            <w:tcBorders>
              <w:top w:val="nil"/>
              <w:left w:val="nil"/>
              <w:bottom w:val="nil"/>
              <w:right w:val="nil"/>
            </w:tcBorders>
            <w:shd w:val="clear" w:color="auto" w:fill="auto"/>
            <w:noWrap/>
            <w:vAlign w:val="bottom"/>
            <w:hideMark/>
          </w:tcPr>
          <w:p w14:paraId="0FBA581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F-statistic:       </w:t>
            </w:r>
          </w:p>
        </w:tc>
        <w:tc>
          <w:tcPr>
            <w:tcW w:w="1000" w:type="dxa"/>
            <w:tcBorders>
              <w:top w:val="nil"/>
              <w:left w:val="nil"/>
              <w:bottom w:val="nil"/>
              <w:right w:val="nil"/>
            </w:tcBorders>
            <w:shd w:val="clear" w:color="auto" w:fill="auto"/>
            <w:noWrap/>
            <w:vAlign w:val="bottom"/>
            <w:hideMark/>
          </w:tcPr>
          <w:p w14:paraId="7AD2B46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6.301</w:t>
            </w:r>
          </w:p>
        </w:tc>
      </w:tr>
      <w:tr w:rsidR="0006183C" w:rsidRPr="0006183C" w14:paraId="1E313940" w14:textId="77777777" w:rsidTr="0006183C">
        <w:trPr>
          <w:divId w:val="825050987"/>
          <w:trHeight w:val="288"/>
          <w:jc w:val="center"/>
        </w:trPr>
        <w:tc>
          <w:tcPr>
            <w:tcW w:w="2622" w:type="dxa"/>
            <w:gridSpan w:val="2"/>
            <w:tcBorders>
              <w:top w:val="nil"/>
              <w:left w:val="nil"/>
              <w:bottom w:val="nil"/>
              <w:right w:val="nil"/>
            </w:tcBorders>
            <w:shd w:val="clear" w:color="auto" w:fill="auto"/>
            <w:noWrap/>
            <w:vAlign w:val="bottom"/>
            <w:hideMark/>
          </w:tcPr>
          <w:p w14:paraId="249AA25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No. Observations:</w:t>
            </w:r>
          </w:p>
        </w:tc>
        <w:tc>
          <w:tcPr>
            <w:tcW w:w="1173" w:type="dxa"/>
            <w:tcBorders>
              <w:top w:val="nil"/>
              <w:left w:val="nil"/>
              <w:bottom w:val="nil"/>
              <w:right w:val="nil"/>
            </w:tcBorders>
            <w:shd w:val="clear" w:color="auto" w:fill="auto"/>
            <w:noWrap/>
            <w:vAlign w:val="bottom"/>
            <w:hideMark/>
          </w:tcPr>
          <w:p w14:paraId="5B52F05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256</w:t>
            </w:r>
          </w:p>
        </w:tc>
        <w:tc>
          <w:tcPr>
            <w:tcW w:w="827" w:type="dxa"/>
            <w:tcBorders>
              <w:top w:val="nil"/>
              <w:left w:val="nil"/>
              <w:bottom w:val="nil"/>
              <w:right w:val="nil"/>
            </w:tcBorders>
            <w:shd w:val="clear" w:color="auto" w:fill="auto"/>
            <w:noWrap/>
            <w:vAlign w:val="bottom"/>
            <w:hideMark/>
          </w:tcPr>
          <w:p w14:paraId="17DA66A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30A1385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 (F-statistic):</w:t>
            </w:r>
          </w:p>
        </w:tc>
        <w:tc>
          <w:tcPr>
            <w:tcW w:w="1000" w:type="dxa"/>
            <w:tcBorders>
              <w:top w:val="nil"/>
              <w:left w:val="nil"/>
              <w:bottom w:val="nil"/>
              <w:right w:val="nil"/>
            </w:tcBorders>
            <w:shd w:val="clear" w:color="auto" w:fill="auto"/>
            <w:noWrap/>
            <w:vAlign w:val="bottom"/>
            <w:hideMark/>
          </w:tcPr>
          <w:p w14:paraId="33FA238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0.0127</w:t>
            </w:r>
          </w:p>
        </w:tc>
      </w:tr>
      <w:tr w:rsidR="0006183C" w:rsidRPr="0006183C" w14:paraId="3320A30B" w14:textId="77777777" w:rsidTr="0006183C">
        <w:trPr>
          <w:divId w:val="825050987"/>
          <w:trHeight w:val="288"/>
          <w:jc w:val="center"/>
        </w:trPr>
        <w:tc>
          <w:tcPr>
            <w:tcW w:w="2622" w:type="dxa"/>
            <w:gridSpan w:val="2"/>
            <w:tcBorders>
              <w:top w:val="nil"/>
              <w:left w:val="nil"/>
              <w:bottom w:val="nil"/>
              <w:right w:val="nil"/>
            </w:tcBorders>
            <w:shd w:val="clear" w:color="auto" w:fill="auto"/>
            <w:noWrap/>
            <w:vAlign w:val="bottom"/>
            <w:hideMark/>
          </w:tcPr>
          <w:p w14:paraId="616E0BD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Residuals:    </w:t>
            </w:r>
          </w:p>
        </w:tc>
        <w:tc>
          <w:tcPr>
            <w:tcW w:w="1173" w:type="dxa"/>
            <w:tcBorders>
              <w:top w:val="nil"/>
              <w:left w:val="nil"/>
              <w:bottom w:val="nil"/>
              <w:right w:val="nil"/>
            </w:tcBorders>
            <w:shd w:val="clear" w:color="auto" w:fill="auto"/>
            <w:noWrap/>
            <w:vAlign w:val="bottom"/>
            <w:hideMark/>
          </w:tcPr>
          <w:p w14:paraId="55C9FF4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254</w:t>
            </w:r>
          </w:p>
        </w:tc>
        <w:tc>
          <w:tcPr>
            <w:tcW w:w="827" w:type="dxa"/>
            <w:tcBorders>
              <w:top w:val="nil"/>
              <w:left w:val="nil"/>
              <w:bottom w:val="nil"/>
              <w:right w:val="nil"/>
            </w:tcBorders>
            <w:shd w:val="clear" w:color="auto" w:fill="auto"/>
            <w:noWrap/>
            <w:vAlign w:val="bottom"/>
            <w:hideMark/>
          </w:tcPr>
          <w:p w14:paraId="4153AA3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41B54B1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Log-Likelihood:    </w:t>
            </w:r>
          </w:p>
        </w:tc>
        <w:tc>
          <w:tcPr>
            <w:tcW w:w="1000" w:type="dxa"/>
            <w:tcBorders>
              <w:top w:val="nil"/>
              <w:left w:val="nil"/>
              <w:bottom w:val="nil"/>
              <w:right w:val="nil"/>
            </w:tcBorders>
            <w:shd w:val="clear" w:color="auto" w:fill="auto"/>
            <w:noWrap/>
            <w:vAlign w:val="bottom"/>
            <w:hideMark/>
          </w:tcPr>
          <w:p w14:paraId="630E355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512.39</w:t>
            </w:r>
          </w:p>
        </w:tc>
      </w:tr>
      <w:tr w:rsidR="0006183C" w:rsidRPr="0006183C" w14:paraId="7C305685" w14:textId="77777777" w:rsidTr="0006183C">
        <w:trPr>
          <w:divId w:val="825050987"/>
          <w:trHeight w:val="288"/>
          <w:jc w:val="center"/>
        </w:trPr>
        <w:tc>
          <w:tcPr>
            <w:tcW w:w="2622" w:type="dxa"/>
            <w:gridSpan w:val="2"/>
            <w:tcBorders>
              <w:top w:val="nil"/>
              <w:left w:val="nil"/>
              <w:bottom w:val="nil"/>
              <w:right w:val="nil"/>
            </w:tcBorders>
            <w:shd w:val="clear" w:color="auto" w:fill="auto"/>
            <w:noWrap/>
            <w:vAlign w:val="bottom"/>
            <w:hideMark/>
          </w:tcPr>
          <w:p w14:paraId="061BBA6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Model:        </w:t>
            </w:r>
          </w:p>
        </w:tc>
        <w:tc>
          <w:tcPr>
            <w:tcW w:w="1173" w:type="dxa"/>
            <w:tcBorders>
              <w:top w:val="nil"/>
              <w:left w:val="nil"/>
              <w:bottom w:val="nil"/>
              <w:right w:val="nil"/>
            </w:tcBorders>
            <w:shd w:val="clear" w:color="auto" w:fill="auto"/>
            <w:noWrap/>
            <w:vAlign w:val="bottom"/>
            <w:hideMark/>
          </w:tcPr>
          <w:p w14:paraId="70CBFB3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w:t>
            </w:r>
          </w:p>
        </w:tc>
        <w:tc>
          <w:tcPr>
            <w:tcW w:w="827" w:type="dxa"/>
            <w:tcBorders>
              <w:top w:val="nil"/>
              <w:left w:val="nil"/>
              <w:bottom w:val="nil"/>
              <w:right w:val="nil"/>
            </w:tcBorders>
            <w:shd w:val="clear" w:color="auto" w:fill="auto"/>
            <w:noWrap/>
            <w:vAlign w:val="bottom"/>
            <w:hideMark/>
          </w:tcPr>
          <w:p w14:paraId="5C70F3A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7440079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AIC:               </w:t>
            </w:r>
          </w:p>
        </w:tc>
        <w:tc>
          <w:tcPr>
            <w:tcW w:w="1000" w:type="dxa"/>
            <w:tcBorders>
              <w:top w:val="nil"/>
              <w:left w:val="nil"/>
              <w:bottom w:val="nil"/>
              <w:right w:val="nil"/>
            </w:tcBorders>
            <w:shd w:val="clear" w:color="auto" w:fill="auto"/>
            <w:noWrap/>
            <w:vAlign w:val="bottom"/>
            <w:hideMark/>
          </w:tcPr>
          <w:p w14:paraId="576FEEF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-1021</w:t>
            </w:r>
          </w:p>
        </w:tc>
      </w:tr>
      <w:tr w:rsidR="0006183C" w:rsidRPr="0006183C" w14:paraId="60E7684F" w14:textId="77777777" w:rsidTr="0006183C">
        <w:trPr>
          <w:divId w:val="825050987"/>
          <w:trHeight w:val="288"/>
          <w:jc w:val="center"/>
        </w:trPr>
        <w:tc>
          <w:tcPr>
            <w:tcW w:w="2622" w:type="dxa"/>
            <w:gridSpan w:val="2"/>
            <w:tcBorders>
              <w:top w:val="nil"/>
              <w:left w:val="nil"/>
              <w:bottom w:val="nil"/>
              <w:right w:val="nil"/>
            </w:tcBorders>
            <w:shd w:val="clear" w:color="auto" w:fill="auto"/>
            <w:noWrap/>
            <w:vAlign w:val="bottom"/>
            <w:hideMark/>
          </w:tcPr>
          <w:p w14:paraId="65741AC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Covariance Type: </w:t>
            </w:r>
          </w:p>
        </w:tc>
        <w:tc>
          <w:tcPr>
            <w:tcW w:w="2000" w:type="dxa"/>
            <w:gridSpan w:val="2"/>
            <w:tcBorders>
              <w:top w:val="nil"/>
              <w:left w:val="nil"/>
              <w:bottom w:val="nil"/>
              <w:right w:val="nil"/>
            </w:tcBorders>
            <w:shd w:val="clear" w:color="auto" w:fill="auto"/>
            <w:noWrap/>
            <w:vAlign w:val="bottom"/>
            <w:hideMark/>
          </w:tcPr>
          <w:p w14:paraId="32337AC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nonrobust</w:t>
            </w:r>
            <w:proofErr w:type="spellEnd"/>
            <w:r w:rsidRPr="0006183C">
              <w:rPr>
                <w:rFonts w:ascii="Calibri" w:eastAsia="Times New Roman" w:hAnsi="Calibri" w:cs="Calibri"/>
                <w:color w:val="000000"/>
                <w:kern w:val="0"/>
                <w:sz w:val="18"/>
                <w:szCs w:val="18"/>
                <w14:ligatures w14:val="none"/>
              </w:rPr>
              <w:t xml:space="preserve">        </w:t>
            </w:r>
          </w:p>
        </w:tc>
        <w:tc>
          <w:tcPr>
            <w:tcW w:w="2000" w:type="dxa"/>
            <w:gridSpan w:val="2"/>
            <w:tcBorders>
              <w:top w:val="nil"/>
              <w:left w:val="nil"/>
              <w:bottom w:val="nil"/>
              <w:right w:val="nil"/>
            </w:tcBorders>
            <w:shd w:val="clear" w:color="auto" w:fill="auto"/>
            <w:noWrap/>
            <w:vAlign w:val="bottom"/>
            <w:hideMark/>
          </w:tcPr>
          <w:p w14:paraId="7BFA69F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BIC:               </w:t>
            </w:r>
          </w:p>
        </w:tc>
        <w:tc>
          <w:tcPr>
            <w:tcW w:w="1000" w:type="dxa"/>
            <w:tcBorders>
              <w:top w:val="nil"/>
              <w:left w:val="nil"/>
              <w:bottom w:val="nil"/>
              <w:right w:val="nil"/>
            </w:tcBorders>
            <w:shd w:val="clear" w:color="auto" w:fill="auto"/>
            <w:noWrap/>
            <w:vAlign w:val="bottom"/>
            <w:hideMark/>
          </w:tcPr>
          <w:p w14:paraId="50BF95E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-1014</w:t>
            </w:r>
          </w:p>
        </w:tc>
      </w:tr>
      <w:tr w:rsidR="0006183C" w:rsidRPr="0006183C" w14:paraId="2695026B" w14:textId="77777777" w:rsidTr="0006183C">
        <w:trPr>
          <w:divId w:val="825050987"/>
          <w:trHeight w:val="288"/>
          <w:jc w:val="center"/>
        </w:trPr>
        <w:tc>
          <w:tcPr>
            <w:tcW w:w="1978" w:type="dxa"/>
            <w:tcBorders>
              <w:top w:val="single" w:sz="4" w:space="0" w:color="auto"/>
              <w:left w:val="nil"/>
              <w:bottom w:val="single" w:sz="4" w:space="0" w:color="auto"/>
              <w:right w:val="nil"/>
            </w:tcBorders>
            <w:shd w:val="clear" w:color="auto" w:fill="auto"/>
            <w:noWrap/>
            <w:vAlign w:val="bottom"/>
            <w:hideMark/>
          </w:tcPr>
          <w:p w14:paraId="289975E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
        </w:tc>
        <w:tc>
          <w:tcPr>
            <w:tcW w:w="644" w:type="dxa"/>
            <w:tcBorders>
              <w:top w:val="single" w:sz="4" w:space="0" w:color="auto"/>
              <w:left w:val="nil"/>
              <w:bottom w:val="single" w:sz="4" w:space="0" w:color="auto"/>
              <w:right w:val="nil"/>
            </w:tcBorders>
            <w:shd w:val="clear" w:color="auto" w:fill="auto"/>
            <w:noWrap/>
            <w:vAlign w:val="bottom"/>
            <w:hideMark/>
          </w:tcPr>
          <w:p w14:paraId="224D7C5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roofErr w:type="spellStart"/>
            <w:r w:rsidRPr="0006183C">
              <w:rPr>
                <w:rFonts w:ascii="Calibri" w:eastAsia="Times New Roman" w:hAnsi="Calibri" w:cs="Calibri"/>
                <w:color w:val="000000"/>
                <w:kern w:val="0"/>
                <w:sz w:val="18"/>
                <w:szCs w:val="18"/>
                <w14:ligatures w14:val="none"/>
              </w:rPr>
              <w:t>coef</w:t>
            </w:r>
            <w:proofErr w:type="spellEnd"/>
            <w:r w:rsidRPr="0006183C">
              <w:rPr>
                <w:rFonts w:ascii="Calibri" w:eastAsia="Times New Roman" w:hAnsi="Calibri" w:cs="Calibri"/>
                <w:color w:val="000000"/>
                <w:kern w:val="0"/>
                <w:sz w:val="18"/>
                <w:szCs w:val="18"/>
                <w14:ligatures w14:val="none"/>
              </w:rPr>
              <w:t xml:space="preserve">   </w:t>
            </w:r>
          </w:p>
        </w:tc>
        <w:tc>
          <w:tcPr>
            <w:tcW w:w="1173" w:type="dxa"/>
            <w:tcBorders>
              <w:top w:val="single" w:sz="4" w:space="0" w:color="auto"/>
              <w:left w:val="nil"/>
              <w:bottom w:val="single" w:sz="4" w:space="0" w:color="auto"/>
              <w:right w:val="nil"/>
            </w:tcBorders>
            <w:shd w:val="clear" w:color="auto" w:fill="auto"/>
            <w:noWrap/>
            <w:vAlign w:val="bottom"/>
            <w:hideMark/>
          </w:tcPr>
          <w:p w14:paraId="11A7990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std err </w:t>
            </w:r>
          </w:p>
        </w:tc>
        <w:tc>
          <w:tcPr>
            <w:tcW w:w="827" w:type="dxa"/>
            <w:tcBorders>
              <w:top w:val="single" w:sz="4" w:space="0" w:color="auto"/>
              <w:left w:val="nil"/>
              <w:bottom w:val="single" w:sz="4" w:space="0" w:color="auto"/>
              <w:right w:val="nil"/>
            </w:tcBorders>
            <w:shd w:val="clear" w:color="auto" w:fill="auto"/>
            <w:noWrap/>
            <w:vAlign w:val="bottom"/>
            <w:hideMark/>
          </w:tcPr>
          <w:p w14:paraId="65A76F3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t    </w:t>
            </w:r>
          </w:p>
        </w:tc>
        <w:tc>
          <w:tcPr>
            <w:tcW w:w="864" w:type="dxa"/>
            <w:tcBorders>
              <w:top w:val="single" w:sz="4" w:space="0" w:color="auto"/>
              <w:left w:val="nil"/>
              <w:bottom w:val="single" w:sz="4" w:space="0" w:color="auto"/>
              <w:right w:val="nil"/>
            </w:tcBorders>
            <w:shd w:val="clear" w:color="auto" w:fill="auto"/>
            <w:noWrap/>
            <w:vAlign w:val="bottom"/>
            <w:hideMark/>
          </w:tcPr>
          <w:p w14:paraId="6361CB7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P&gt;|t| </w:t>
            </w:r>
          </w:p>
        </w:tc>
        <w:tc>
          <w:tcPr>
            <w:tcW w:w="1136" w:type="dxa"/>
            <w:tcBorders>
              <w:top w:val="single" w:sz="4" w:space="0" w:color="auto"/>
              <w:left w:val="nil"/>
              <w:bottom w:val="single" w:sz="4" w:space="0" w:color="auto"/>
              <w:right w:val="nil"/>
            </w:tcBorders>
            <w:shd w:val="clear" w:color="auto" w:fill="auto"/>
            <w:noWrap/>
            <w:vAlign w:val="bottom"/>
            <w:hideMark/>
          </w:tcPr>
          <w:p w14:paraId="39C6BF0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[0.025 </w:t>
            </w:r>
          </w:p>
        </w:tc>
        <w:tc>
          <w:tcPr>
            <w:tcW w:w="1000" w:type="dxa"/>
            <w:tcBorders>
              <w:top w:val="single" w:sz="4" w:space="0" w:color="auto"/>
              <w:left w:val="nil"/>
              <w:bottom w:val="single" w:sz="4" w:space="0" w:color="auto"/>
              <w:right w:val="nil"/>
            </w:tcBorders>
            <w:shd w:val="clear" w:color="auto" w:fill="auto"/>
            <w:noWrap/>
            <w:vAlign w:val="bottom"/>
            <w:hideMark/>
          </w:tcPr>
          <w:p w14:paraId="189BA85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0.975] </w:t>
            </w:r>
          </w:p>
        </w:tc>
      </w:tr>
      <w:tr w:rsidR="0006183C" w:rsidRPr="0006183C" w14:paraId="610E57DF" w14:textId="77777777" w:rsidTr="0006183C">
        <w:trPr>
          <w:divId w:val="825050987"/>
          <w:trHeight w:val="288"/>
          <w:jc w:val="center"/>
        </w:trPr>
        <w:tc>
          <w:tcPr>
            <w:tcW w:w="1978" w:type="dxa"/>
            <w:tcBorders>
              <w:top w:val="nil"/>
              <w:left w:val="nil"/>
              <w:bottom w:val="nil"/>
              <w:right w:val="nil"/>
            </w:tcBorders>
            <w:shd w:val="clear" w:color="auto" w:fill="auto"/>
            <w:noWrap/>
            <w:vAlign w:val="bottom"/>
            <w:hideMark/>
          </w:tcPr>
          <w:p w14:paraId="3D8A984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const                 </w:t>
            </w:r>
          </w:p>
        </w:tc>
        <w:tc>
          <w:tcPr>
            <w:tcW w:w="644" w:type="dxa"/>
            <w:tcBorders>
              <w:top w:val="nil"/>
              <w:left w:val="nil"/>
              <w:bottom w:val="nil"/>
              <w:right w:val="nil"/>
            </w:tcBorders>
            <w:shd w:val="clear" w:color="auto" w:fill="auto"/>
            <w:noWrap/>
            <w:vAlign w:val="bottom"/>
            <w:hideMark/>
          </w:tcPr>
          <w:p w14:paraId="09012B6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0.0319</w:t>
            </w:r>
          </w:p>
        </w:tc>
        <w:tc>
          <w:tcPr>
            <w:tcW w:w="1173" w:type="dxa"/>
            <w:tcBorders>
              <w:top w:val="nil"/>
              <w:left w:val="nil"/>
              <w:bottom w:val="nil"/>
              <w:right w:val="nil"/>
            </w:tcBorders>
            <w:shd w:val="clear" w:color="auto" w:fill="auto"/>
            <w:noWrap/>
            <w:vAlign w:val="bottom"/>
            <w:hideMark/>
          </w:tcPr>
          <w:p w14:paraId="0CEB8E3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0.002</w:t>
            </w:r>
          </w:p>
        </w:tc>
        <w:tc>
          <w:tcPr>
            <w:tcW w:w="827" w:type="dxa"/>
            <w:tcBorders>
              <w:top w:val="nil"/>
              <w:left w:val="nil"/>
              <w:bottom w:val="nil"/>
              <w:right w:val="nil"/>
            </w:tcBorders>
            <w:shd w:val="clear" w:color="auto" w:fill="auto"/>
            <w:noWrap/>
            <w:vAlign w:val="bottom"/>
            <w:hideMark/>
          </w:tcPr>
          <w:p w14:paraId="43BBFF3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15.53</w:t>
            </w:r>
          </w:p>
        </w:tc>
        <w:tc>
          <w:tcPr>
            <w:tcW w:w="864" w:type="dxa"/>
            <w:tcBorders>
              <w:top w:val="nil"/>
              <w:left w:val="nil"/>
              <w:bottom w:val="nil"/>
              <w:right w:val="nil"/>
            </w:tcBorders>
            <w:shd w:val="clear" w:color="auto" w:fill="auto"/>
            <w:noWrap/>
            <w:vAlign w:val="bottom"/>
            <w:hideMark/>
          </w:tcPr>
          <w:p w14:paraId="1E39D68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136" w:type="dxa"/>
            <w:tcBorders>
              <w:top w:val="nil"/>
              <w:left w:val="nil"/>
              <w:bottom w:val="nil"/>
              <w:right w:val="nil"/>
            </w:tcBorders>
            <w:shd w:val="clear" w:color="auto" w:fill="auto"/>
            <w:noWrap/>
            <w:vAlign w:val="bottom"/>
            <w:hideMark/>
          </w:tcPr>
          <w:p w14:paraId="2BE7460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0.028</w:t>
            </w:r>
          </w:p>
        </w:tc>
        <w:tc>
          <w:tcPr>
            <w:tcW w:w="1000" w:type="dxa"/>
            <w:tcBorders>
              <w:top w:val="nil"/>
              <w:left w:val="nil"/>
              <w:bottom w:val="nil"/>
              <w:right w:val="nil"/>
            </w:tcBorders>
            <w:shd w:val="clear" w:color="auto" w:fill="auto"/>
            <w:noWrap/>
            <w:vAlign w:val="bottom"/>
            <w:hideMark/>
          </w:tcPr>
          <w:p w14:paraId="6275ECE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0.036</w:t>
            </w:r>
          </w:p>
        </w:tc>
      </w:tr>
      <w:tr w:rsidR="0006183C" w:rsidRPr="0006183C" w14:paraId="1765EEF8" w14:textId="77777777" w:rsidTr="0006183C">
        <w:trPr>
          <w:divId w:val="825050987"/>
          <w:trHeight w:val="288"/>
          <w:jc w:val="center"/>
        </w:trPr>
        <w:tc>
          <w:tcPr>
            <w:tcW w:w="1978" w:type="dxa"/>
            <w:tcBorders>
              <w:top w:val="nil"/>
              <w:left w:val="nil"/>
              <w:bottom w:val="nil"/>
              <w:right w:val="nil"/>
            </w:tcBorders>
            <w:shd w:val="clear" w:color="auto" w:fill="auto"/>
            <w:noWrap/>
            <w:vAlign w:val="bottom"/>
            <w:hideMark/>
          </w:tcPr>
          <w:p w14:paraId="7E4DECC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Pessimism x similarity</w:t>
            </w:r>
          </w:p>
        </w:tc>
        <w:tc>
          <w:tcPr>
            <w:tcW w:w="644" w:type="dxa"/>
            <w:tcBorders>
              <w:top w:val="nil"/>
              <w:left w:val="nil"/>
              <w:bottom w:val="nil"/>
              <w:right w:val="nil"/>
            </w:tcBorders>
            <w:shd w:val="clear" w:color="auto" w:fill="auto"/>
            <w:noWrap/>
            <w:vAlign w:val="bottom"/>
            <w:hideMark/>
          </w:tcPr>
          <w:p w14:paraId="0E82C97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-0.405</w:t>
            </w:r>
          </w:p>
        </w:tc>
        <w:tc>
          <w:tcPr>
            <w:tcW w:w="1173" w:type="dxa"/>
            <w:tcBorders>
              <w:top w:val="nil"/>
              <w:left w:val="nil"/>
              <w:bottom w:val="nil"/>
              <w:right w:val="nil"/>
            </w:tcBorders>
            <w:shd w:val="clear" w:color="auto" w:fill="auto"/>
            <w:noWrap/>
            <w:vAlign w:val="bottom"/>
            <w:hideMark/>
          </w:tcPr>
          <w:p w14:paraId="4A78D03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0.161</w:t>
            </w:r>
          </w:p>
        </w:tc>
        <w:tc>
          <w:tcPr>
            <w:tcW w:w="827" w:type="dxa"/>
            <w:tcBorders>
              <w:top w:val="nil"/>
              <w:left w:val="nil"/>
              <w:bottom w:val="nil"/>
              <w:right w:val="nil"/>
            </w:tcBorders>
            <w:shd w:val="clear" w:color="auto" w:fill="auto"/>
            <w:noWrap/>
            <w:vAlign w:val="bottom"/>
            <w:hideMark/>
          </w:tcPr>
          <w:p w14:paraId="17D7FDC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-2.51</w:t>
            </w:r>
          </w:p>
        </w:tc>
        <w:tc>
          <w:tcPr>
            <w:tcW w:w="864" w:type="dxa"/>
            <w:tcBorders>
              <w:top w:val="nil"/>
              <w:left w:val="nil"/>
              <w:bottom w:val="nil"/>
              <w:right w:val="nil"/>
            </w:tcBorders>
            <w:shd w:val="clear" w:color="auto" w:fill="auto"/>
            <w:noWrap/>
            <w:vAlign w:val="bottom"/>
            <w:hideMark/>
          </w:tcPr>
          <w:p w14:paraId="5430BA6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0.013</w:t>
            </w:r>
          </w:p>
        </w:tc>
        <w:tc>
          <w:tcPr>
            <w:tcW w:w="1136" w:type="dxa"/>
            <w:tcBorders>
              <w:top w:val="nil"/>
              <w:left w:val="nil"/>
              <w:bottom w:val="nil"/>
              <w:right w:val="nil"/>
            </w:tcBorders>
            <w:shd w:val="clear" w:color="auto" w:fill="auto"/>
            <w:noWrap/>
            <w:vAlign w:val="bottom"/>
            <w:hideMark/>
          </w:tcPr>
          <w:p w14:paraId="6C6BD0D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-0.723</w:t>
            </w:r>
          </w:p>
        </w:tc>
        <w:tc>
          <w:tcPr>
            <w:tcW w:w="1000" w:type="dxa"/>
            <w:tcBorders>
              <w:top w:val="nil"/>
              <w:left w:val="nil"/>
              <w:bottom w:val="nil"/>
              <w:right w:val="nil"/>
            </w:tcBorders>
            <w:shd w:val="clear" w:color="auto" w:fill="auto"/>
            <w:noWrap/>
            <w:vAlign w:val="bottom"/>
            <w:hideMark/>
          </w:tcPr>
          <w:p w14:paraId="7F37B69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-0.087</w:t>
            </w:r>
          </w:p>
        </w:tc>
      </w:tr>
      <w:tr w:rsidR="0006183C" w:rsidRPr="0006183C" w14:paraId="5FDB9618" w14:textId="77777777" w:rsidTr="0006183C">
        <w:trPr>
          <w:divId w:val="825050987"/>
          <w:trHeight w:val="288"/>
          <w:jc w:val="center"/>
        </w:trPr>
        <w:tc>
          <w:tcPr>
            <w:tcW w:w="2622" w:type="dxa"/>
            <w:gridSpan w:val="2"/>
            <w:tcBorders>
              <w:top w:val="single" w:sz="4" w:space="0" w:color="auto"/>
              <w:left w:val="nil"/>
              <w:bottom w:val="nil"/>
              <w:right w:val="nil"/>
            </w:tcBorders>
            <w:shd w:val="clear" w:color="auto" w:fill="auto"/>
            <w:noWrap/>
            <w:vAlign w:val="bottom"/>
            <w:hideMark/>
          </w:tcPr>
          <w:p w14:paraId="3C8D67A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Omnibus:      </w:t>
            </w:r>
          </w:p>
        </w:tc>
        <w:tc>
          <w:tcPr>
            <w:tcW w:w="1173" w:type="dxa"/>
            <w:tcBorders>
              <w:top w:val="single" w:sz="4" w:space="0" w:color="auto"/>
              <w:left w:val="nil"/>
              <w:bottom w:val="nil"/>
              <w:right w:val="nil"/>
            </w:tcBorders>
            <w:shd w:val="clear" w:color="auto" w:fill="auto"/>
            <w:noWrap/>
            <w:vAlign w:val="bottom"/>
            <w:hideMark/>
          </w:tcPr>
          <w:p w14:paraId="17CE370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257.477</w:t>
            </w:r>
          </w:p>
        </w:tc>
        <w:tc>
          <w:tcPr>
            <w:tcW w:w="827" w:type="dxa"/>
            <w:tcBorders>
              <w:top w:val="single" w:sz="4" w:space="0" w:color="auto"/>
              <w:left w:val="nil"/>
              <w:bottom w:val="nil"/>
              <w:right w:val="nil"/>
            </w:tcBorders>
            <w:shd w:val="clear" w:color="auto" w:fill="auto"/>
            <w:noWrap/>
            <w:vAlign w:val="bottom"/>
            <w:hideMark/>
          </w:tcPr>
          <w:p w14:paraId="5D22CF3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single" w:sz="4" w:space="0" w:color="auto"/>
              <w:left w:val="nil"/>
              <w:bottom w:val="nil"/>
              <w:right w:val="nil"/>
            </w:tcBorders>
            <w:shd w:val="clear" w:color="auto" w:fill="auto"/>
            <w:noWrap/>
            <w:vAlign w:val="bottom"/>
            <w:hideMark/>
          </w:tcPr>
          <w:p w14:paraId="1B73E3C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Durbin-Watson:     </w:t>
            </w:r>
          </w:p>
        </w:tc>
        <w:tc>
          <w:tcPr>
            <w:tcW w:w="1000" w:type="dxa"/>
            <w:tcBorders>
              <w:top w:val="single" w:sz="4" w:space="0" w:color="auto"/>
              <w:left w:val="nil"/>
              <w:bottom w:val="nil"/>
              <w:right w:val="nil"/>
            </w:tcBorders>
            <w:shd w:val="clear" w:color="auto" w:fill="auto"/>
            <w:noWrap/>
            <w:vAlign w:val="bottom"/>
            <w:hideMark/>
          </w:tcPr>
          <w:p w14:paraId="47F6BDC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1.939</w:t>
            </w:r>
          </w:p>
        </w:tc>
      </w:tr>
      <w:tr w:rsidR="0006183C" w:rsidRPr="0006183C" w14:paraId="67607E4B" w14:textId="77777777" w:rsidTr="0006183C">
        <w:trPr>
          <w:divId w:val="825050987"/>
          <w:trHeight w:val="288"/>
          <w:jc w:val="center"/>
        </w:trPr>
        <w:tc>
          <w:tcPr>
            <w:tcW w:w="2622" w:type="dxa"/>
            <w:gridSpan w:val="2"/>
            <w:tcBorders>
              <w:top w:val="nil"/>
              <w:left w:val="nil"/>
              <w:bottom w:val="nil"/>
              <w:right w:val="nil"/>
            </w:tcBorders>
            <w:shd w:val="clear" w:color="auto" w:fill="auto"/>
            <w:noWrap/>
            <w:vAlign w:val="bottom"/>
            <w:hideMark/>
          </w:tcPr>
          <w:p w14:paraId="0619FAE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Prob(Omnibus):</w:t>
            </w:r>
          </w:p>
        </w:tc>
        <w:tc>
          <w:tcPr>
            <w:tcW w:w="1173" w:type="dxa"/>
            <w:tcBorders>
              <w:top w:val="nil"/>
              <w:left w:val="nil"/>
              <w:bottom w:val="nil"/>
              <w:right w:val="nil"/>
            </w:tcBorders>
            <w:shd w:val="clear" w:color="auto" w:fill="auto"/>
            <w:noWrap/>
            <w:vAlign w:val="bottom"/>
            <w:hideMark/>
          </w:tcPr>
          <w:p w14:paraId="2DBB1DC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827" w:type="dxa"/>
            <w:tcBorders>
              <w:top w:val="nil"/>
              <w:left w:val="nil"/>
              <w:bottom w:val="nil"/>
              <w:right w:val="nil"/>
            </w:tcBorders>
            <w:shd w:val="clear" w:color="auto" w:fill="auto"/>
            <w:noWrap/>
            <w:vAlign w:val="bottom"/>
            <w:hideMark/>
          </w:tcPr>
          <w:p w14:paraId="7E72150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799EE25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Jarque-Bera (JB):  </w:t>
            </w:r>
          </w:p>
        </w:tc>
        <w:tc>
          <w:tcPr>
            <w:tcW w:w="1000" w:type="dxa"/>
            <w:tcBorders>
              <w:top w:val="nil"/>
              <w:left w:val="nil"/>
              <w:bottom w:val="nil"/>
              <w:right w:val="nil"/>
            </w:tcBorders>
            <w:shd w:val="clear" w:color="auto" w:fill="auto"/>
            <w:noWrap/>
            <w:vAlign w:val="bottom"/>
            <w:hideMark/>
          </w:tcPr>
          <w:p w14:paraId="5F5F558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9246.391</w:t>
            </w:r>
          </w:p>
        </w:tc>
      </w:tr>
      <w:tr w:rsidR="0006183C" w:rsidRPr="0006183C" w14:paraId="7EB16EE4" w14:textId="77777777" w:rsidTr="0006183C">
        <w:trPr>
          <w:divId w:val="825050987"/>
          <w:trHeight w:val="288"/>
          <w:jc w:val="center"/>
        </w:trPr>
        <w:tc>
          <w:tcPr>
            <w:tcW w:w="2622" w:type="dxa"/>
            <w:gridSpan w:val="2"/>
            <w:tcBorders>
              <w:top w:val="nil"/>
              <w:left w:val="nil"/>
              <w:bottom w:val="nil"/>
              <w:right w:val="nil"/>
            </w:tcBorders>
            <w:shd w:val="clear" w:color="auto" w:fill="auto"/>
            <w:noWrap/>
            <w:vAlign w:val="bottom"/>
            <w:hideMark/>
          </w:tcPr>
          <w:p w14:paraId="7BD9FF2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Skew:         </w:t>
            </w:r>
          </w:p>
        </w:tc>
        <w:tc>
          <w:tcPr>
            <w:tcW w:w="1173" w:type="dxa"/>
            <w:tcBorders>
              <w:top w:val="nil"/>
              <w:left w:val="nil"/>
              <w:bottom w:val="nil"/>
              <w:right w:val="nil"/>
            </w:tcBorders>
            <w:shd w:val="clear" w:color="auto" w:fill="auto"/>
            <w:noWrap/>
            <w:vAlign w:val="bottom"/>
            <w:hideMark/>
          </w:tcPr>
          <w:p w14:paraId="751F4BD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3.999</w:t>
            </w:r>
          </w:p>
        </w:tc>
        <w:tc>
          <w:tcPr>
            <w:tcW w:w="827" w:type="dxa"/>
            <w:tcBorders>
              <w:top w:val="nil"/>
              <w:left w:val="nil"/>
              <w:bottom w:val="nil"/>
              <w:right w:val="nil"/>
            </w:tcBorders>
            <w:shd w:val="clear" w:color="auto" w:fill="auto"/>
            <w:noWrap/>
            <w:vAlign w:val="bottom"/>
            <w:hideMark/>
          </w:tcPr>
          <w:p w14:paraId="4CAC957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13EF293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Prob(JB):          </w:t>
            </w:r>
          </w:p>
        </w:tc>
        <w:tc>
          <w:tcPr>
            <w:tcW w:w="1000" w:type="dxa"/>
            <w:tcBorders>
              <w:top w:val="nil"/>
              <w:left w:val="nil"/>
              <w:bottom w:val="nil"/>
              <w:right w:val="nil"/>
            </w:tcBorders>
            <w:shd w:val="clear" w:color="auto" w:fill="auto"/>
            <w:noWrap/>
            <w:vAlign w:val="bottom"/>
            <w:hideMark/>
          </w:tcPr>
          <w:p w14:paraId="590DBA5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r>
      <w:tr w:rsidR="0006183C" w:rsidRPr="0006183C" w14:paraId="4B6F021A" w14:textId="77777777" w:rsidTr="0006183C">
        <w:trPr>
          <w:divId w:val="825050987"/>
          <w:trHeight w:val="288"/>
          <w:jc w:val="center"/>
        </w:trPr>
        <w:tc>
          <w:tcPr>
            <w:tcW w:w="2622" w:type="dxa"/>
            <w:gridSpan w:val="2"/>
            <w:tcBorders>
              <w:top w:val="nil"/>
              <w:left w:val="nil"/>
              <w:bottom w:val="single" w:sz="4" w:space="0" w:color="auto"/>
              <w:right w:val="nil"/>
            </w:tcBorders>
            <w:shd w:val="clear" w:color="auto" w:fill="auto"/>
            <w:noWrap/>
            <w:vAlign w:val="bottom"/>
            <w:hideMark/>
          </w:tcPr>
          <w:p w14:paraId="77F82D3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Kurtosis:     </w:t>
            </w:r>
          </w:p>
        </w:tc>
        <w:tc>
          <w:tcPr>
            <w:tcW w:w="1173" w:type="dxa"/>
            <w:tcBorders>
              <w:top w:val="nil"/>
              <w:left w:val="nil"/>
              <w:bottom w:val="single" w:sz="4" w:space="0" w:color="auto"/>
              <w:right w:val="nil"/>
            </w:tcBorders>
            <w:shd w:val="clear" w:color="auto" w:fill="auto"/>
            <w:noWrap/>
            <w:vAlign w:val="bottom"/>
            <w:hideMark/>
          </w:tcPr>
          <w:p w14:paraId="06EC8CA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31.335</w:t>
            </w:r>
          </w:p>
        </w:tc>
        <w:tc>
          <w:tcPr>
            <w:tcW w:w="827" w:type="dxa"/>
            <w:tcBorders>
              <w:top w:val="nil"/>
              <w:left w:val="nil"/>
              <w:bottom w:val="single" w:sz="4" w:space="0" w:color="auto"/>
              <w:right w:val="nil"/>
            </w:tcBorders>
            <w:shd w:val="clear" w:color="auto" w:fill="auto"/>
            <w:noWrap/>
            <w:vAlign w:val="bottom"/>
            <w:hideMark/>
          </w:tcPr>
          <w:p w14:paraId="3BDC902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nil"/>
              <w:left w:val="nil"/>
              <w:bottom w:val="single" w:sz="4" w:space="0" w:color="auto"/>
              <w:right w:val="nil"/>
            </w:tcBorders>
            <w:shd w:val="clear" w:color="auto" w:fill="auto"/>
            <w:noWrap/>
            <w:vAlign w:val="bottom"/>
            <w:hideMark/>
          </w:tcPr>
          <w:p w14:paraId="1792E57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Cond. No.          </w:t>
            </w:r>
          </w:p>
        </w:tc>
        <w:tc>
          <w:tcPr>
            <w:tcW w:w="1000" w:type="dxa"/>
            <w:tcBorders>
              <w:top w:val="nil"/>
              <w:left w:val="nil"/>
              <w:bottom w:val="single" w:sz="4" w:space="0" w:color="auto"/>
              <w:right w:val="nil"/>
            </w:tcBorders>
            <w:shd w:val="clear" w:color="auto" w:fill="auto"/>
            <w:noWrap/>
            <w:vAlign w:val="bottom"/>
            <w:hideMark/>
          </w:tcPr>
          <w:p w14:paraId="7979A9A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78.6</w:t>
            </w:r>
          </w:p>
        </w:tc>
      </w:tr>
    </w:tbl>
    <w:p w14:paraId="063D69C8" w14:textId="62DC51F0" w:rsidR="00060515" w:rsidRDefault="00370D75" w:rsidP="00A07E95">
      <w:pPr>
        <w:spacing w:line="240" w:lineRule="auto"/>
        <w:jc w:val="center"/>
        <w:rPr>
          <w:rFonts w:ascii="Times New Roman" w:hAnsi="Times New Roman" w:cs="Times New Roman"/>
          <w:sz w:val="24"/>
          <w:szCs w:val="24"/>
        </w:rPr>
      </w:pPr>
      <w:r>
        <w:rPr>
          <w:rFonts w:ascii="Times New Roman" w:hAnsi="Times New Roman" w:cs="Times New Roman"/>
          <w:sz w:val="24"/>
          <w:szCs w:val="24"/>
        </w:rPr>
        <w:fldChar w:fldCharType="end"/>
      </w:r>
      <w:r w:rsidR="00060515">
        <w:rPr>
          <w:rFonts w:ascii="Times New Roman" w:hAnsi="Times New Roman" w:cs="Times New Roman"/>
          <w:sz w:val="24"/>
          <w:szCs w:val="24"/>
        </w:rPr>
        <w:t>Source: Own elaboration.</w:t>
      </w:r>
    </w:p>
    <w:p w14:paraId="641CB9D7" w14:textId="77777777" w:rsidR="00060515" w:rsidRDefault="00060515" w:rsidP="0079605B">
      <w:pPr>
        <w:spacing w:line="240" w:lineRule="auto"/>
        <w:rPr>
          <w:rFonts w:ascii="Times New Roman" w:hAnsi="Times New Roman" w:cs="Times New Roman"/>
          <w:sz w:val="24"/>
          <w:szCs w:val="24"/>
        </w:rPr>
      </w:pPr>
    </w:p>
    <w:p w14:paraId="5EF688C2" w14:textId="4630FC6E" w:rsidR="0006183C" w:rsidRPr="0006183C" w:rsidRDefault="00060515" w:rsidP="0006183C">
      <w:pPr>
        <w:spacing w:before="240" w:line="240" w:lineRule="auto"/>
        <w:jc w:val="center"/>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 xml:space="preserve">Table 12. Regression result for specification 4 of </w:t>
      </w:r>
      <w:r w:rsidR="002E11D9">
        <w:rPr>
          <w:rFonts w:ascii="Times New Roman" w:eastAsiaTheme="minorEastAsia" w:hAnsi="Times New Roman" w:cs="Times New Roman"/>
          <w:b/>
          <w:bCs/>
          <w:sz w:val="24"/>
          <w:szCs w:val="24"/>
          <w:u w:val="single"/>
        </w:rPr>
        <w:t>E</w:t>
      </w:r>
      <w:r>
        <w:rPr>
          <w:rFonts w:ascii="Times New Roman" w:eastAsiaTheme="minorEastAsia" w:hAnsi="Times New Roman" w:cs="Times New Roman"/>
          <w:b/>
          <w:bCs/>
          <w:sz w:val="24"/>
          <w:szCs w:val="24"/>
          <w:u w:val="single"/>
        </w:rPr>
        <w:t>quation 2</w:t>
      </w:r>
      <w:r w:rsidR="00370D75">
        <w:fldChar w:fldCharType="begin"/>
      </w:r>
      <w:r w:rsidR="00370D75">
        <w:instrText xml:space="preserve"> LINK </w:instrText>
      </w:r>
      <w:r w:rsidR="0011635A">
        <w:instrText xml:space="preserve">Excel.Sheet.12 "C:\\Users\\camil\\Dropbox\\Artículos académicos\\Similarity of ECB’s communication\\2Tables.xlsx" Reg2_4!R2C1:R18C7 </w:instrText>
      </w:r>
      <w:r w:rsidR="00370D75">
        <w:instrText xml:space="preserve">\a \f 4 \h  \* MERGEFORMAT </w:instrText>
      </w:r>
      <w:r w:rsidR="00370D75">
        <w:fldChar w:fldCharType="separate"/>
      </w:r>
    </w:p>
    <w:tbl>
      <w:tblPr>
        <w:tblW w:w="7978" w:type="dxa"/>
        <w:jc w:val="center"/>
        <w:tblLook w:val="04A0" w:firstRow="1" w:lastRow="0" w:firstColumn="1" w:lastColumn="0" w:noHBand="0" w:noVBand="1"/>
      </w:tblPr>
      <w:tblGrid>
        <w:gridCol w:w="1978"/>
        <w:gridCol w:w="723"/>
        <w:gridCol w:w="1277"/>
        <w:gridCol w:w="1000"/>
        <w:gridCol w:w="864"/>
        <w:gridCol w:w="1136"/>
        <w:gridCol w:w="1000"/>
      </w:tblGrid>
      <w:tr w:rsidR="0006183C" w:rsidRPr="0006183C" w14:paraId="0CF9DBC4" w14:textId="77777777" w:rsidTr="0006183C">
        <w:trPr>
          <w:divId w:val="1128166871"/>
          <w:trHeight w:val="288"/>
          <w:jc w:val="center"/>
        </w:trPr>
        <w:tc>
          <w:tcPr>
            <w:tcW w:w="1978" w:type="dxa"/>
            <w:tcBorders>
              <w:top w:val="single" w:sz="4" w:space="0" w:color="auto"/>
              <w:left w:val="nil"/>
              <w:bottom w:val="nil"/>
              <w:right w:val="nil"/>
            </w:tcBorders>
            <w:shd w:val="clear" w:color="auto" w:fill="auto"/>
            <w:noWrap/>
            <w:vAlign w:val="bottom"/>
            <w:hideMark/>
          </w:tcPr>
          <w:p w14:paraId="517D843A" w14:textId="0E83523C"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Dep. Variable:   </w:t>
            </w:r>
          </w:p>
        </w:tc>
        <w:tc>
          <w:tcPr>
            <w:tcW w:w="2000" w:type="dxa"/>
            <w:gridSpan w:val="2"/>
            <w:tcBorders>
              <w:top w:val="single" w:sz="4" w:space="0" w:color="auto"/>
              <w:left w:val="nil"/>
              <w:bottom w:val="nil"/>
              <w:right w:val="nil"/>
            </w:tcBorders>
            <w:shd w:val="clear" w:color="auto" w:fill="auto"/>
            <w:noWrap/>
            <w:vAlign w:val="bottom"/>
            <w:hideMark/>
          </w:tcPr>
          <w:p w14:paraId="5746939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AV_cum_ab_returns</w:t>
            </w:r>
            <w:proofErr w:type="spellEnd"/>
          </w:p>
        </w:tc>
        <w:tc>
          <w:tcPr>
            <w:tcW w:w="1000" w:type="dxa"/>
            <w:tcBorders>
              <w:top w:val="single" w:sz="4" w:space="0" w:color="auto"/>
              <w:left w:val="nil"/>
              <w:bottom w:val="nil"/>
              <w:right w:val="nil"/>
            </w:tcBorders>
            <w:shd w:val="clear" w:color="auto" w:fill="auto"/>
            <w:noWrap/>
            <w:vAlign w:val="bottom"/>
            <w:hideMark/>
          </w:tcPr>
          <w:p w14:paraId="4998DE9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single" w:sz="4" w:space="0" w:color="auto"/>
              <w:left w:val="nil"/>
              <w:bottom w:val="nil"/>
              <w:right w:val="nil"/>
            </w:tcBorders>
            <w:shd w:val="clear" w:color="auto" w:fill="auto"/>
            <w:noWrap/>
            <w:vAlign w:val="bottom"/>
            <w:hideMark/>
          </w:tcPr>
          <w:p w14:paraId="08A160A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R-squared:         </w:t>
            </w:r>
          </w:p>
        </w:tc>
        <w:tc>
          <w:tcPr>
            <w:tcW w:w="1000" w:type="dxa"/>
            <w:tcBorders>
              <w:top w:val="single" w:sz="4" w:space="0" w:color="auto"/>
              <w:left w:val="nil"/>
              <w:bottom w:val="nil"/>
              <w:right w:val="nil"/>
            </w:tcBorders>
            <w:shd w:val="clear" w:color="auto" w:fill="auto"/>
            <w:noWrap/>
            <w:vAlign w:val="bottom"/>
            <w:hideMark/>
          </w:tcPr>
          <w:p w14:paraId="3205361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0.041</w:t>
            </w:r>
          </w:p>
        </w:tc>
      </w:tr>
      <w:tr w:rsidR="0006183C" w:rsidRPr="0006183C" w14:paraId="3FBB58F8" w14:textId="77777777" w:rsidTr="0006183C">
        <w:trPr>
          <w:divId w:val="1128166871"/>
          <w:trHeight w:val="288"/>
          <w:jc w:val="center"/>
        </w:trPr>
        <w:tc>
          <w:tcPr>
            <w:tcW w:w="2701" w:type="dxa"/>
            <w:gridSpan w:val="2"/>
            <w:tcBorders>
              <w:top w:val="nil"/>
              <w:left w:val="nil"/>
              <w:bottom w:val="nil"/>
              <w:right w:val="nil"/>
            </w:tcBorders>
            <w:shd w:val="clear" w:color="auto" w:fill="auto"/>
            <w:noWrap/>
            <w:vAlign w:val="bottom"/>
            <w:hideMark/>
          </w:tcPr>
          <w:p w14:paraId="6870B0E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Model:           </w:t>
            </w:r>
          </w:p>
        </w:tc>
        <w:tc>
          <w:tcPr>
            <w:tcW w:w="1277" w:type="dxa"/>
            <w:tcBorders>
              <w:top w:val="nil"/>
              <w:left w:val="nil"/>
              <w:bottom w:val="nil"/>
              <w:right w:val="nil"/>
            </w:tcBorders>
            <w:shd w:val="clear" w:color="auto" w:fill="auto"/>
            <w:noWrap/>
            <w:vAlign w:val="bottom"/>
            <w:hideMark/>
          </w:tcPr>
          <w:p w14:paraId="463EE7A1"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OLS              </w:t>
            </w:r>
          </w:p>
        </w:tc>
        <w:tc>
          <w:tcPr>
            <w:tcW w:w="1000" w:type="dxa"/>
            <w:tcBorders>
              <w:top w:val="nil"/>
              <w:left w:val="nil"/>
              <w:bottom w:val="nil"/>
              <w:right w:val="nil"/>
            </w:tcBorders>
            <w:shd w:val="clear" w:color="auto" w:fill="auto"/>
            <w:noWrap/>
            <w:vAlign w:val="bottom"/>
            <w:hideMark/>
          </w:tcPr>
          <w:p w14:paraId="7648EC4B"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669DED2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Adj. R-squared:    </w:t>
            </w:r>
          </w:p>
        </w:tc>
        <w:tc>
          <w:tcPr>
            <w:tcW w:w="1000" w:type="dxa"/>
            <w:tcBorders>
              <w:top w:val="nil"/>
              <w:left w:val="nil"/>
              <w:bottom w:val="nil"/>
              <w:right w:val="nil"/>
            </w:tcBorders>
            <w:shd w:val="clear" w:color="auto" w:fill="auto"/>
            <w:noWrap/>
            <w:vAlign w:val="bottom"/>
            <w:hideMark/>
          </w:tcPr>
          <w:p w14:paraId="53A017BC"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0.026</w:t>
            </w:r>
          </w:p>
        </w:tc>
      </w:tr>
      <w:tr w:rsidR="0006183C" w:rsidRPr="0006183C" w14:paraId="05AB8DB9" w14:textId="77777777" w:rsidTr="0006183C">
        <w:trPr>
          <w:divId w:val="1128166871"/>
          <w:trHeight w:val="288"/>
          <w:jc w:val="center"/>
        </w:trPr>
        <w:tc>
          <w:tcPr>
            <w:tcW w:w="2701" w:type="dxa"/>
            <w:gridSpan w:val="2"/>
            <w:tcBorders>
              <w:top w:val="nil"/>
              <w:left w:val="nil"/>
              <w:bottom w:val="nil"/>
              <w:right w:val="nil"/>
            </w:tcBorders>
            <w:shd w:val="clear" w:color="auto" w:fill="auto"/>
            <w:noWrap/>
            <w:vAlign w:val="bottom"/>
            <w:hideMark/>
          </w:tcPr>
          <w:p w14:paraId="1150FB7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Method:          </w:t>
            </w:r>
          </w:p>
        </w:tc>
        <w:tc>
          <w:tcPr>
            <w:tcW w:w="1277" w:type="dxa"/>
            <w:tcBorders>
              <w:top w:val="nil"/>
              <w:left w:val="nil"/>
              <w:bottom w:val="nil"/>
              <w:right w:val="nil"/>
            </w:tcBorders>
            <w:shd w:val="clear" w:color="auto" w:fill="auto"/>
            <w:noWrap/>
            <w:vAlign w:val="bottom"/>
            <w:hideMark/>
          </w:tcPr>
          <w:p w14:paraId="6ACC9245"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Least Squares    </w:t>
            </w:r>
          </w:p>
        </w:tc>
        <w:tc>
          <w:tcPr>
            <w:tcW w:w="1000" w:type="dxa"/>
            <w:tcBorders>
              <w:top w:val="nil"/>
              <w:left w:val="nil"/>
              <w:bottom w:val="nil"/>
              <w:right w:val="nil"/>
            </w:tcBorders>
            <w:shd w:val="clear" w:color="auto" w:fill="auto"/>
            <w:noWrap/>
            <w:vAlign w:val="bottom"/>
            <w:hideMark/>
          </w:tcPr>
          <w:p w14:paraId="4514532F"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37C7FE2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F-statistic:       </w:t>
            </w:r>
          </w:p>
        </w:tc>
        <w:tc>
          <w:tcPr>
            <w:tcW w:w="1000" w:type="dxa"/>
            <w:tcBorders>
              <w:top w:val="nil"/>
              <w:left w:val="nil"/>
              <w:bottom w:val="nil"/>
              <w:right w:val="nil"/>
            </w:tcBorders>
            <w:shd w:val="clear" w:color="auto" w:fill="auto"/>
            <w:noWrap/>
            <w:vAlign w:val="bottom"/>
            <w:hideMark/>
          </w:tcPr>
          <w:p w14:paraId="0E6CF97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2.704</w:t>
            </w:r>
          </w:p>
        </w:tc>
      </w:tr>
      <w:tr w:rsidR="0006183C" w:rsidRPr="0006183C" w14:paraId="447C87CA" w14:textId="77777777" w:rsidTr="0006183C">
        <w:trPr>
          <w:divId w:val="1128166871"/>
          <w:trHeight w:val="288"/>
          <w:jc w:val="center"/>
        </w:trPr>
        <w:tc>
          <w:tcPr>
            <w:tcW w:w="2701" w:type="dxa"/>
            <w:gridSpan w:val="2"/>
            <w:tcBorders>
              <w:top w:val="nil"/>
              <w:left w:val="nil"/>
              <w:bottom w:val="nil"/>
              <w:right w:val="nil"/>
            </w:tcBorders>
            <w:shd w:val="clear" w:color="auto" w:fill="auto"/>
            <w:noWrap/>
            <w:vAlign w:val="bottom"/>
            <w:hideMark/>
          </w:tcPr>
          <w:p w14:paraId="2168A1D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No. Observations:</w:t>
            </w:r>
          </w:p>
        </w:tc>
        <w:tc>
          <w:tcPr>
            <w:tcW w:w="1277" w:type="dxa"/>
            <w:tcBorders>
              <w:top w:val="nil"/>
              <w:left w:val="nil"/>
              <w:bottom w:val="nil"/>
              <w:right w:val="nil"/>
            </w:tcBorders>
            <w:shd w:val="clear" w:color="auto" w:fill="auto"/>
            <w:noWrap/>
            <w:vAlign w:val="bottom"/>
            <w:hideMark/>
          </w:tcPr>
          <w:p w14:paraId="461662D7"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256</w:t>
            </w:r>
          </w:p>
        </w:tc>
        <w:tc>
          <w:tcPr>
            <w:tcW w:w="1000" w:type="dxa"/>
            <w:tcBorders>
              <w:top w:val="nil"/>
              <w:left w:val="nil"/>
              <w:bottom w:val="nil"/>
              <w:right w:val="nil"/>
            </w:tcBorders>
            <w:shd w:val="clear" w:color="auto" w:fill="auto"/>
            <w:noWrap/>
            <w:vAlign w:val="bottom"/>
            <w:hideMark/>
          </w:tcPr>
          <w:p w14:paraId="63DABDDA"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59B235A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 (F-statistic):</w:t>
            </w:r>
          </w:p>
        </w:tc>
        <w:tc>
          <w:tcPr>
            <w:tcW w:w="1000" w:type="dxa"/>
            <w:tcBorders>
              <w:top w:val="nil"/>
              <w:left w:val="nil"/>
              <w:bottom w:val="nil"/>
              <w:right w:val="nil"/>
            </w:tcBorders>
            <w:shd w:val="clear" w:color="auto" w:fill="auto"/>
            <w:noWrap/>
            <w:vAlign w:val="bottom"/>
            <w:hideMark/>
          </w:tcPr>
          <w:p w14:paraId="24C213C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0.031</w:t>
            </w:r>
          </w:p>
        </w:tc>
      </w:tr>
      <w:tr w:rsidR="0006183C" w:rsidRPr="0006183C" w14:paraId="7E622FAA" w14:textId="77777777" w:rsidTr="0006183C">
        <w:trPr>
          <w:divId w:val="1128166871"/>
          <w:trHeight w:val="288"/>
          <w:jc w:val="center"/>
        </w:trPr>
        <w:tc>
          <w:tcPr>
            <w:tcW w:w="2701" w:type="dxa"/>
            <w:gridSpan w:val="2"/>
            <w:tcBorders>
              <w:top w:val="nil"/>
              <w:left w:val="nil"/>
              <w:bottom w:val="nil"/>
              <w:right w:val="nil"/>
            </w:tcBorders>
            <w:shd w:val="clear" w:color="auto" w:fill="auto"/>
            <w:noWrap/>
            <w:vAlign w:val="bottom"/>
            <w:hideMark/>
          </w:tcPr>
          <w:p w14:paraId="78721E7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Residuals:    </w:t>
            </w:r>
          </w:p>
        </w:tc>
        <w:tc>
          <w:tcPr>
            <w:tcW w:w="1277" w:type="dxa"/>
            <w:tcBorders>
              <w:top w:val="nil"/>
              <w:left w:val="nil"/>
              <w:bottom w:val="nil"/>
              <w:right w:val="nil"/>
            </w:tcBorders>
            <w:shd w:val="clear" w:color="auto" w:fill="auto"/>
            <w:noWrap/>
            <w:vAlign w:val="bottom"/>
            <w:hideMark/>
          </w:tcPr>
          <w:p w14:paraId="4D0752AF"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251</w:t>
            </w:r>
          </w:p>
        </w:tc>
        <w:tc>
          <w:tcPr>
            <w:tcW w:w="1000" w:type="dxa"/>
            <w:tcBorders>
              <w:top w:val="nil"/>
              <w:left w:val="nil"/>
              <w:bottom w:val="nil"/>
              <w:right w:val="nil"/>
            </w:tcBorders>
            <w:shd w:val="clear" w:color="auto" w:fill="auto"/>
            <w:noWrap/>
            <w:vAlign w:val="bottom"/>
            <w:hideMark/>
          </w:tcPr>
          <w:p w14:paraId="2CFBD7DF"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549546C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Log-Likelihood:    </w:t>
            </w:r>
          </w:p>
        </w:tc>
        <w:tc>
          <w:tcPr>
            <w:tcW w:w="1000" w:type="dxa"/>
            <w:tcBorders>
              <w:top w:val="nil"/>
              <w:left w:val="nil"/>
              <w:bottom w:val="nil"/>
              <w:right w:val="nil"/>
            </w:tcBorders>
            <w:shd w:val="clear" w:color="auto" w:fill="auto"/>
            <w:noWrap/>
            <w:vAlign w:val="bottom"/>
            <w:hideMark/>
          </w:tcPr>
          <w:p w14:paraId="7DC80B3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514.65</w:t>
            </w:r>
          </w:p>
        </w:tc>
      </w:tr>
      <w:tr w:rsidR="0006183C" w:rsidRPr="0006183C" w14:paraId="74125716" w14:textId="77777777" w:rsidTr="0006183C">
        <w:trPr>
          <w:divId w:val="1128166871"/>
          <w:trHeight w:val="288"/>
          <w:jc w:val="center"/>
        </w:trPr>
        <w:tc>
          <w:tcPr>
            <w:tcW w:w="2701" w:type="dxa"/>
            <w:gridSpan w:val="2"/>
            <w:tcBorders>
              <w:top w:val="nil"/>
              <w:left w:val="nil"/>
              <w:bottom w:val="nil"/>
              <w:right w:val="nil"/>
            </w:tcBorders>
            <w:shd w:val="clear" w:color="auto" w:fill="auto"/>
            <w:noWrap/>
            <w:vAlign w:val="bottom"/>
            <w:hideMark/>
          </w:tcPr>
          <w:p w14:paraId="17CB7715"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Df</w:t>
            </w:r>
            <w:proofErr w:type="spellEnd"/>
            <w:r w:rsidRPr="0006183C">
              <w:rPr>
                <w:rFonts w:ascii="Calibri" w:eastAsia="Times New Roman" w:hAnsi="Calibri" w:cs="Calibri"/>
                <w:color w:val="000000"/>
                <w:kern w:val="0"/>
                <w:sz w:val="18"/>
                <w:szCs w:val="18"/>
                <w14:ligatures w14:val="none"/>
              </w:rPr>
              <w:t xml:space="preserve"> Model:        </w:t>
            </w:r>
          </w:p>
        </w:tc>
        <w:tc>
          <w:tcPr>
            <w:tcW w:w="1277" w:type="dxa"/>
            <w:tcBorders>
              <w:top w:val="nil"/>
              <w:left w:val="nil"/>
              <w:bottom w:val="nil"/>
              <w:right w:val="nil"/>
            </w:tcBorders>
            <w:shd w:val="clear" w:color="auto" w:fill="auto"/>
            <w:noWrap/>
            <w:vAlign w:val="bottom"/>
            <w:hideMark/>
          </w:tcPr>
          <w:p w14:paraId="73A430E0"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4</w:t>
            </w:r>
          </w:p>
        </w:tc>
        <w:tc>
          <w:tcPr>
            <w:tcW w:w="1000" w:type="dxa"/>
            <w:tcBorders>
              <w:top w:val="nil"/>
              <w:left w:val="nil"/>
              <w:bottom w:val="nil"/>
              <w:right w:val="nil"/>
            </w:tcBorders>
            <w:shd w:val="clear" w:color="auto" w:fill="auto"/>
            <w:noWrap/>
            <w:vAlign w:val="bottom"/>
            <w:hideMark/>
          </w:tcPr>
          <w:p w14:paraId="7CF3EFD1"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35441B3D"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AIC:               </w:t>
            </w:r>
          </w:p>
        </w:tc>
        <w:tc>
          <w:tcPr>
            <w:tcW w:w="1000" w:type="dxa"/>
            <w:tcBorders>
              <w:top w:val="nil"/>
              <w:left w:val="nil"/>
              <w:bottom w:val="nil"/>
              <w:right w:val="nil"/>
            </w:tcBorders>
            <w:shd w:val="clear" w:color="auto" w:fill="auto"/>
            <w:noWrap/>
            <w:vAlign w:val="bottom"/>
            <w:hideMark/>
          </w:tcPr>
          <w:p w14:paraId="10D5C5C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-1019</w:t>
            </w:r>
          </w:p>
        </w:tc>
      </w:tr>
      <w:tr w:rsidR="0006183C" w:rsidRPr="0006183C" w14:paraId="080FB741" w14:textId="77777777" w:rsidTr="0006183C">
        <w:trPr>
          <w:divId w:val="1128166871"/>
          <w:trHeight w:val="288"/>
          <w:jc w:val="center"/>
        </w:trPr>
        <w:tc>
          <w:tcPr>
            <w:tcW w:w="2701" w:type="dxa"/>
            <w:gridSpan w:val="2"/>
            <w:tcBorders>
              <w:top w:val="nil"/>
              <w:left w:val="nil"/>
              <w:bottom w:val="nil"/>
              <w:right w:val="nil"/>
            </w:tcBorders>
            <w:shd w:val="clear" w:color="auto" w:fill="auto"/>
            <w:noWrap/>
            <w:vAlign w:val="bottom"/>
            <w:hideMark/>
          </w:tcPr>
          <w:p w14:paraId="7EA3CC5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Covariance Type: </w:t>
            </w:r>
          </w:p>
        </w:tc>
        <w:tc>
          <w:tcPr>
            <w:tcW w:w="1277" w:type="dxa"/>
            <w:tcBorders>
              <w:top w:val="nil"/>
              <w:left w:val="nil"/>
              <w:bottom w:val="nil"/>
              <w:right w:val="nil"/>
            </w:tcBorders>
            <w:shd w:val="clear" w:color="auto" w:fill="auto"/>
            <w:noWrap/>
            <w:vAlign w:val="bottom"/>
            <w:hideMark/>
          </w:tcPr>
          <w:p w14:paraId="6CE42935"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nonrobust</w:t>
            </w:r>
            <w:proofErr w:type="spellEnd"/>
            <w:r w:rsidRPr="0006183C">
              <w:rPr>
                <w:rFonts w:ascii="Calibri" w:eastAsia="Times New Roman" w:hAnsi="Calibri" w:cs="Calibri"/>
                <w:color w:val="000000"/>
                <w:kern w:val="0"/>
                <w:sz w:val="18"/>
                <w:szCs w:val="18"/>
                <w14:ligatures w14:val="none"/>
              </w:rPr>
              <w:t xml:space="preserve">        </w:t>
            </w:r>
          </w:p>
        </w:tc>
        <w:tc>
          <w:tcPr>
            <w:tcW w:w="1000" w:type="dxa"/>
            <w:tcBorders>
              <w:top w:val="nil"/>
              <w:left w:val="nil"/>
              <w:bottom w:val="nil"/>
              <w:right w:val="nil"/>
            </w:tcBorders>
            <w:shd w:val="clear" w:color="auto" w:fill="auto"/>
            <w:noWrap/>
            <w:vAlign w:val="bottom"/>
            <w:hideMark/>
          </w:tcPr>
          <w:p w14:paraId="080DC839" w14:textId="77777777" w:rsidR="0006183C" w:rsidRPr="0006183C" w:rsidRDefault="0006183C" w:rsidP="0006183C">
            <w:pPr>
              <w:spacing w:after="0" w:line="240" w:lineRule="auto"/>
              <w:jc w:val="center"/>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13C6F0D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BIC:               </w:t>
            </w:r>
          </w:p>
        </w:tc>
        <w:tc>
          <w:tcPr>
            <w:tcW w:w="1000" w:type="dxa"/>
            <w:tcBorders>
              <w:top w:val="nil"/>
              <w:left w:val="nil"/>
              <w:bottom w:val="nil"/>
              <w:right w:val="nil"/>
            </w:tcBorders>
            <w:shd w:val="clear" w:color="auto" w:fill="auto"/>
            <w:noWrap/>
            <w:vAlign w:val="bottom"/>
            <w:hideMark/>
          </w:tcPr>
          <w:p w14:paraId="5211986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-1002</w:t>
            </w:r>
          </w:p>
        </w:tc>
      </w:tr>
      <w:tr w:rsidR="0006183C" w:rsidRPr="0006183C" w14:paraId="4919AFFC" w14:textId="77777777" w:rsidTr="0006183C">
        <w:trPr>
          <w:divId w:val="1128166871"/>
          <w:trHeight w:val="288"/>
          <w:jc w:val="center"/>
        </w:trPr>
        <w:tc>
          <w:tcPr>
            <w:tcW w:w="1978" w:type="dxa"/>
            <w:tcBorders>
              <w:top w:val="single" w:sz="4" w:space="0" w:color="auto"/>
              <w:left w:val="nil"/>
              <w:bottom w:val="single" w:sz="4" w:space="0" w:color="auto"/>
              <w:right w:val="nil"/>
            </w:tcBorders>
            <w:shd w:val="clear" w:color="auto" w:fill="auto"/>
            <w:noWrap/>
            <w:vAlign w:val="bottom"/>
            <w:hideMark/>
          </w:tcPr>
          <w:p w14:paraId="5DF5EF4F"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
        </w:tc>
        <w:tc>
          <w:tcPr>
            <w:tcW w:w="723" w:type="dxa"/>
            <w:tcBorders>
              <w:top w:val="single" w:sz="4" w:space="0" w:color="auto"/>
              <w:left w:val="nil"/>
              <w:bottom w:val="single" w:sz="4" w:space="0" w:color="auto"/>
              <w:right w:val="nil"/>
            </w:tcBorders>
            <w:shd w:val="clear" w:color="auto" w:fill="auto"/>
            <w:noWrap/>
            <w:vAlign w:val="bottom"/>
            <w:hideMark/>
          </w:tcPr>
          <w:p w14:paraId="3EEA9A7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w:t>
            </w:r>
            <w:proofErr w:type="spellStart"/>
            <w:r w:rsidRPr="0006183C">
              <w:rPr>
                <w:rFonts w:ascii="Calibri" w:eastAsia="Times New Roman" w:hAnsi="Calibri" w:cs="Calibri"/>
                <w:color w:val="000000"/>
                <w:kern w:val="0"/>
                <w:sz w:val="18"/>
                <w:szCs w:val="18"/>
                <w14:ligatures w14:val="none"/>
              </w:rPr>
              <w:t>coef</w:t>
            </w:r>
            <w:proofErr w:type="spellEnd"/>
            <w:r w:rsidRPr="0006183C">
              <w:rPr>
                <w:rFonts w:ascii="Calibri" w:eastAsia="Times New Roman" w:hAnsi="Calibri" w:cs="Calibri"/>
                <w:color w:val="000000"/>
                <w:kern w:val="0"/>
                <w:sz w:val="18"/>
                <w:szCs w:val="18"/>
                <w14:ligatures w14:val="none"/>
              </w:rPr>
              <w:t xml:space="preserve">   </w:t>
            </w:r>
          </w:p>
        </w:tc>
        <w:tc>
          <w:tcPr>
            <w:tcW w:w="1277" w:type="dxa"/>
            <w:tcBorders>
              <w:top w:val="single" w:sz="4" w:space="0" w:color="auto"/>
              <w:left w:val="nil"/>
              <w:bottom w:val="single" w:sz="4" w:space="0" w:color="auto"/>
              <w:right w:val="nil"/>
            </w:tcBorders>
            <w:shd w:val="clear" w:color="auto" w:fill="auto"/>
            <w:noWrap/>
            <w:vAlign w:val="bottom"/>
            <w:hideMark/>
          </w:tcPr>
          <w:p w14:paraId="4934AF3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std err </w:t>
            </w:r>
          </w:p>
        </w:tc>
        <w:tc>
          <w:tcPr>
            <w:tcW w:w="1000" w:type="dxa"/>
            <w:tcBorders>
              <w:top w:val="single" w:sz="4" w:space="0" w:color="auto"/>
              <w:left w:val="nil"/>
              <w:bottom w:val="single" w:sz="4" w:space="0" w:color="auto"/>
              <w:right w:val="nil"/>
            </w:tcBorders>
            <w:shd w:val="clear" w:color="auto" w:fill="auto"/>
            <w:noWrap/>
            <w:vAlign w:val="bottom"/>
            <w:hideMark/>
          </w:tcPr>
          <w:p w14:paraId="053348C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t    </w:t>
            </w:r>
          </w:p>
        </w:tc>
        <w:tc>
          <w:tcPr>
            <w:tcW w:w="864" w:type="dxa"/>
            <w:tcBorders>
              <w:top w:val="single" w:sz="4" w:space="0" w:color="auto"/>
              <w:left w:val="nil"/>
              <w:bottom w:val="single" w:sz="4" w:space="0" w:color="auto"/>
              <w:right w:val="nil"/>
            </w:tcBorders>
            <w:shd w:val="clear" w:color="auto" w:fill="auto"/>
            <w:noWrap/>
            <w:vAlign w:val="bottom"/>
            <w:hideMark/>
          </w:tcPr>
          <w:p w14:paraId="1B7B7B5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P&gt;|t| </w:t>
            </w:r>
          </w:p>
        </w:tc>
        <w:tc>
          <w:tcPr>
            <w:tcW w:w="1136" w:type="dxa"/>
            <w:tcBorders>
              <w:top w:val="single" w:sz="4" w:space="0" w:color="auto"/>
              <w:left w:val="nil"/>
              <w:bottom w:val="single" w:sz="4" w:space="0" w:color="auto"/>
              <w:right w:val="nil"/>
            </w:tcBorders>
            <w:shd w:val="clear" w:color="auto" w:fill="auto"/>
            <w:noWrap/>
            <w:vAlign w:val="bottom"/>
            <w:hideMark/>
          </w:tcPr>
          <w:p w14:paraId="6B37A746"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[0.025 </w:t>
            </w:r>
          </w:p>
        </w:tc>
        <w:tc>
          <w:tcPr>
            <w:tcW w:w="1000" w:type="dxa"/>
            <w:tcBorders>
              <w:top w:val="single" w:sz="4" w:space="0" w:color="auto"/>
              <w:left w:val="nil"/>
              <w:bottom w:val="single" w:sz="4" w:space="0" w:color="auto"/>
              <w:right w:val="nil"/>
            </w:tcBorders>
            <w:shd w:val="clear" w:color="auto" w:fill="auto"/>
            <w:noWrap/>
            <w:vAlign w:val="bottom"/>
            <w:hideMark/>
          </w:tcPr>
          <w:p w14:paraId="51190D2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0.975] </w:t>
            </w:r>
          </w:p>
        </w:tc>
      </w:tr>
      <w:tr w:rsidR="0006183C" w:rsidRPr="0006183C" w14:paraId="68EA5393" w14:textId="77777777" w:rsidTr="0006183C">
        <w:trPr>
          <w:divId w:val="1128166871"/>
          <w:trHeight w:val="288"/>
          <w:jc w:val="center"/>
        </w:trPr>
        <w:tc>
          <w:tcPr>
            <w:tcW w:w="1978" w:type="dxa"/>
            <w:tcBorders>
              <w:top w:val="nil"/>
              <w:left w:val="nil"/>
              <w:bottom w:val="nil"/>
              <w:right w:val="nil"/>
            </w:tcBorders>
            <w:shd w:val="clear" w:color="auto" w:fill="auto"/>
            <w:noWrap/>
            <w:vAlign w:val="bottom"/>
            <w:hideMark/>
          </w:tcPr>
          <w:p w14:paraId="7981403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const                 </w:t>
            </w:r>
          </w:p>
        </w:tc>
        <w:tc>
          <w:tcPr>
            <w:tcW w:w="723" w:type="dxa"/>
            <w:tcBorders>
              <w:top w:val="nil"/>
              <w:left w:val="nil"/>
              <w:bottom w:val="nil"/>
              <w:right w:val="nil"/>
            </w:tcBorders>
            <w:shd w:val="clear" w:color="auto" w:fill="auto"/>
            <w:noWrap/>
            <w:vAlign w:val="bottom"/>
            <w:hideMark/>
          </w:tcPr>
          <w:p w14:paraId="6E889C5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0.031</w:t>
            </w:r>
          </w:p>
        </w:tc>
        <w:tc>
          <w:tcPr>
            <w:tcW w:w="1277" w:type="dxa"/>
            <w:tcBorders>
              <w:top w:val="nil"/>
              <w:left w:val="nil"/>
              <w:bottom w:val="nil"/>
              <w:right w:val="nil"/>
            </w:tcBorders>
            <w:shd w:val="clear" w:color="auto" w:fill="auto"/>
            <w:noWrap/>
            <w:vAlign w:val="bottom"/>
            <w:hideMark/>
          </w:tcPr>
          <w:p w14:paraId="09E2E89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0.004</w:t>
            </w:r>
          </w:p>
        </w:tc>
        <w:tc>
          <w:tcPr>
            <w:tcW w:w="1000" w:type="dxa"/>
            <w:tcBorders>
              <w:top w:val="nil"/>
              <w:left w:val="nil"/>
              <w:bottom w:val="nil"/>
              <w:right w:val="nil"/>
            </w:tcBorders>
            <w:shd w:val="clear" w:color="auto" w:fill="auto"/>
            <w:noWrap/>
            <w:vAlign w:val="bottom"/>
            <w:hideMark/>
          </w:tcPr>
          <w:p w14:paraId="6102804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7.93</w:t>
            </w:r>
          </w:p>
        </w:tc>
        <w:tc>
          <w:tcPr>
            <w:tcW w:w="864" w:type="dxa"/>
            <w:tcBorders>
              <w:top w:val="nil"/>
              <w:left w:val="nil"/>
              <w:bottom w:val="nil"/>
              <w:right w:val="nil"/>
            </w:tcBorders>
            <w:shd w:val="clear" w:color="auto" w:fill="auto"/>
            <w:noWrap/>
            <w:vAlign w:val="bottom"/>
            <w:hideMark/>
          </w:tcPr>
          <w:p w14:paraId="37FF712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136" w:type="dxa"/>
            <w:tcBorders>
              <w:top w:val="nil"/>
              <w:left w:val="nil"/>
              <w:bottom w:val="nil"/>
              <w:right w:val="nil"/>
            </w:tcBorders>
            <w:shd w:val="clear" w:color="auto" w:fill="auto"/>
            <w:noWrap/>
            <w:vAlign w:val="bottom"/>
            <w:hideMark/>
          </w:tcPr>
          <w:p w14:paraId="5DA4540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0.023</w:t>
            </w:r>
          </w:p>
        </w:tc>
        <w:tc>
          <w:tcPr>
            <w:tcW w:w="1000" w:type="dxa"/>
            <w:tcBorders>
              <w:top w:val="nil"/>
              <w:left w:val="nil"/>
              <w:bottom w:val="nil"/>
              <w:right w:val="nil"/>
            </w:tcBorders>
            <w:shd w:val="clear" w:color="auto" w:fill="auto"/>
            <w:noWrap/>
            <w:vAlign w:val="bottom"/>
            <w:hideMark/>
          </w:tcPr>
          <w:p w14:paraId="0437BA14"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0.039</w:t>
            </w:r>
          </w:p>
        </w:tc>
      </w:tr>
      <w:tr w:rsidR="0006183C" w:rsidRPr="0006183C" w14:paraId="2C9679F5" w14:textId="77777777" w:rsidTr="0006183C">
        <w:trPr>
          <w:divId w:val="1128166871"/>
          <w:trHeight w:val="288"/>
          <w:jc w:val="center"/>
        </w:trPr>
        <w:tc>
          <w:tcPr>
            <w:tcW w:w="1978" w:type="dxa"/>
            <w:tcBorders>
              <w:top w:val="nil"/>
              <w:left w:val="nil"/>
              <w:bottom w:val="nil"/>
              <w:right w:val="nil"/>
            </w:tcBorders>
            <w:shd w:val="clear" w:color="auto" w:fill="auto"/>
            <w:noWrap/>
            <w:vAlign w:val="bottom"/>
            <w:hideMark/>
          </w:tcPr>
          <w:p w14:paraId="0095251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Pessimism x similarity</w:t>
            </w:r>
          </w:p>
        </w:tc>
        <w:tc>
          <w:tcPr>
            <w:tcW w:w="723" w:type="dxa"/>
            <w:tcBorders>
              <w:top w:val="nil"/>
              <w:left w:val="nil"/>
              <w:bottom w:val="nil"/>
              <w:right w:val="nil"/>
            </w:tcBorders>
            <w:shd w:val="clear" w:color="auto" w:fill="auto"/>
            <w:noWrap/>
            <w:vAlign w:val="bottom"/>
            <w:hideMark/>
          </w:tcPr>
          <w:p w14:paraId="74BCB26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-0.3263</w:t>
            </w:r>
          </w:p>
        </w:tc>
        <w:tc>
          <w:tcPr>
            <w:tcW w:w="1277" w:type="dxa"/>
            <w:tcBorders>
              <w:top w:val="nil"/>
              <w:left w:val="nil"/>
              <w:bottom w:val="nil"/>
              <w:right w:val="nil"/>
            </w:tcBorders>
            <w:shd w:val="clear" w:color="auto" w:fill="auto"/>
            <w:noWrap/>
            <w:vAlign w:val="bottom"/>
            <w:hideMark/>
          </w:tcPr>
          <w:p w14:paraId="06150B7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0.181</w:t>
            </w:r>
          </w:p>
        </w:tc>
        <w:tc>
          <w:tcPr>
            <w:tcW w:w="1000" w:type="dxa"/>
            <w:tcBorders>
              <w:top w:val="nil"/>
              <w:left w:val="nil"/>
              <w:bottom w:val="nil"/>
              <w:right w:val="nil"/>
            </w:tcBorders>
            <w:shd w:val="clear" w:color="auto" w:fill="auto"/>
            <w:noWrap/>
            <w:vAlign w:val="bottom"/>
            <w:hideMark/>
          </w:tcPr>
          <w:p w14:paraId="70657E6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-1.798</w:t>
            </w:r>
          </w:p>
        </w:tc>
        <w:tc>
          <w:tcPr>
            <w:tcW w:w="864" w:type="dxa"/>
            <w:tcBorders>
              <w:top w:val="nil"/>
              <w:left w:val="nil"/>
              <w:bottom w:val="nil"/>
              <w:right w:val="nil"/>
            </w:tcBorders>
            <w:shd w:val="clear" w:color="auto" w:fill="auto"/>
            <w:noWrap/>
            <w:vAlign w:val="bottom"/>
            <w:hideMark/>
          </w:tcPr>
          <w:p w14:paraId="00AF8C7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0.073</w:t>
            </w:r>
          </w:p>
        </w:tc>
        <w:tc>
          <w:tcPr>
            <w:tcW w:w="1136" w:type="dxa"/>
            <w:tcBorders>
              <w:top w:val="nil"/>
              <w:left w:val="nil"/>
              <w:bottom w:val="nil"/>
              <w:right w:val="nil"/>
            </w:tcBorders>
            <w:shd w:val="clear" w:color="auto" w:fill="auto"/>
            <w:noWrap/>
            <w:vAlign w:val="bottom"/>
            <w:hideMark/>
          </w:tcPr>
          <w:p w14:paraId="69AC70B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-0.684</w:t>
            </w:r>
          </w:p>
        </w:tc>
        <w:tc>
          <w:tcPr>
            <w:tcW w:w="1000" w:type="dxa"/>
            <w:tcBorders>
              <w:top w:val="nil"/>
              <w:left w:val="nil"/>
              <w:bottom w:val="nil"/>
              <w:right w:val="nil"/>
            </w:tcBorders>
            <w:shd w:val="clear" w:color="auto" w:fill="auto"/>
            <w:noWrap/>
            <w:vAlign w:val="bottom"/>
            <w:hideMark/>
          </w:tcPr>
          <w:p w14:paraId="176C30BD"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0.031</w:t>
            </w:r>
          </w:p>
        </w:tc>
      </w:tr>
      <w:tr w:rsidR="0006183C" w:rsidRPr="0006183C" w14:paraId="1E55CCBF" w14:textId="77777777" w:rsidTr="0006183C">
        <w:trPr>
          <w:divId w:val="1128166871"/>
          <w:trHeight w:val="288"/>
          <w:jc w:val="center"/>
        </w:trPr>
        <w:tc>
          <w:tcPr>
            <w:tcW w:w="1978" w:type="dxa"/>
            <w:tcBorders>
              <w:top w:val="nil"/>
              <w:left w:val="nil"/>
              <w:bottom w:val="nil"/>
              <w:right w:val="nil"/>
            </w:tcBorders>
            <w:shd w:val="clear" w:color="auto" w:fill="auto"/>
            <w:noWrap/>
            <w:vAlign w:val="bottom"/>
            <w:hideMark/>
          </w:tcPr>
          <w:p w14:paraId="23D187C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proofErr w:type="spellStart"/>
            <w:r w:rsidRPr="0006183C">
              <w:rPr>
                <w:rFonts w:ascii="Calibri" w:eastAsia="Times New Roman" w:hAnsi="Calibri" w:cs="Calibri"/>
                <w:color w:val="000000"/>
                <w:kern w:val="0"/>
                <w:sz w:val="18"/>
                <w:szCs w:val="18"/>
                <w14:ligatures w14:val="none"/>
              </w:rPr>
              <w:t>output_gap_quart</w:t>
            </w:r>
            <w:proofErr w:type="spellEnd"/>
            <w:r w:rsidRPr="0006183C">
              <w:rPr>
                <w:rFonts w:ascii="Calibri" w:eastAsia="Times New Roman" w:hAnsi="Calibri" w:cs="Calibri"/>
                <w:color w:val="000000"/>
                <w:kern w:val="0"/>
                <w:sz w:val="18"/>
                <w:szCs w:val="18"/>
                <w14:ligatures w14:val="none"/>
              </w:rPr>
              <w:t xml:space="preserve">      </w:t>
            </w:r>
          </w:p>
        </w:tc>
        <w:tc>
          <w:tcPr>
            <w:tcW w:w="723" w:type="dxa"/>
            <w:tcBorders>
              <w:top w:val="nil"/>
              <w:left w:val="nil"/>
              <w:bottom w:val="nil"/>
              <w:right w:val="nil"/>
            </w:tcBorders>
            <w:shd w:val="clear" w:color="auto" w:fill="auto"/>
            <w:noWrap/>
            <w:vAlign w:val="bottom"/>
            <w:hideMark/>
          </w:tcPr>
          <w:p w14:paraId="38533DC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-0.0963</w:t>
            </w:r>
          </w:p>
        </w:tc>
        <w:tc>
          <w:tcPr>
            <w:tcW w:w="1277" w:type="dxa"/>
            <w:tcBorders>
              <w:top w:val="nil"/>
              <w:left w:val="nil"/>
              <w:bottom w:val="nil"/>
              <w:right w:val="nil"/>
            </w:tcBorders>
            <w:shd w:val="clear" w:color="auto" w:fill="auto"/>
            <w:noWrap/>
            <w:vAlign w:val="bottom"/>
            <w:hideMark/>
          </w:tcPr>
          <w:p w14:paraId="6C75DC9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0.126</w:t>
            </w:r>
          </w:p>
        </w:tc>
        <w:tc>
          <w:tcPr>
            <w:tcW w:w="1000" w:type="dxa"/>
            <w:tcBorders>
              <w:top w:val="nil"/>
              <w:left w:val="nil"/>
              <w:bottom w:val="nil"/>
              <w:right w:val="nil"/>
            </w:tcBorders>
            <w:shd w:val="clear" w:color="auto" w:fill="auto"/>
            <w:noWrap/>
            <w:vAlign w:val="bottom"/>
            <w:hideMark/>
          </w:tcPr>
          <w:p w14:paraId="009DBE18"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-0.766</w:t>
            </w:r>
          </w:p>
        </w:tc>
        <w:tc>
          <w:tcPr>
            <w:tcW w:w="864" w:type="dxa"/>
            <w:tcBorders>
              <w:top w:val="nil"/>
              <w:left w:val="nil"/>
              <w:bottom w:val="nil"/>
              <w:right w:val="nil"/>
            </w:tcBorders>
            <w:shd w:val="clear" w:color="auto" w:fill="auto"/>
            <w:noWrap/>
            <w:vAlign w:val="bottom"/>
            <w:hideMark/>
          </w:tcPr>
          <w:p w14:paraId="3E925BC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0.444</w:t>
            </w:r>
          </w:p>
        </w:tc>
        <w:tc>
          <w:tcPr>
            <w:tcW w:w="1136" w:type="dxa"/>
            <w:tcBorders>
              <w:top w:val="nil"/>
              <w:left w:val="nil"/>
              <w:bottom w:val="nil"/>
              <w:right w:val="nil"/>
            </w:tcBorders>
            <w:shd w:val="clear" w:color="auto" w:fill="auto"/>
            <w:noWrap/>
            <w:vAlign w:val="bottom"/>
            <w:hideMark/>
          </w:tcPr>
          <w:p w14:paraId="0FD8094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-0.344</w:t>
            </w:r>
          </w:p>
        </w:tc>
        <w:tc>
          <w:tcPr>
            <w:tcW w:w="1000" w:type="dxa"/>
            <w:tcBorders>
              <w:top w:val="nil"/>
              <w:left w:val="nil"/>
              <w:bottom w:val="nil"/>
              <w:right w:val="nil"/>
            </w:tcBorders>
            <w:shd w:val="clear" w:color="auto" w:fill="auto"/>
            <w:noWrap/>
            <w:vAlign w:val="bottom"/>
            <w:hideMark/>
          </w:tcPr>
          <w:p w14:paraId="6DE8FD9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0.151</w:t>
            </w:r>
          </w:p>
        </w:tc>
      </w:tr>
      <w:tr w:rsidR="0006183C" w:rsidRPr="0006183C" w14:paraId="0331AC39" w14:textId="77777777" w:rsidTr="0006183C">
        <w:trPr>
          <w:divId w:val="1128166871"/>
          <w:trHeight w:val="288"/>
          <w:jc w:val="center"/>
        </w:trPr>
        <w:tc>
          <w:tcPr>
            <w:tcW w:w="1978" w:type="dxa"/>
            <w:tcBorders>
              <w:top w:val="nil"/>
              <w:left w:val="nil"/>
              <w:bottom w:val="nil"/>
              <w:right w:val="nil"/>
            </w:tcBorders>
            <w:shd w:val="clear" w:color="auto" w:fill="auto"/>
            <w:noWrap/>
            <w:vAlign w:val="bottom"/>
            <w:hideMark/>
          </w:tcPr>
          <w:p w14:paraId="5C9C8018"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Inflation             </w:t>
            </w:r>
          </w:p>
        </w:tc>
        <w:tc>
          <w:tcPr>
            <w:tcW w:w="723" w:type="dxa"/>
            <w:tcBorders>
              <w:top w:val="nil"/>
              <w:left w:val="nil"/>
              <w:bottom w:val="nil"/>
              <w:right w:val="nil"/>
            </w:tcBorders>
            <w:shd w:val="clear" w:color="auto" w:fill="auto"/>
            <w:noWrap/>
            <w:vAlign w:val="bottom"/>
            <w:hideMark/>
          </w:tcPr>
          <w:p w14:paraId="7AEB083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0.0471</w:t>
            </w:r>
          </w:p>
        </w:tc>
        <w:tc>
          <w:tcPr>
            <w:tcW w:w="1277" w:type="dxa"/>
            <w:tcBorders>
              <w:top w:val="nil"/>
              <w:left w:val="nil"/>
              <w:bottom w:val="nil"/>
              <w:right w:val="nil"/>
            </w:tcBorders>
            <w:shd w:val="clear" w:color="auto" w:fill="auto"/>
            <w:noWrap/>
            <w:vAlign w:val="bottom"/>
            <w:hideMark/>
          </w:tcPr>
          <w:p w14:paraId="25A6E43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0.161</w:t>
            </w:r>
          </w:p>
        </w:tc>
        <w:tc>
          <w:tcPr>
            <w:tcW w:w="1000" w:type="dxa"/>
            <w:tcBorders>
              <w:top w:val="nil"/>
              <w:left w:val="nil"/>
              <w:bottom w:val="nil"/>
              <w:right w:val="nil"/>
            </w:tcBorders>
            <w:shd w:val="clear" w:color="auto" w:fill="auto"/>
            <w:noWrap/>
            <w:vAlign w:val="bottom"/>
            <w:hideMark/>
          </w:tcPr>
          <w:p w14:paraId="0E8F1CA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0.293</w:t>
            </w:r>
          </w:p>
        </w:tc>
        <w:tc>
          <w:tcPr>
            <w:tcW w:w="864" w:type="dxa"/>
            <w:tcBorders>
              <w:top w:val="nil"/>
              <w:left w:val="nil"/>
              <w:bottom w:val="nil"/>
              <w:right w:val="nil"/>
            </w:tcBorders>
            <w:shd w:val="clear" w:color="auto" w:fill="auto"/>
            <w:noWrap/>
            <w:vAlign w:val="bottom"/>
            <w:hideMark/>
          </w:tcPr>
          <w:p w14:paraId="234A1AD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0.77</w:t>
            </w:r>
          </w:p>
        </w:tc>
        <w:tc>
          <w:tcPr>
            <w:tcW w:w="1136" w:type="dxa"/>
            <w:tcBorders>
              <w:top w:val="nil"/>
              <w:left w:val="nil"/>
              <w:bottom w:val="nil"/>
              <w:right w:val="nil"/>
            </w:tcBorders>
            <w:shd w:val="clear" w:color="auto" w:fill="auto"/>
            <w:noWrap/>
            <w:vAlign w:val="bottom"/>
            <w:hideMark/>
          </w:tcPr>
          <w:p w14:paraId="6CF569F9"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-0.269</w:t>
            </w:r>
          </w:p>
        </w:tc>
        <w:tc>
          <w:tcPr>
            <w:tcW w:w="1000" w:type="dxa"/>
            <w:tcBorders>
              <w:top w:val="nil"/>
              <w:left w:val="nil"/>
              <w:bottom w:val="nil"/>
              <w:right w:val="nil"/>
            </w:tcBorders>
            <w:shd w:val="clear" w:color="auto" w:fill="auto"/>
            <w:noWrap/>
            <w:vAlign w:val="bottom"/>
            <w:hideMark/>
          </w:tcPr>
          <w:p w14:paraId="1DEF5F8F"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0.363</w:t>
            </w:r>
          </w:p>
        </w:tc>
      </w:tr>
      <w:tr w:rsidR="0006183C" w:rsidRPr="0006183C" w14:paraId="6843BC39" w14:textId="77777777" w:rsidTr="0006183C">
        <w:trPr>
          <w:divId w:val="1128166871"/>
          <w:trHeight w:val="288"/>
          <w:jc w:val="center"/>
        </w:trPr>
        <w:tc>
          <w:tcPr>
            <w:tcW w:w="1978" w:type="dxa"/>
            <w:tcBorders>
              <w:top w:val="nil"/>
              <w:left w:val="nil"/>
              <w:bottom w:val="nil"/>
              <w:right w:val="nil"/>
            </w:tcBorders>
            <w:shd w:val="clear" w:color="auto" w:fill="auto"/>
            <w:noWrap/>
            <w:vAlign w:val="bottom"/>
            <w:hideMark/>
          </w:tcPr>
          <w:p w14:paraId="23A8ADD2"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Delta MRO             </w:t>
            </w:r>
          </w:p>
        </w:tc>
        <w:tc>
          <w:tcPr>
            <w:tcW w:w="723" w:type="dxa"/>
            <w:tcBorders>
              <w:top w:val="nil"/>
              <w:left w:val="nil"/>
              <w:bottom w:val="nil"/>
              <w:right w:val="nil"/>
            </w:tcBorders>
            <w:shd w:val="clear" w:color="auto" w:fill="auto"/>
            <w:noWrap/>
            <w:vAlign w:val="bottom"/>
            <w:hideMark/>
          </w:tcPr>
          <w:p w14:paraId="1921241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-0.0254</w:t>
            </w:r>
          </w:p>
        </w:tc>
        <w:tc>
          <w:tcPr>
            <w:tcW w:w="1277" w:type="dxa"/>
            <w:tcBorders>
              <w:top w:val="nil"/>
              <w:left w:val="nil"/>
              <w:bottom w:val="nil"/>
              <w:right w:val="nil"/>
            </w:tcBorders>
            <w:shd w:val="clear" w:color="auto" w:fill="auto"/>
            <w:noWrap/>
            <w:vAlign w:val="bottom"/>
            <w:hideMark/>
          </w:tcPr>
          <w:p w14:paraId="277245D2"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0.014</w:t>
            </w:r>
          </w:p>
        </w:tc>
        <w:tc>
          <w:tcPr>
            <w:tcW w:w="1000" w:type="dxa"/>
            <w:tcBorders>
              <w:top w:val="nil"/>
              <w:left w:val="nil"/>
              <w:bottom w:val="nil"/>
              <w:right w:val="nil"/>
            </w:tcBorders>
            <w:shd w:val="clear" w:color="auto" w:fill="auto"/>
            <w:noWrap/>
            <w:vAlign w:val="bottom"/>
            <w:hideMark/>
          </w:tcPr>
          <w:p w14:paraId="65ED5D5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-1.753</w:t>
            </w:r>
          </w:p>
        </w:tc>
        <w:tc>
          <w:tcPr>
            <w:tcW w:w="864" w:type="dxa"/>
            <w:tcBorders>
              <w:top w:val="nil"/>
              <w:left w:val="nil"/>
              <w:bottom w:val="nil"/>
              <w:right w:val="nil"/>
            </w:tcBorders>
            <w:shd w:val="clear" w:color="auto" w:fill="auto"/>
            <w:noWrap/>
            <w:vAlign w:val="bottom"/>
            <w:hideMark/>
          </w:tcPr>
          <w:p w14:paraId="5E23649E"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0.081</w:t>
            </w:r>
          </w:p>
        </w:tc>
        <w:tc>
          <w:tcPr>
            <w:tcW w:w="1136" w:type="dxa"/>
            <w:tcBorders>
              <w:top w:val="nil"/>
              <w:left w:val="nil"/>
              <w:bottom w:val="nil"/>
              <w:right w:val="nil"/>
            </w:tcBorders>
            <w:shd w:val="clear" w:color="auto" w:fill="auto"/>
            <w:noWrap/>
            <w:vAlign w:val="bottom"/>
            <w:hideMark/>
          </w:tcPr>
          <w:p w14:paraId="0ED7E535"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-0.054</w:t>
            </w:r>
          </w:p>
        </w:tc>
        <w:tc>
          <w:tcPr>
            <w:tcW w:w="1000" w:type="dxa"/>
            <w:tcBorders>
              <w:top w:val="nil"/>
              <w:left w:val="nil"/>
              <w:bottom w:val="nil"/>
              <w:right w:val="nil"/>
            </w:tcBorders>
            <w:shd w:val="clear" w:color="auto" w:fill="auto"/>
            <w:noWrap/>
            <w:vAlign w:val="bottom"/>
            <w:hideMark/>
          </w:tcPr>
          <w:p w14:paraId="0B80D3A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0.003</w:t>
            </w:r>
          </w:p>
        </w:tc>
      </w:tr>
      <w:tr w:rsidR="0006183C" w:rsidRPr="0006183C" w14:paraId="283F80FA" w14:textId="77777777" w:rsidTr="0006183C">
        <w:trPr>
          <w:divId w:val="1128166871"/>
          <w:trHeight w:val="288"/>
          <w:jc w:val="center"/>
        </w:trPr>
        <w:tc>
          <w:tcPr>
            <w:tcW w:w="2701" w:type="dxa"/>
            <w:gridSpan w:val="2"/>
            <w:tcBorders>
              <w:top w:val="single" w:sz="4" w:space="0" w:color="auto"/>
              <w:left w:val="nil"/>
              <w:bottom w:val="nil"/>
              <w:right w:val="nil"/>
            </w:tcBorders>
            <w:shd w:val="clear" w:color="auto" w:fill="auto"/>
            <w:noWrap/>
            <w:vAlign w:val="bottom"/>
            <w:hideMark/>
          </w:tcPr>
          <w:p w14:paraId="0998D6C3"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Omnibus:      </w:t>
            </w:r>
          </w:p>
        </w:tc>
        <w:tc>
          <w:tcPr>
            <w:tcW w:w="1277" w:type="dxa"/>
            <w:tcBorders>
              <w:top w:val="single" w:sz="4" w:space="0" w:color="auto"/>
              <w:left w:val="nil"/>
              <w:bottom w:val="nil"/>
              <w:right w:val="nil"/>
            </w:tcBorders>
            <w:shd w:val="clear" w:color="auto" w:fill="auto"/>
            <w:noWrap/>
            <w:vAlign w:val="bottom"/>
            <w:hideMark/>
          </w:tcPr>
          <w:p w14:paraId="4773BA93"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260.692</w:t>
            </w:r>
          </w:p>
        </w:tc>
        <w:tc>
          <w:tcPr>
            <w:tcW w:w="1000" w:type="dxa"/>
            <w:tcBorders>
              <w:top w:val="single" w:sz="4" w:space="0" w:color="auto"/>
              <w:left w:val="nil"/>
              <w:bottom w:val="nil"/>
              <w:right w:val="nil"/>
            </w:tcBorders>
            <w:shd w:val="clear" w:color="auto" w:fill="auto"/>
            <w:noWrap/>
            <w:vAlign w:val="bottom"/>
            <w:hideMark/>
          </w:tcPr>
          <w:p w14:paraId="3DC97B09"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single" w:sz="4" w:space="0" w:color="auto"/>
              <w:left w:val="nil"/>
              <w:bottom w:val="nil"/>
              <w:right w:val="nil"/>
            </w:tcBorders>
            <w:shd w:val="clear" w:color="auto" w:fill="auto"/>
            <w:noWrap/>
            <w:vAlign w:val="bottom"/>
            <w:hideMark/>
          </w:tcPr>
          <w:p w14:paraId="7581D5BE"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Durbin-Watson:     </w:t>
            </w:r>
          </w:p>
        </w:tc>
        <w:tc>
          <w:tcPr>
            <w:tcW w:w="1000" w:type="dxa"/>
            <w:tcBorders>
              <w:top w:val="single" w:sz="4" w:space="0" w:color="auto"/>
              <w:left w:val="nil"/>
              <w:bottom w:val="nil"/>
              <w:right w:val="nil"/>
            </w:tcBorders>
            <w:shd w:val="clear" w:color="auto" w:fill="auto"/>
            <w:noWrap/>
            <w:vAlign w:val="bottom"/>
            <w:hideMark/>
          </w:tcPr>
          <w:p w14:paraId="10F1D33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1.997</w:t>
            </w:r>
          </w:p>
        </w:tc>
      </w:tr>
      <w:tr w:rsidR="0006183C" w:rsidRPr="0006183C" w14:paraId="0EFF0F55" w14:textId="77777777" w:rsidTr="0006183C">
        <w:trPr>
          <w:divId w:val="1128166871"/>
          <w:trHeight w:val="288"/>
          <w:jc w:val="center"/>
        </w:trPr>
        <w:tc>
          <w:tcPr>
            <w:tcW w:w="2701" w:type="dxa"/>
            <w:gridSpan w:val="2"/>
            <w:tcBorders>
              <w:top w:val="nil"/>
              <w:left w:val="nil"/>
              <w:bottom w:val="nil"/>
              <w:right w:val="nil"/>
            </w:tcBorders>
            <w:shd w:val="clear" w:color="auto" w:fill="auto"/>
            <w:noWrap/>
            <w:vAlign w:val="bottom"/>
            <w:hideMark/>
          </w:tcPr>
          <w:p w14:paraId="2743B490"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Prob(Omnibus):</w:t>
            </w:r>
          </w:p>
        </w:tc>
        <w:tc>
          <w:tcPr>
            <w:tcW w:w="1277" w:type="dxa"/>
            <w:tcBorders>
              <w:top w:val="nil"/>
              <w:left w:val="nil"/>
              <w:bottom w:val="nil"/>
              <w:right w:val="nil"/>
            </w:tcBorders>
            <w:shd w:val="clear" w:color="auto" w:fill="auto"/>
            <w:noWrap/>
            <w:vAlign w:val="bottom"/>
            <w:hideMark/>
          </w:tcPr>
          <w:p w14:paraId="6B72C59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c>
          <w:tcPr>
            <w:tcW w:w="1000" w:type="dxa"/>
            <w:tcBorders>
              <w:top w:val="nil"/>
              <w:left w:val="nil"/>
              <w:bottom w:val="nil"/>
              <w:right w:val="nil"/>
            </w:tcBorders>
            <w:shd w:val="clear" w:color="auto" w:fill="auto"/>
            <w:noWrap/>
            <w:vAlign w:val="bottom"/>
            <w:hideMark/>
          </w:tcPr>
          <w:p w14:paraId="2D120991"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805DB04"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Jarque-Bera (JB):  </w:t>
            </w:r>
          </w:p>
        </w:tc>
        <w:tc>
          <w:tcPr>
            <w:tcW w:w="1000" w:type="dxa"/>
            <w:tcBorders>
              <w:top w:val="nil"/>
              <w:left w:val="nil"/>
              <w:bottom w:val="nil"/>
              <w:right w:val="nil"/>
            </w:tcBorders>
            <w:shd w:val="clear" w:color="auto" w:fill="auto"/>
            <w:noWrap/>
            <w:vAlign w:val="bottom"/>
            <w:hideMark/>
          </w:tcPr>
          <w:p w14:paraId="03AFEC0B"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9970.554</w:t>
            </w:r>
          </w:p>
        </w:tc>
      </w:tr>
      <w:tr w:rsidR="0006183C" w:rsidRPr="0006183C" w14:paraId="67F2B82D" w14:textId="77777777" w:rsidTr="0006183C">
        <w:trPr>
          <w:divId w:val="1128166871"/>
          <w:trHeight w:val="288"/>
          <w:jc w:val="center"/>
        </w:trPr>
        <w:tc>
          <w:tcPr>
            <w:tcW w:w="2701" w:type="dxa"/>
            <w:gridSpan w:val="2"/>
            <w:tcBorders>
              <w:top w:val="nil"/>
              <w:left w:val="nil"/>
              <w:bottom w:val="nil"/>
              <w:right w:val="nil"/>
            </w:tcBorders>
            <w:shd w:val="clear" w:color="auto" w:fill="auto"/>
            <w:noWrap/>
            <w:vAlign w:val="bottom"/>
            <w:hideMark/>
          </w:tcPr>
          <w:p w14:paraId="69FBDF3B"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Skew:         </w:t>
            </w:r>
          </w:p>
        </w:tc>
        <w:tc>
          <w:tcPr>
            <w:tcW w:w="1277" w:type="dxa"/>
            <w:tcBorders>
              <w:top w:val="nil"/>
              <w:left w:val="nil"/>
              <w:bottom w:val="nil"/>
              <w:right w:val="nil"/>
            </w:tcBorders>
            <w:shd w:val="clear" w:color="auto" w:fill="auto"/>
            <w:noWrap/>
            <w:vAlign w:val="bottom"/>
            <w:hideMark/>
          </w:tcPr>
          <w:p w14:paraId="7EAFD2D7"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4.052</w:t>
            </w:r>
          </w:p>
        </w:tc>
        <w:tc>
          <w:tcPr>
            <w:tcW w:w="1000" w:type="dxa"/>
            <w:tcBorders>
              <w:top w:val="nil"/>
              <w:left w:val="nil"/>
              <w:bottom w:val="nil"/>
              <w:right w:val="nil"/>
            </w:tcBorders>
            <w:shd w:val="clear" w:color="auto" w:fill="auto"/>
            <w:noWrap/>
            <w:vAlign w:val="bottom"/>
            <w:hideMark/>
          </w:tcPr>
          <w:p w14:paraId="3A387E5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p>
        </w:tc>
        <w:tc>
          <w:tcPr>
            <w:tcW w:w="2000" w:type="dxa"/>
            <w:gridSpan w:val="2"/>
            <w:tcBorders>
              <w:top w:val="nil"/>
              <w:left w:val="nil"/>
              <w:bottom w:val="nil"/>
              <w:right w:val="nil"/>
            </w:tcBorders>
            <w:shd w:val="clear" w:color="auto" w:fill="auto"/>
            <w:noWrap/>
            <w:vAlign w:val="bottom"/>
            <w:hideMark/>
          </w:tcPr>
          <w:p w14:paraId="24538961"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Prob(JB):          </w:t>
            </w:r>
          </w:p>
        </w:tc>
        <w:tc>
          <w:tcPr>
            <w:tcW w:w="1000" w:type="dxa"/>
            <w:tcBorders>
              <w:top w:val="nil"/>
              <w:left w:val="nil"/>
              <w:bottom w:val="nil"/>
              <w:right w:val="nil"/>
            </w:tcBorders>
            <w:shd w:val="clear" w:color="auto" w:fill="auto"/>
            <w:noWrap/>
            <w:vAlign w:val="bottom"/>
            <w:hideMark/>
          </w:tcPr>
          <w:p w14:paraId="33CA0370"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0</w:t>
            </w:r>
          </w:p>
        </w:tc>
      </w:tr>
      <w:tr w:rsidR="0006183C" w:rsidRPr="0006183C" w14:paraId="357F3E6F" w14:textId="77777777" w:rsidTr="0006183C">
        <w:trPr>
          <w:divId w:val="1128166871"/>
          <w:trHeight w:val="288"/>
          <w:jc w:val="center"/>
        </w:trPr>
        <w:tc>
          <w:tcPr>
            <w:tcW w:w="2701" w:type="dxa"/>
            <w:gridSpan w:val="2"/>
            <w:tcBorders>
              <w:top w:val="nil"/>
              <w:left w:val="nil"/>
              <w:bottom w:val="single" w:sz="4" w:space="0" w:color="auto"/>
              <w:right w:val="nil"/>
            </w:tcBorders>
            <w:shd w:val="clear" w:color="auto" w:fill="auto"/>
            <w:noWrap/>
            <w:vAlign w:val="bottom"/>
            <w:hideMark/>
          </w:tcPr>
          <w:p w14:paraId="6590840A"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Kurtosis:     </w:t>
            </w:r>
          </w:p>
        </w:tc>
        <w:tc>
          <w:tcPr>
            <w:tcW w:w="1277" w:type="dxa"/>
            <w:tcBorders>
              <w:top w:val="nil"/>
              <w:left w:val="nil"/>
              <w:bottom w:val="single" w:sz="4" w:space="0" w:color="auto"/>
              <w:right w:val="nil"/>
            </w:tcBorders>
            <w:shd w:val="clear" w:color="auto" w:fill="auto"/>
            <w:noWrap/>
            <w:vAlign w:val="bottom"/>
            <w:hideMark/>
          </w:tcPr>
          <w:p w14:paraId="742670D6"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32.48</w:t>
            </w:r>
          </w:p>
        </w:tc>
        <w:tc>
          <w:tcPr>
            <w:tcW w:w="1000" w:type="dxa"/>
            <w:tcBorders>
              <w:top w:val="nil"/>
              <w:left w:val="nil"/>
              <w:bottom w:val="single" w:sz="4" w:space="0" w:color="auto"/>
              <w:right w:val="nil"/>
            </w:tcBorders>
            <w:shd w:val="clear" w:color="auto" w:fill="auto"/>
            <w:noWrap/>
            <w:vAlign w:val="bottom"/>
            <w:hideMark/>
          </w:tcPr>
          <w:p w14:paraId="01C3AF97"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w:t>
            </w:r>
          </w:p>
        </w:tc>
        <w:tc>
          <w:tcPr>
            <w:tcW w:w="2000" w:type="dxa"/>
            <w:gridSpan w:val="2"/>
            <w:tcBorders>
              <w:top w:val="nil"/>
              <w:left w:val="nil"/>
              <w:bottom w:val="single" w:sz="4" w:space="0" w:color="auto"/>
              <w:right w:val="nil"/>
            </w:tcBorders>
            <w:shd w:val="clear" w:color="auto" w:fill="auto"/>
            <w:noWrap/>
            <w:vAlign w:val="bottom"/>
            <w:hideMark/>
          </w:tcPr>
          <w:p w14:paraId="4B33F26C" w14:textId="77777777" w:rsidR="0006183C" w:rsidRPr="0006183C" w:rsidRDefault="0006183C" w:rsidP="0006183C">
            <w:pPr>
              <w:spacing w:after="0" w:line="240" w:lineRule="auto"/>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 xml:space="preserve">  Cond. No.          </w:t>
            </w:r>
          </w:p>
        </w:tc>
        <w:tc>
          <w:tcPr>
            <w:tcW w:w="1000" w:type="dxa"/>
            <w:tcBorders>
              <w:top w:val="nil"/>
              <w:left w:val="nil"/>
              <w:bottom w:val="single" w:sz="4" w:space="0" w:color="auto"/>
              <w:right w:val="nil"/>
            </w:tcBorders>
            <w:shd w:val="clear" w:color="auto" w:fill="auto"/>
            <w:noWrap/>
            <w:vAlign w:val="bottom"/>
            <w:hideMark/>
          </w:tcPr>
          <w:p w14:paraId="22E7E66A" w14:textId="77777777" w:rsidR="0006183C" w:rsidRPr="0006183C" w:rsidRDefault="0006183C" w:rsidP="0006183C">
            <w:pPr>
              <w:spacing w:after="0" w:line="240" w:lineRule="auto"/>
              <w:jc w:val="right"/>
              <w:rPr>
                <w:rFonts w:ascii="Calibri" w:eastAsia="Times New Roman" w:hAnsi="Calibri" w:cs="Calibri"/>
                <w:color w:val="000000"/>
                <w:kern w:val="0"/>
                <w:sz w:val="18"/>
                <w:szCs w:val="18"/>
                <w14:ligatures w14:val="none"/>
              </w:rPr>
            </w:pPr>
            <w:r w:rsidRPr="0006183C">
              <w:rPr>
                <w:rFonts w:ascii="Calibri" w:eastAsia="Times New Roman" w:hAnsi="Calibri" w:cs="Calibri"/>
                <w:color w:val="000000"/>
                <w:kern w:val="0"/>
                <w:sz w:val="18"/>
                <w:szCs w:val="18"/>
                <w14:ligatures w14:val="none"/>
              </w:rPr>
              <w:t>105</w:t>
            </w:r>
          </w:p>
        </w:tc>
      </w:tr>
    </w:tbl>
    <w:p w14:paraId="686F0E17" w14:textId="7058363C" w:rsidR="00060515" w:rsidRDefault="00370D75" w:rsidP="00A07E95">
      <w:pPr>
        <w:spacing w:line="240" w:lineRule="auto"/>
        <w:jc w:val="center"/>
        <w:rPr>
          <w:rFonts w:ascii="Times New Roman" w:hAnsi="Times New Roman" w:cs="Times New Roman"/>
          <w:sz w:val="24"/>
          <w:szCs w:val="24"/>
        </w:rPr>
      </w:pPr>
      <w:r>
        <w:rPr>
          <w:rFonts w:ascii="Times New Roman" w:hAnsi="Times New Roman" w:cs="Times New Roman"/>
          <w:sz w:val="24"/>
          <w:szCs w:val="24"/>
        </w:rPr>
        <w:fldChar w:fldCharType="end"/>
      </w:r>
      <w:r w:rsidR="00060515">
        <w:rPr>
          <w:rFonts w:ascii="Times New Roman" w:hAnsi="Times New Roman" w:cs="Times New Roman"/>
          <w:sz w:val="24"/>
          <w:szCs w:val="24"/>
        </w:rPr>
        <w:t>Source: Own elaboration.</w:t>
      </w:r>
    </w:p>
    <w:p w14:paraId="62ABB8F6" w14:textId="77777777" w:rsidR="00060515" w:rsidRDefault="00060515" w:rsidP="0079605B">
      <w:pPr>
        <w:spacing w:line="240" w:lineRule="auto"/>
        <w:rPr>
          <w:rFonts w:ascii="Times New Roman" w:hAnsi="Times New Roman" w:cs="Times New Roman"/>
          <w:sz w:val="24"/>
          <w:szCs w:val="24"/>
        </w:rPr>
      </w:pPr>
    </w:p>
    <w:p w14:paraId="0EB175BB" w14:textId="48FE4B91" w:rsidR="00A07E95" w:rsidRPr="0079605B" w:rsidRDefault="00A07E95" w:rsidP="0079605B">
      <w:pPr>
        <w:spacing w:line="240" w:lineRule="auto"/>
        <w:rPr>
          <w:rFonts w:ascii="Times New Roman" w:hAnsi="Times New Roman" w:cs="Times New Roman"/>
          <w:sz w:val="24"/>
          <w:szCs w:val="24"/>
        </w:rPr>
      </w:pPr>
      <w:r>
        <w:rPr>
          <w:rFonts w:ascii="Times New Roman" w:hAnsi="Times New Roman" w:cs="Times New Roman"/>
          <w:sz w:val="24"/>
          <w:szCs w:val="24"/>
        </w:rPr>
        <w:tab/>
      </w:r>
    </w:p>
    <w:sectPr w:rsidR="00A07E95" w:rsidRPr="0079605B">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00F82" w14:textId="77777777" w:rsidR="002E13B0" w:rsidRDefault="002E13B0" w:rsidP="00175018">
      <w:pPr>
        <w:spacing w:after="0" w:line="240" w:lineRule="auto"/>
      </w:pPr>
      <w:r>
        <w:separator/>
      </w:r>
    </w:p>
  </w:endnote>
  <w:endnote w:type="continuationSeparator" w:id="0">
    <w:p w14:paraId="2170A662" w14:textId="77777777" w:rsidR="002E13B0" w:rsidRDefault="002E13B0" w:rsidP="00175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845216"/>
      <w:docPartObj>
        <w:docPartGallery w:val="Page Numbers (Bottom of Page)"/>
        <w:docPartUnique/>
      </w:docPartObj>
    </w:sdtPr>
    <w:sdtEndPr>
      <w:rPr>
        <w:noProof/>
      </w:rPr>
    </w:sdtEndPr>
    <w:sdtContent>
      <w:p w14:paraId="30331202" w14:textId="2E39DA3A" w:rsidR="002B63C7" w:rsidRDefault="002B63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36ABEA" w14:textId="77777777" w:rsidR="006B2277" w:rsidRDefault="006B22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56CE4" w14:textId="77777777" w:rsidR="002E13B0" w:rsidRDefault="002E13B0" w:rsidP="00175018">
      <w:pPr>
        <w:spacing w:after="0" w:line="240" w:lineRule="auto"/>
      </w:pPr>
      <w:r>
        <w:separator/>
      </w:r>
    </w:p>
  </w:footnote>
  <w:footnote w:type="continuationSeparator" w:id="0">
    <w:p w14:paraId="382BFFB1" w14:textId="77777777" w:rsidR="002E13B0" w:rsidRDefault="002E13B0" w:rsidP="00175018">
      <w:pPr>
        <w:spacing w:after="0" w:line="240" w:lineRule="auto"/>
      </w:pPr>
      <w:r>
        <w:continuationSeparator/>
      </w:r>
    </w:p>
  </w:footnote>
  <w:footnote w:id="1">
    <w:p w14:paraId="237658B4" w14:textId="60C5AB70" w:rsidR="00E43281" w:rsidRPr="00E43281" w:rsidRDefault="00E43281">
      <w:pPr>
        <w:pStyle w:val="FootnoteText"/>
      </w:pPr>
      <w:r>
        <w:rPr>
          <w:rStyle w:val="FootnoteReference"/>
        </w:rPr>
        <w:footnoteRef/>
      </w:r>
      <w:r w:rsidRPr="00E43281">
        <w:t xml:space="preserve"> The whole code with t</w:t>
      </w:r>
      <w:r>
        <w:t xml:space="preserve">he estimations can be accessed at: </w:t>
      </w:r>
      <w:r w:rsidR="00174AB4" w:rsidRPr="00174AB4">
        <w:t>https://github.com/CamSalda/Inflation-Reduction-Act-event-study/blob/main/Event%20study%20code_02-25-2024.ipynb</w:t>
      </w:r>
    </w:p>
  </w:footnote>
  <w:footnote w:id="2">
    <w:p w14:paraId="09039894" w14:textId="7CC2AF37" w:rsidR="00951E25" w:rsidRPr="007E4D4A" w:rsidRDefault="00951E25">
      <w:pPr>
        <w:pStyle w:val="FootnoteText"/>
        <w:rPr>
          <w:lang w:val="fr-FR"/>
        </w:rPr>
      </w:pPr>
      <w:r>
        <w:rPr>
          <w:rStyle w:val="FootnoteReference"/>
        </w:rPr>
        <w:footnoteRef/>
      </w:r>
      <w:r w:rsidRPr="002530C6">
        <w:rPr>
          <w:lang w:val="fr-FR"/>
        </w:rPr>
        <w:t xml:space="preserve"> </w:t>
      </w:r>
      <w:proofErr w:type="spellStart"/>
      <w:r w:rsidRPr="002530C6">
        <w:rPr>
          <w:lang w:val="fr-FR"/>
        </w:rPr>
        <w:t>Msc</w:t>
      </w:r>
      <w:proofErr w:type="spellEnd"/>
      <w:r w:rsidRPr="002530C6">
        <w:rPr>
          <w:lang w:val="fr-FR"/>
        </w:rPr>
        <w:t xml:space="preserve">. </w:t>
      </w:r>
      <w:r w:rsidR="002530C6">
        <w:rPr>
          <w:lang w:val="fr-FR"/>
        </w:rPr>
        <w:t>i</w:t>
      </w:r>
      <w:r w:rsidRPr="002530C6">
        <w:rPr>
          <w:lang w:val="fr-FR"/>
        </w:rPr>
        <w:t xml:space="preserve">n </w:t>
      </w:r>
      <w:proofErr w:type="spellStart"/>
      <w:r w:rsidR="002530C6" w:rsidRPr="002530C6">
        <w:rPr>
          <w:lang w:val="fr-FR"/>
        </w:rPr>
        <w:t>E</w:t>
      </w:r>
      <w:r w:rsidRPr="002530C6">
        <w:rPr>
          <w:lang w:val="fr-FR"/>
        </w:rPr>
        <w:t>conomics</w:t>
      </w:r>
      <w:proofErr w:type="spellEnd"/>
      <w:r w:rsidR="002530C6" w:rsidRPr="002530C6">
        <w:rPr>
          <w:lang w:val="fr-FR"/>
        </w:rPr>
        <w:t xml:space="preserve"> and </w:t>
      </w:r>
      <w:proofErr w:type="spellStart"/>
      <w:r w:rsidR="002530C6" w:rsidRPr="002530C6">
        <w:rPr>
          <w:lang w:val="fr-FR"/>
        </w:rPr>
        <w:t>Msc</w:t>
      </w:r>
      <w:proofErr w:type="spellEnd"/>
      <w:r w:rsidR="002530C6" w:rsidRPr="002530C6">
        <w:rPr>
          <w:lang w:val="fr-FR"/>
        </w:rPr>
        <w:t>.</w:t>
      </w:r>
      <w:r w:rsidR="002530C6">
        <w:rPr>
          <w:lang w:val="fr-FR"/>
        </w:rPr>
        <w:t xml:space="preserve"> </w:t>
      </w:r>
      <w:r w:rsidR="002530C6" w:rsidRPr="002530C6">
        <w:rPr>
          <w:lang w:val="fr-FR"/>
        </w:rPr>
        <w:t xml:space="preserve">in </w:t>
      </w:r>
      <w:r w:rsidR="002530C6">
        <w:rPr>
          <w:lang w:val="fr-FR"/>
        </w:rPr>
        <w:t xml:space="preserve">Financial </w:t>
      </w:r>
      <w:proofErr w:type="spellStart"/>
      <w:r w:rsidR="002530C6">
        <w:rPr>
          <w:lang w:val="fr-FR"/>
        </w:rPr>
        <w:t>Economics</w:t>
      </w:r>
      <w:proofErr w:type="spellEnd"/>
      <w:r w:rsidRPr="00951E25">
        <w:rPr>
          <w:lang w:val="fr-FR"/>
        </w:rPr>
        <w:t xml:space="preserve"> </w:t>
      </w:r>
      <w:proofErr w:type="spellStart"/>
      <w:r w:rsidRPr="00951E25">
        <w:rPr>
          <w:lang w:val="fr-FR"/>
        </w:rPr>
        <w:t>from</w:t>
      </w:r>
      <w:proofErr w:type="spellEnd"/>
      <w:r w:rsidRPr="00951E25">
        <w:rPr>
          <w:lang w:val="fr-FR"/>
        </w:rPr>
        <w:t xml:space="preserve"> the École d'</w:t>
      </w:r>
      <w:r w:rsidR="00423DF9">
        <w:rPr>
          <w:lang w:val="fr-FR"/>
        </w:rPr>
        <w:t>É</w:t>
      </w:r>
      <w:r w:rsidRPr="00951E25">
        <w:rPr>
          <w:lang w:val="fr-FR"/>
        </w:rPr>
        <w:t>conomie de la Sorbonne</w:t>
      </w:r>
      <w:r>
        <w:rPr>
          <w:lang w:val="fr-FR"/>
        </w:rPr>
        <w:t xml:space="preserve">, </w:t>
      </w:r>
      <w:r w:rsidRPr="00951E25">
        <w:rPr>
          <w:lang w:val="fr-FR"/>
        </w:rPr>
        <w:t>Université Paris 1 Panthéon-Sorbonne</w:t>
      </w:r>
      <w:r>
        <w:rPr>
          <w:lang w:val="fr-FR"/>
        </w:rPr>
        <w:t xml:space="preserve">. </w:t>
      </w:r>
      <w:r w:rsidRPr="007E4D4A">
        <w:rPr>
          <w:lang w:val="fr-FR"/>
        </w:rPr>
        <w:t>E-mail: jcamsalda@gmail.com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144D1"/>
    <w:multiLevelType w:val="hybridMultilevel"/>
    <w:tmpl w:val="8C6A2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5603B"/>
    <w:multiLevelType w:val="hybridMultilevel"/>
    <w:tmpl w:val="5D6C4D3A"/>
    <w:lvl w:ilvl="0" w:tplc="AFBEA36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0F19EA"/>
    <w:multiLevelType w:val="hybridMultilevel"/>
    <w:tmpl w:val="0CBE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863AF"/>
    <w:multiLevelType w:val="hybridMultilevel"/>
    <w:tmpl w:val="D7DC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509A0"/>
    <w:multiLevelType w:val="hybridMultilevel"/>
    <w:tmpl w:val="EB3E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75ED6"/>
    <w:multiLevelType w:val="hybridMultilevel"/>
    <w:tmpl w:val="DD94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D64FF1"/>
    <w:multiLevelType w:val="hybridMultilevel"/>
    <w:tmpl w:val="576C2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B2292B"/>
    <w:multiLevelType w:val="hybridMultilevel"/>
    <w:tmpl w:val="C6B4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7E3CE8"/>
    <w:multiLevelType w:val="hybridMultilevel"/>
    <w:tmpl w:val="BC885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8000783">
    <w:abstractNumId w:val="2"/>
  </w:num>
  <w:num w:numId="2" w16cid:durableId="58721427">
    <w:abstractNumId w:val="4"/>
  </w:num>
  <w:num w:numId="3" w16cid:durableId="1678729292">
    <w:abstractNumId w:val="3"/>
  </w:num>
  <w:num w:numId="4" w16cid:durableId="104353868">
    <w:abstractNumId w:val="1"/>
  </w:num>
  <w:num w:numId="5" w16cid:durableId="1220050282">
    <w:abstractNumId w:val="0"/>
  </w:num>
  <w:num w:numId="6" w16cid:durableId="1699428444">
    <w:abstractNumId w:val="8"/>
  </w:num>
  <w:num w:numId="7" w16cid:durableId="573784069">
    <w:abstractNumId w:val="6"/>
  </w:num>
  <w:num w:numId="8" w16cid:durableId="514222966">
    <w:abstractNumId w:val="7"/>
  </w:num>
  <w:num w:numId="9" w16cid:durableId="5424485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IyMTQwNjIwNTM0NTZT0lEKTi0uzszPAykwNK8FAHz5+x8tAAAA"/>
  </w:docVars>
  <w:rsids>
    <w:rsidRoot w:val="006A0BE2"/>
    <w:rsid w:val="00001831"/>
    <w:rsid w:val="00002168"/>
    <w:rsid w:val="00024409"/>
    <w:rsid w:val="00037C5B"/>
    <w:rsid w:val="00060515"/>
    <w:rsid w:val="0006183C"/>
    <w:rsid w:val="00077D3E"/>
    <w:rsid w:val="00087A66"/>
    <w:rsid w:val="000932A3"/>
    <w:rsid w:val="00095C55"/>
    <w:rsid w:val="00095E7D"/>
    <w:rsid w:val="000A69CA"/>
    <w:rsid w:val="000B2A8E"/>
    <w:rsid w:val="000B3A86"/>
    <w:rsid w:val="000C4B02"/>
    <w:rsid w:val="000D3E10"/>
    <w:rsid w:val="000E0BD4"/>
    <w:rsid w:val="000E6738"/>
    <w:rsid w:val="000E7226"/>
    <w:rsid w:val="000F6D5A"/>
    <w:rsid w:val="0011635A"/>
    <w:rsid w:val="001246E8"/>
    <w:rsid w:val="0013244D"/>
    <w:rsid w:val="00142004"/>
    <w:rsid w:val="0014222B"/>
    <w:rsid w:val="00151BA0"/>
    <w:rsid w:val="0016374E"/>
    <w:rsid w:val="001675FB"/>
    <w:rsid w:val="00174AB4"/>
    <w:rsid w:val="00175018"/>
    <w:rsid w:val="0017696E"/>
    <w:rsid w:val="0017749A"/>
    <w:rsid w:val="00195716"/>
    <w:rsid w:val="0019608B"/>
    <w:rsid w:val="001976BF"/>
    <w:rsid w:val="001A2C6D"/>
    <w:rsid w:val="001B3F30"/>
    <w:rsid w:val="001C183B"/>
    <w:rsid w:val="001C2841"/>
    <w:rsid w:val="001C6CA7"/>
    <w:rsid w:val="001E35DB"/>
    <w:rsid w:val="001E4D82"/>
    <w:rsid w:val="00204631"/>
    <w:rsid w:val="00210FA0"/>
    <w:rsid w:val="00221090"/>
    <w:rsid w:val="00222AFD"/>
    <w:rsid w:val="00222E14"/>
    <w:rsid w:val="002231B4"/>
    <w:rsid w:val="00230047"/>
    <w:rsid w:val="002417FE"/>
    <w:rsid w:val="002530C6"/>
    <w:rsid w:val="00264B29"/>
    <w:rsid w:val="002655D2"/>
    <w:rsid w:val="00266C65"/>
    <w:rsid w:val="00294593"/>
    <w:rsid w:val="002B284B"/>
    <w:rsid w:val="002B63C7"/>
    <w:rsid w:val="002C4EB5"/>
    <w:rsid w:val="002D4D2B"/>
    <w:rsid w:val="002D6F83"/>
    <w:rsid w:val="002E0708"/>
    <w:rsid w:val="002E11D9"/>
    <w:rsid w:val="002E13B0"/>
    <w:rsid w:val="002F420B"/>
    <w:rsid w:val="002F5ACC"/>
    <w:rsid w:val="0030586A"/>
    <w:rsid w:val="00311D3B"/>
    <w:rsid w:val="003165CF"/>
    <w:rsid w:val="00324A66"/>
    <w:rsid w:val="00326ED1"/>
    <w:rsid w:val="00327123"/>
    <w:rsid w:val="0033713D"/>
    <w:rsid w:val="00343D50"/>
    <w:rsid w:val="00355989"/>
    <w:rsid w:val="00370D75"/>
    <w:rsid w:val="003715CB"/>
    <w:rsid w:val="003841CC"/>
    <w:rsid w:val="003B7C26"/>
    <w:rsid w:val="003C79C8"/>
    <w:rsid w:val="00412CB2"/>
    <w:rsid w:val="0041540E"/>
    <w:rsid w:val="00420449"/>
    <w:rsid w:val="00423DF9"/>
    <w:rsid w:val="00427F76"/>
    <w:rsid w:val="004360E6"/>
    <w:rsid w:val="004756C3"/>
    <w:rsid w:val="00476E6B"/>
    <w:rsid w:val="0048476E"/>
    <w:rsid w:val="004907A9"/>
    <w:rsid w:val="004A25EA"/>
    <w:rsid w:val="004B104E"/>
    <w:rsid w:val="004B79B3"/>
    <w:rsid w:val="004E26D4"/>
    <w:rsid w:val="004E4DEC"/>
    <w:rsid w:val="004E7F97"/>
    <w:rsid w:val="004F76C2"/>
    <w:rsid w:val="00510FCC"/>
    <w:rsid w:val="005113F2"/>
    <w:rsid w:val="00524D8C"/>
    <w:rsid w:val="00530813"/>
    <w:rsid w:val="00534911"/>
    <w:rsid w:val="00546C8E"/>
    <w:rsid w:val="005531F4"/>
    <w:rsid w:val="00563EE0"/>
    <w:rsid w:val="00575A7E"/>
    <w:rsid w:val="00576059"/>
    <w:rsid w:val="005808E9"/>
    <w:rsid w:val="00581A4B"/>
    <w:rsid w:val="00597174"/>
    <w:rsid w:val="005A2674"/>
    <w:rsid w:val="005A2ADD"/>
    <w:rsid w:val="005C269F"/>
    <w:rsid w:val="005C7B42"/>
    <w:rsid w:val="005D7035"/>
    <w:rsid w:val="005E0417"/>
    <w:rsid w:val="005E3362"/>
    <w:rsid w:val="006144EB"/>
    <w:rsid w:val="00615198"/>
    <w:rsid w:val="00617F0A"/>
    <w:rsid w:val="00631475"/>
    <w:rsid w:val="00643DE7"/>
    <w:rsid w:val="006472E8"/>
    <w:rsid w:val="00652CF3"/>
    <w:rsid w:val="00665BED"/>
    <w:rsid w:val="00674C59"/>
    <w:rsid w:val="00676653"/>
    <w:rsid w:val="006A0BE2"/>
    <w:rsid w:val="006B2277"/>
    <w:rsid w:val="006B3186"/>
    <w:rsid w:val="006B6070"/>
    <w:rsid w:val="006C074E"/>
    <w:rsid w:val="006C4F4C"/>
    <w:rsid w:val="006C59F8"/>
    <w:rsid w:val="006D2D25"/>
    <w:rsid w:val="006D4F81"/>
    <w:rsid w:val="006D5042"/>
    <w:rsid w:val="006E2542"/>
    <w:rsid w:val="0071587F"/>
    <w:rsid w:val="00721460"/>
    <w:rsid w:val="0072311D"/>
    <w:rsid w:val="0073216F"/>
    <w:rsid w:val="00741647"/>
    <w:rsid w:val="0075246F"/>
    <w:rsid w:val="0076503F"/>
    <w:rsid w:val="00771C69"/>
    <w:rsid w:val="007765F7"/>
    <w:rsid w:val="007807B0"/>
    <w:rsid w:val="0079605B"/>
    <w:rsid w:val="007D075E"/>
    <w:rsid w:val="007E0D55"/>
    <w:rsid w:val="007E4D4A"/>
    <w:rsid w:val="007E6264"/>
    <w:rsid w:val="007F1F57"/>
    <w:rsid w:val="007F2D87"/>
    <w:rsid w:val="00800417"/>
    <w:rsid w:val="00810ECF"/>
    <w:rsid w:val="00817284"/>
    <w:rsid w:val="00820B2B"/>
    <w:rsid w:val="00822DDE"/>
    <w:rsid w:val="00824795"/>
    <w:rsid w:val="00837D66"/>
    <w:rsid w:val="008472B0"/>
    <w:rsid w:val="0085014F"/>
    <w:rsid w:val="00864D75"/>
    <w:rsid w:val="00871F7D"/>
    <w:rsid w:val="00877B72"/>
    <w:rsid w:val="008A103C"/>
    <w:rsid w:val="008B4141"/>
    <w:rsid w:val="008C7224"/>
    <w:rsid w:val="008C7334"/>
    <w:rsid w:val="008E1AFF"/>
    <w:rsid w:val="00904172"/>
    <w:rsid w:val="00911C0A"/>
    <w:rsid w:val="009129D9"/>
    <w:rsid w:val="00933D00"/>
    <w:rsid w:val="00951E25"/>
    <w:rsid w:val="0095406E"/>
    <w:rsid w:val="0095552A"/>
    <w:rsid w:val="00973987"/>
    <w:rsid w:val="00973E05"/>
    <w:rsid w:val="0097698B"/>
    <w:rsid w:val="0098257C"/>
    <w:rsid w:val="009B1236"/>
    <w:rsid w:val="009B6C92"/>
    <w:rsid w:val="009C3D28"/>
    <w:rsid w:val="009C5EEC"/>
    <w:rsid w:val="009C69D6"/>
    <w:rsid w:val="009D743F"/>
    <w:rsid w:val="009E4859"/>
    <w:rsid w:val="00A05A5A"/>
    <w:rsid w:val="00A05BCA"/>
    <w:rsid w:val="00A07E95"/>
    <w:rsid w:val="00A15FC7"/>
    <w:rsid w:val="00A3101F"/>
    <w:rsid w:val="00A31DBA"/>
    <w:rsid w:val="00A61851"/>
    <w:rsid w:val="00A65F70"/>
    <w:rsid w:val="00A73A30"/>
    <w:rsid w:val="00A7470F"/>
    <w:rsid w:val="00A75770"/>
    <w:rsid w:val="00AA0E09"/>
    <w:rsid w:val="00AA1948"/>
    <w:rsid w:val="00AA578C"/>
    <w:rsid w:val="00AB1922"/>
    <w:rsid w:val="00AB307A"/>
    <w:rsid w:val="00AD0FD1"/>
    <w:rsid w:val="00AE6B96"/>
    <w:rsid w:val="00AF5734"/>
    <w:rsid w:val="00B04F9F"/>
    <w:rsid w:val="00B2736C"/>
    <w:rsid w:val="00B82934"/>
    <w:rsid w:val="00B90D9F"/>
    <w:rsid w:val="00B97814"/>
    <w:rsid w:val="00BA0572"/>
    <w:rsid w:val="00BA61BE"/>
    <w:rsid w:val="00BB415B"/>
    <w:rsid w:val="00BB6A55"/>
    <w:rsid w:val="00BC2961"/>
    <w:rsid w:val="00BC5682"/>
    <w:rsid w:val="00BD221D"/>
    <w:rsid w:val="00BD2676"/>
    <w:rsid w:val="00BD5E6E"/>
    <w:rsid w:val="00BE5BC9"/>
    <w:rsid w:val="00C0412B"/>
    <w:rsid w:val="00C10978"/>
    <w:rsid w:val="00C27B53"/>
    <w:rsid w:val="00C30DCA"/>
    <w:rsid w:val="00C323F8"/>
    <w:rsid w:val="00C404EF"/>
    <w:rsid w:val="00C47560"/>
    <w:rsid w:val="00C50851"/>
    <w:rsid w:val="00C603D1"/>
    <w:rsid w:val="00C77EB7"/>
    <w:rsid w:val="00C9075B"/>
    <w:rsid w:val="00C97D7A"/>
    <w:rsid w:val="00CA13DC"/>
    <w:rsid w:val="00CA2CFC"/>
    <w:rsid w:val="00CB18D9"/>
    <w:rsid w:val="00CB54D6"/>
    <w:rsid w:val="00CC0DD3"/>
    <w:rsid w:val="00CE7A03"/>
    <w:rsid w:val="00CF3E92"/>
    <w:rsid w:val="00D1007F"/>
    <w:rsid w:val="00D12073"/>
    <w:rsid w:val="00D27FA0"/>
    <w:rsid w:val="00DA7B02"/>
    <w:rsid w:val="00DB087D"/>
    <w:rsid w:val="00DB1AAA"/>
    <w:rsid w:val="00DB4E40"/>
    <w:rsid w:val="00DC4495"/>
    <w:rsid w:val="00DD246E"/>
    <w:rsid w:val="00DD3FAB"/>
    <w:rsid w:val="00DE0E93"/>
    <w:rsid w:val="00DE47AB"/>
    <w:rsid w:val="00DE5B46"/>
    <w:rsid w:val="00E013FA"/>
    <w:rsid w:val="00E03A7C"/>
    <w:rsid w:val="00E06D1F"/>
    <w:rsid w:val="00E10BD1"/>
    <w:rsid w:val="00E254D4"/>
    <w:rsid w:val="00E33732"/>
    <w:rsid w:val="00E36FB2"/>
    <w:rsid w:val="00E371E6"/>
    <w:rsid w:val="00E43281"/>
    <w:rsid w:val="00E437E5"/>
    <w:rsid w:val="00E47E05"/>
    <w:rsid w:val="00E61745"/>
    <w:rsid w:val="00E633A1"/>
    <w:rsid w:val="00E94DF2"/>
    <w:rsid w:val="00EA394C"/>
    <w:rsid w:val="00EA397A"/>
    <w:rsid w:val="00EA638D"/>
    <w:rsid w:val="00EA778B"/>
    <w:rsid w:val="00EB0780"/>
    <w:rsid w:val="00EE0FE3"/>
    <w:rsid w:val="00F10E5E"/>
    <w:rsid w:val="00F133BD"/>
    <w:rsid w:val="00F34F7F"/>
    <w:rsid w:val="00F35188"/>
    <w:rsid w:val="00F45CD4"/>
    <w:rsid w:val="00F738E7"/>
    <w:rsid w:val="00F76730"/>
    <w:rsid w:val="00F875B3"/>
    <w:rsid w:val="00F92DA8"/>
    <w:rsid w:val="00F95B88"/>
    <w:rsid w:val="00FB34FA"/>
    <w:rsid w:val="00FD5647"/>
    <w:rsid w:val="00FD6AAC"/>
    <w:rsid w:val="00FE54B5"/>
    <w:rsid w:val="00FF0795"/>
    <w:rsid w:val="00FF28F4"/>
    <w:rsid w:val="00FF5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F02CA"/>
  <w15:chartTrackingRefBased/>
  <w15:docId w15:val="{3CD92823-179A-4DA3-9DB0-A2D4C1302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BC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0BE2"/>
    <w:rPr>
      <w:color w:val="0563C1" w:themeColor="hyperlink"/>
      <w:u w:val="single"/>
    </w:rPr>
  </w:style>
  <w:style w:type="character" w:styleId="UnresolvedMention">
    <w:name w:val="Unresolved Mention"/>
    <w:basedOn w:val="DefaultParagraphFont"/>
    <w:uiPriority w:val="99"/>
    <w:semiHidden/>
    <w:unhideWhenUsed/>
    <w:rsid w:val="006A0BE2"/>
    <w:rPr>
      <w:color w:val="605E5C"/>
      <w:shd w:val="clear" w:color="auto" w:fill="E1DFDD"/>
    </w:rPr>
  </w:style>
  <w:style w:type="paragraph" w:customStyle="1" w:styleId="Default">
    <w:name w:val="Default"/>
    <w:rsid w:val="006A0BE2"/>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2417FE"/>
    <w:pPr>
      <w:ind w:left="720"/>
      <w:contextualSpacing/>
    </w:pPr>
  </w:style>
  <w:style w:type="paragraph" w:styleId="FootnoteText">
    <w:name w:val="footnote text"/>
    <w:basedOn w:val="Normal"/>
    <w:link w:val="FootnoteTextChar"/>
    <w:uiPriority w:val="99"/>
    <w:semiHidden/>
    <w:unhideWhenUsed/>
    <w:rsid w:val="001750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5018"/>
    <w:rPr>
      <w:sz w:val="20"/>
      <w:szCs w:val="20"/>
    </w:rPr>
  </w:style>
  <w:style w:type="character" w:styleId="FootnoteReference">
    <w:name w:val="footnote reference"/>
    <w:basedOn w:val="DefaultParagraphFont"/>
    <w:uiPriority w:val="99"/>
    <w:semiHidden/>
    <w:unhideWhenUsed/>
    <w:rsid w:val="00175018"/>
    <w:rPr>
      <w:vertAlign w:val="superscript"/>
    </w:rPr>
  </w:style>
  <w:style w:type="character" w:styleId="PlaceholderText">
    <w:name w:val="Placeholder Text"/>
    <w:basedOn w:val="DefaultParagraphFont"/>
    <w:uiPriority w:val="99"/>
    <w:semiHidden/>
    <w:rsid w:val="00CF3E92"/>
    <w:rPr>
      <w:color w:val="808080"/>
    </w:rPr>
  </w:style>
  <w:style w:type="paragraph" w:styleId="Revision">
    <w:name w:val="Revision"/>
    <w:hidden/>
    <w:uiPriority w:val="99"/>
    <w:semiHidden/>
    <w:rsid w:val="00266C65"/>
    <w:pPr>
      <w:spacing w:after="0" w:line="240" w:lineRule="auto"/>
    </w:pPr>
  </w:style>
  <w:style w:type="character" w:styleId="CommentReference">
    <w:name w:val="annotation reference"/>
    <w:basedOn w:val="DefaultParagraphFont"/>
    <w:uiPriority w:val="99"/>
    <w:semiHidden/>
    <w:unhideWhenUsed/>
    <w:rsid w:val="00266C65"/>
    <w:rPr>
      <w:sz w:val="16"/>
      <w:szCs w:val="16"/>
    </w:rPr>
  </w:style>
  <w:style w:type="paragraph" w:styleId="CommentText">
    <w:name w:val="annotation text"/>
    <w:basedOn w:val="Normal"/>
    <w:link w:val="CommentTextChar"/>
    <w:uiPriority w:val="99"/>
    <w:unhideWhenUsed/>
    <w:rsid w:val="00266C65"/>
    <w:pPr>
      <w:spacing w:line="240" w:lineRule="auto"/>
    </w:pPr>
    <w:rPr>
      <w:sz w:val="20"/>
      <w:szCs w:val="20"/>
    </w:rPr>
  </w:style>
  <w:style w:type="character" w:customStyle="1" w:styleId="CommentTextChar">
    <w:name w:val="Comment Text Char"/>
    <w:basedOn w:val="DefaultParagraphFont"/>
    <w:link w:val="CommentText"/>
    <w:uiPriority w:val="99"/>
    <w:rsid w:val="00266C65"/>
    <w:rPr>
      <w:sz w:val="20"/>
      <w:szCs w:val="20"/>
    </w:rPr>
  </w:style>
  <w:style w:type="paragraph" w:styleId="CommentSubject">
    <w:name w:val="annotation subject"/>
    <w:basedOn w:val="CommentText"/>
    <w:next w:val="CommentText"/>
    <w:link w:val="CommentSubjectChar"/>
    <w:uiPriority w:val="99"/>
    <w:semiHidden/>
    <w:unhideWhenUsed/>
    <w:rsid w:val="00266C65"/>
    <w:rPr>
      <w:b/>
      <w:bCs/>
    </w:rPr>
  </w:style>
  <w:style w:type="character" w:customStyle="1" w:styleId="CommentSubjectChar">
    <w:name w:val="Comment Subject Char"/>
    <w:basedOn w:val="CommentTextChar"/>
    <w:link w:val="CommentSubject"/>
    <w:uiPriority w:val="99"/>
    <w:semiHidden/>
    <w:rsid w:val="00266C65"/>
    <w:rPr>
      <w:b/>
      <w:bCs/>
      <w:sz w:val="20"/>
      <w:szCs w:val="20"/>
    </w:rPr>
  </w:style>
  <w:style w:type="character" w:styleId="FollowedHyperlink">
    <w:name w:val="FollowedHyperlink"/>
    <w:basedOn w:val="DefaultParagraphFont"/>
    <w:uiPriority w:val="99"/>
    <w:semiHidden/>
    <w:unhideWhenUsed/>
    <w:rsid w:val="00A05A5A"/>
    <w:rPr>
      <w:color w:val="954F72" w:themeColor="followedHyperlink"/>
      <w:u w:val="single"/>
    </w:rPr>
  </w:style>
  <w:style w:type="paragraph" w:styleId="Header">
    <w:name w:val="header"/>
    <w:basedOn w:val="Normal"/>
    <w:link w:val="HeaderChar"/>
    <w:uiPriority w:val="99"/>
    <w:unhideWhenUsed/>
    <w:rsid w:val="006B22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277"/>
  </w:style>
  <w:style w:type="paragraph" w:styleId="Footer">
    <w:name w:val="footer"/>
    <w:basedOn w:val="Normal"/>
    <w:link w:val="FooterChar"/>
    <w:uiPriority w:val="99"/>
    <w:unhideWhenUsed/>
    <w:rsid w:val="006B22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277"/>
  </w:style>
  <w:style w:type="table" w:styleId="TableGrid">
    <w:name w:val="Table Grid"/>
    <w:basedOn w:val="TableNormal"/>
    <w:uiPriority w:val="39"/>
    <w:rsid w:val="00370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6982">
      <w:bodyDiv w:val="1"/>
      <w:marLeft w:val="0"/>
      <w:marRight w:val="0"/>
      <w:marTop w:val="0"/>
      <w:marBottom w:val="0"/>
      <w:divBdr>
        <w:top w:val="none" w:sz="0" w:space="0" w:color="auto"/>
        <w:left w:val="none" w:sz="0" w:space="0" w:color="auto"/>
        <w:bottom w:val="none" w:sz="0" w:space="0" w:color="auto"/>
        <w:right w:val="none" w:sz="0" w:space="0" w:color="auto"/>
      </w:divBdr>
    </w:div>
    <w:div w:id="32194668">
      <w:bodyDiv w:val="1"/>
      <w:marLeft w:val="0"/>
      <w:marRight w:val="0"/>
      <w:marTop w:val="0"/>
      <w:marBottom w:val="0"/>
      <w:divBdr>
        <w:top w:val="none" w:sz="0" w:space="0" w:color="auto"/>
        <w:left w:val="none" w:sz="0" w:space="0" w:color="auto"/>
        <w:bottom w:val="none" w:sz="0" w:space="0" w:color="auto"/>
        <w:right w:val="none" w:sz="0" w:space="0" w:color="auto"/>
      </w:divBdr>
    </w:div>
    <w:div w:id="34165525">
      <w:bodyDiv w:val="1"/>
      <w:marLeft w:val="0"/>
      <w:marRight w:val="0"/>
      <w:marTop w:val="0"/>
      <w:marBottom w:val="0"/>
      <w:divBdr>
        <w:top w:val="none" w:sz="0" w:space="0" w:color="auto"/>
        <w:left w:val="none" w:sz="0" w:space="0" w:color="auto"/>
        <w:bottom w:val="none" w:sz="0" w:space="0" w:color="auto"/>
        <w:right w:val="none" w:sz="0" w:space="0" w:color="auto"/>
      </w:divBdr>
    </w:div>
    <w:div w:id="45837384">
      <w:bodyDiv w:val="1"/>
      <w:marLeft w:val="0"/>
      <w:marRight w:val="0"/>
      <w:marTop w:val="0"/>
      <w:marBottom w:val="0"/>
      <w:divBdr>
        <w:top w:val="none" w:sz="0" w:space="0" w:color="auto"/>
        <w:left w:val="none" w:sz="0" w:space="0" w:color="auto"/>
        <w:bottom w:val="none" w:sz="0" w:space="0" w:color="auto"/>
        <w:right w:val="none" w:sz="0" w:space="0" w:color="auto"/>
      </w:divBdr>
    </w:div>
    <w:div w:id="58212888">
      <w:bodyDiv w:val="1"/>
      <w:marLeft w:val="0"/>
      <w:marRight w:val="0"/>
      <w:marTop w:val="0"/>
      <w:marBottom w:val="0"/>
      <w:divBdr>
        <w:top w:val="none" w:sz="0" w:space="0" w:color="auto"/>
        <w:left w:val="none" w:sz="0" w:space="0" w:color="auto"/>
        <w:bottom w:val="none" w:sz="0" w:space="0" w:color="auto"/>
        <w:right w:val="none" w:sz="0" w:space="0" w:color="auto"/>
      </w:divBdr>
    </w:div>
    <w:div w:id="60644337">
      <w:bodyDiv w:val="1"/>
      <w:marLeft w:val="0"/>
      <w:marRight w:val="0"/>
      <w:marTop w:val="0"/>
      <w:marBottom w:val="0"/>
      <w:divBdr>
        <w:top w:val="none" w:sz="0" w:space="0" w:color="auto"/>
        <w:left w:val="none" w:sz="0" w:space="0" w:color="auto"/>
        <w:bottom w:val="none" w:sz="0" w:space="0" w:color="auto"/>
        <w:right w:val="none" w:sz="0" w:space="0" w:color="auto"/>
      </w:divBdr>
    </w:div>
    <w:div w:id="73548087">
      <w:bodyDiv w:val="1"/>
      <w:marLeft w:val="0"/>
      <w:marRight w:val="0"/>
      <w:marTop w:val="0"/>
      <w:marBottom w:val="0"/>
      <w:divBdr>
        <w:top w:val="none" w:sz="0" w:space="0" w:color="auto"/>
        <w:left w:val="none" w:sz="0" w:space="0" w:color="auto"/>
        <w:bottom w:val="none" w:sz="0" w:space="0" w:color="auto"/>
        <w:right w:val="none" w:sz="0" w:space="0" w:color="auto"/>
      </w:divBdr>
    </w:div>
    <w:div w:id="76749345">
      <w:bodyDiv w:val="1"/>
      <w:marLeft w:val="0"/>
      <w:marRight w:val="0"/>
      <w:marTop w:val="0"/>
      <w:marBottom w:val="0"/>
      <w:divBdr>
        <w:top w:val="none" w:sz="0" w:space="0" w:color="auto"/>
        <w:left w:val="none" w:sz="0" w:space="0" w:color="auto"/>
        <w:bottom w:val="none" w:sz="0" w:space="0" w:color="auto"/>
        <w:right w:val="none" w:sz="0" w:space="0" w:color="auto"/>
      </w:divBdr>
    </w:div>
    <w:div w:id="77143844">
      <w:bodyDiv w:val="1"/>
      <w:marLeft w:val="0"/>
      <w:marRight w:val="0"/>
      <w:marTop w:val="0"/>
      <w:marBottom w:val="0"/>
      <w:divBdr>
        <w:top w:val="none" w:sz="0" w:space="0" w:color="auto"/>
        <w:left w:val="none" w:sz="0" w:space="0" w:color="auto"/>
        <w:bottom w:val="none" w:sz="0" w:space="0" w:color="auto"/>
        <w:right w:val="none" w:sz="0" w:space="0" w:color="auto"/>
      </w:divBdr>
    </w:div>
    <w:div w:id="82839483">
      <w:bodyDiv w:val="1"/>
      <w:marLeft w:val="0"/>
      <w:marRight w:val="0"/>
      <w:marTop w:val="0"/>
      <w:marBottom w:val="0"/>
      <w:divBdr>
        <w:top w:val="none" w:sz="0" w:space="0" w:color="auto"/>
        <w:left w:val="none" w:sz="0" w:space="0" w:color="auto"/>
        <w:bottom w:val="none" w:sz="0" w:space="0" w:color="auto"/>
        <w:right w:val="none" w:sz="0" w:space="0" w:color="auto"/>
      </w:divBdr>
    </w:div>
    <w:div w:id="83427928">
      <w:bodyDiv w:val="1"/>
      <w:marLeft w:val="0"/>
      <w:marRight w:val="0"/>
      <w:marTop w:val="0"/>
      <w:marBottom w:val="0"/>
      <w:divBdr>
        <w:top w:val="none" w:sz="0" w:space="0" w:color="auto"/>
        <w:left w:val="none" w:sz="0" w:space="0" w:color="auto"/>
        <w:bottom w:val="none" w:sz="0" w:space="0" w:color="auto"/>
        <w:right w:val="none" w:sz="0" w:space="0" w:color="auto"/>
      </w:divBdr>
    </w:div>
    <w:div w:id="114253112">
      <w:bodyDiv w:val="1"/>
      <w:marLeft w:val="0"/>
      <w:marRight w:val="0"/>
      <w:marTop w:val="0"/>
      <w:marBottom w:val="0"/>
      <w:divBdr>
        <w:top w:val="none" w:sz="0" w:space="0" w:color="auto"/>
        <w:left w:val="none" w:sz="0" w:space="0" w:color="auto"/>
        <w:bottom w:val="none" w:sz="0" w:space="0" w:color="auto"/>
        <w:right w:val="none" w:sz="0" w:space="0" w:color="auto"/>
      </w:divBdr>
    </w:div>
    <w:div w:id="118424362">
      <w:bodyDiv w:val="1"/>
      <w:marLeft w:val="0"/>
      <w:marRight w:val="0"/>
      <w:marTop w:val="0"/>
      <w:marBottom w:val="0"/>
      <w:divBdr>
        <w:top w:val="none" w:sz="0" w:space="0" w:color="auto"/>
        <w:left w:val="none" w:sz="0" w:space="0" w:color="auto"/>
        <w:bottom w:val="none" w:sz="0" w:space="0" w:color="auto"/>
        <w:right w:val="none" w:sz="0" w:space="0" w:color="auto"/>
      </w:divBdr>
    </w:div>
    <w:div w:id="135028788">
      <w:bodyDiv w:val="1"/>
      <w:marLeft w:val="0"/>
      <w:marRight w:val="0"/>
      <w:marTop w:val="0"/>
      <w:marBottom w:val="0"/>
      <w:divBdr>
        <w:top w:val="none" w:sz="0" w:space="0" w:color="auto"/>
        <w:left w:val="none" w:sz="0" w:space="0" w:color="auto"/>
        <w:bottom w:val="none" w:sz="0" w:space="0" w:color="auto"/>
        <w:right w:val="none" w:sz="0" w:space="0" w:color="auto"/>
      </w:divBdr>
    </w:div>
    <w:div w:id="144274668">
      <w:bodyDiv w:val="1"/>
      <w:marLeft w:val="0"/>
      <w:marRight w:val="0"/>
      <w:marTop w:val="0"/>
      <w:marBottom w:val="0"/>
      <w:divBdr>
        <w:top w:val="none" w:sz="0" w:space="0" w:color="auto"/>
        <w:left w:val="none" w:sz="0" w:space="0" w:color="auto"/>
        <w:bottom w:val="none" w:sz="0" w:space="0" w:color="auto"/>
        <w:right w:val="none" w:sz="0" w:space="0" w:color="auto"/>
      </w:divBdr>
    </w:div>
    <w:div w:id="155652302">
      <w:bodyDiv w:val="1"/>
      <w:marLeft w:val="0"/>
      <w:marRight w:val="0"/>
      <w:marTop w:val="0"/>
      <w:marBottom w:val="0"/>
      <w:divBdr>
        <w:top w:val="none" w:sz="0" w:space="0" w:color="auto"/>
        <w:left w:val="none" w:sz="0" w:space="0" w:color="auto"/>
        <w:bottom w:val="none" w:sz="0" w:space="0" w:color="auto"/>
        <w:right w:val="none" w:sz="0" w:space="0" w:color="auto"/>
      </w:divBdr>
    </w:div>
    <w:div w:id="165364158">
      <w:bodyDiv w:val="1"/>
      <w:marLeft w:val="0"/>
      <w:marRight w:val="0"/>
      <w:marTop w:val="0"/>
      <w:marBottom w:val="0"/>
      <w:divBdr>
        <w:top w:val="none" w:sz="0" w:space="0" w:color="auto"/>
        <w:left w:val="none" w:sz="0" w:space="0" w:color="auto"/>
        <w:bottom w:val="none" w:sz="0" w:space="0" w:color="auto"/>
        <w:right w:val="none" w:sz="0" w:space="0" w:color="auto"/>
      </w:divBdr>
    </w:div>
    <w:div w:id="256061436">
      <w:bodyDiv w:val="1"/>
      <w:marLeft w:val="0"/>
      <w:marRight w:val="0"/>
      <w:marTop w:val="0"/>
      <w:marBottom w:val="0"/>
      <w:divBdr>
        <w:top w:val="none" w:sz="0" w:space="0" w:color="auto"/>
        <w:left w:val="none" w:sz="0" w:space="0" w:color="auto"/>
        <w:bottom w:val="none" w:sz="0" w:space="0" w:color="auto"/>
        <w:right w:val="none" w:sz="0" w:space="0" w:color="auto"/>
      </w:divBdr>
    </w:div>
    <w:div w:id="265888652">
      <w:bodyDiv w:val="1"/>
      <w:marLeft w:val="0"/>
      <w:marRight w:val="0"/>
      <w:marTop w:val="0"/>
      <w:marBottom w:val="0"/>
      <w:divBdr>
        <w:top w:val="none" w:sz="0" w:space="0" w:color="auto"/>
        <w:left w:val="none" w:sz="0" w:space="0" w:color="auto"/>
        <w:bottom w:val="none" w:sz="0" w:space="0" w:color="auto"/>
        <w:right w:val="none" w:sz="0" w:space="0" w:color="auto"/>
      </w:divBdr>
    </w:div>
    <w:div w:id="313726346">
      <w:bodyDiv w:val="1"/>
      <w:marLeft w:val="0"/>
      <w:marRight w:val="0"/>
      <w:marTop w:val="0"/>
      <w:marBottom w:val="0"/>
      <w:divBdr>
        <w:top w:val="none" w:sz="0" w:space="0" w:color="auto"/>
        <w:left w:val="none" w:sz="0" w:space="0" w:color="auto"/>
        <w:bottom w:val="none" w:sz="0" w:space="0" w:color="auto"/>
        <w:right w:val="none" w:sz="0" w:space="0" w:color="auto"/>
      </w:divBdr>
    </w:div>
    <w:div w:id="347104233">
      <w:bodyDiv w:val="1"/>
      <w:marLeft w:val="0"/>
      <w:marRight w:val="0"/>
      <w:marTop w:val="0"/>
      <w:marBottom w:val="0"/>
      <w:divBdr>
        <w:top w:val="none" w:sz="0" w:space="0" w:color="auto"/>
        <w:left w:val="none" w:sz="0" w:space="0" w:color="auto"/>
        <w:bottom w:val="none" w:sz="0" w:space="0" w:color="auto"/>
        <w:right w:val="none" w:sz="0" w:space="0" w:color="auto"/>
      </w:divBdr>
    </w:div>
    <w:div w:id="347633770">
      <w:bodyDiv w:val="1"/>
      <w:marLeft w:val="0"/>
      <w:marRight w:val="0"/>
      <w:marTop w:val="0"/>
      <w:marBottom w:val="0"/>
      <w:divBdr>
        <w:top w:val="none" w:sz="0" w:space="0" w:color="auto"/>
        <w:left w:val="none" w:sz="0" w:space="0" w:color="auto"/>
        <w:bottom w:val="none" w:sz="0" w:space="0" w:color="auto"/>
        <w:right w:val="none" w:sz="0" w:space="0" w:color="auto"/>
      </w:divBdr>
    </w:div>
    <w:div w:id="441153437">
      <w:bodyDiv w:val="1"/>
      <w:marLeft w:val="0"/>
      <w:marRight w:val="0"/>
      <w:marTop w:val="0"/>
      <w:marBottom w:val="0"/>
      <w:divBdr>
        <w:top w:val="none" w:sz="0" w:space="0" w:color="auto"/>
        <w:left w:val="none" w:sz="0" w:space="0" w:color="auto"/>
        <w:bottom w:val="none" w:sz="0" w:space="0" w:color="auto"/>
        <w:right w:val="none" w:sz="0" w:space="0" w:color="auto"/>
      </w:divBdr>
    </w:div>
    <w:div w:id="448547257">
      <w:bodyDiv w:val="1"/>
      <w:marLeft w:val="0"/>
      <w:marRight w:val="0"/>
      <w:marTop w:val="0"/>
      <w:marBottom w:val="0"/>
      <w:divBdr>
        <w:top w:val="none" w:sz="0" w:space="0" w:color="auto"/>
        <w:left w:val="none" w:sz="0" w:space="0" w:color="auto"/>
        <w:bottom w:val="none" w:sz="0" w:space="0" w:color="auto"/>
        <w:right w:val="none" w:sz="0" w:space="0" w:color="auto"/>
      </w:divBdr>
    </w:div>
    <w:div w:id="461464236">
      <w:bodyDiv w:val="1"/>
      <w:marLeft w:val="0"/>
      <w:marRight w:val="0"/>
      <w:marTop w:val="0"/>
      <w:marBottom w:val="0"/>
      <w:divBdr>
        <w:top w:val="none" w:sz="0" w:space="0" w:color="auto"/>
        <w:left w:val="none" w:sz="0" w:space="0" w:color="auto"/>
        <w:bottom w:val="none" w:sz="0" w:space="0" w:color="auto"/>
        <w:right w:val="none" w:sz="0" w:space="0" w:color="auto"/>
      </w:divBdr>
    </w:div>
    <w:div w:id="493302137">
      <w:bodyDiv w:val="1"/>
      <w:marLeft w:val="0"/>
      <w:marRight w:val="0"/>
      <w:marTop w:val="0"/>
      <w:marBottom w:val="0"/>
      <w:divBdr>
        <w:top w:val="none" w:sz="0" w:space="0" w:color="auto"/>
        <w:left w:val="none" w:sz="0" w:space="0" w:color="auto"/>
        <w:bottom w:val="none" w:sz="0" w:space="0" w:color="auto"/>
        <w:right w:val="none" w:sz="0" w:space="0" w:color="auto"/>
      </w:divBdr>
    </w:div>
    <w:div w:id="569117048">
      <w:bodyDiv w:val="1"/>
      <w:marLeft w:val="0"/>
      <w:marRight w:val="0"/>
      <w:marTop w:val="0"/>
      <w:marBottom w:val="0"/>
      <w:divBdr>
        <w:top w:val="none" w:sz="0" w:space="0" w:color="auto"/>
        <w:left w:val="none" w:sz="0" w:space="0" w:color="auto"/>
        <w:bottom w:val="none" w:sz="0" w:space="0" w:color="auto"/>
        <w:right w:val="none" w:sz="0" w:space="0" w:color="auto"/>
      </w:divBdr>
    </w:div>
    <w:div w:id="616958494">
      <w:bodyDiv w:val="1"/>
      <w:marLeft w:val="0"/>
      <w:marRight w:val="0"/>
      <w:marTop w:val="0"/>
      <w:marBottom w:val="0"/>
      <w:divBdr>
        <w:top w:val="none" w:sz="0" w:space="0" w:color="auto"/>
        <w:left w:val="none" w:sz="0" w:space="0" w:color="auto"/>
        <w:bottom w:val="none" w:sz="0" w:space="0" w:color="auto"/>
        <w:right w:val="none" w:sz="0" w:space="0" w:color="auto"/>
      </w:divBdr>
    </w:div>
    <w:div w:id="653683068">
      <w:bodyDiv w:val="1"/>
      <w:marLeft w:val="0"/>
      <w:marRight w:val="0"/>
      <w:marTop w:val="0"/>
      <w:marBottom w:val="0"/>
      <w:divBdr>
        <w:top w:val="none" w:sz="0" w:space="0" w:color="auto"/>
        <w:left w:val="none" w:sz="0" w:space="0" w:color="auto"/>
        <w:bottom w:val="none" w:sz="0" w:space="0" w:color="auto"/>
        <w:right w:val="none" w:sz="0" w:space="0" w:color="auto"/>
      </w:divBdr>
    </w:div>
    <w:div w:id="666904864">
      <w:bodyDiv w:val="1"/>
      <w:marLeft w:val="0"/>
      <w:marRight w:val="0"/>
      <w:marTop w:val="0"/>
      <w:marBottom w:val="0"/>
      <w:divBdr>
        <w:top w:val="none" w:sz="0" w:space="0" w:color="auto"/>
        <w:left w:val="none" w:sz="0" w:space="0" w:color="auto"/>
        <w:bottom w:val="none" w:sz="0" w:space="0" w:color="auto"/>
        <w:right w:val="none" w:sz="0" w:space="0" w:color="auto"/>
      </w:divBdr>
    </w:div>
    <w:div w:id="799615510">
      <w:bodyDiv w:val="1"/>
      <w:marLeft w:val="0"/>
      <w:marRight w:val="0"/>
      <w:marTop w:val="0"/>
      <w:marBottom w:val="0"/>
      <w:divBdr>
        <w:top w:val="none" w:sz="0" w:space="0" w:color="auto"/>
        <w:left w:val="none" w:sz="0" w:space="0" w:color="auto"/>
        <w:bottom w:val="none" w:sz="0" w:space="0" w:color="auto"/>
        <w:right w:val="none" w:sz="0" w:space="0" w:color="auto"/>
      </w:divBdr>
    </w:div>
    <w:div w:id="825050987">
      <w:bodyDiv w:val="1"/>
      <w:marLeft w:val="0"/>
      <w:marRight w:val="0"/>
      <w:marTop w:val="0"/>
      <w:marBottom w:val="0"/>
      <w:divBdr>
        <w:top w:val="none" w:sz="0" w:space="0" w:color="auto"/>
        <w:left w:val="none" w:sz="0" w:space="0" w:color="auto"/>
        <w:bottom w:val="none" w:sz="0" w:space="0" w:color="auto"/>
        <w:right w:val="none" w:sz="0" w:space="0" w:color="auto"/>
      </w:divBdr>
    </w:div>
    <w:div w:id="827284134">
      <w:bodyDiv w:val="1"/>
      <w:marLeft w:val="0"/>
      <w:marRight w:val="0"/>
      <w:marTop w:val="0"/>
      <w:marBottom w:val="0"/>
      <w:divBdr>
        <w:top w:val="none" w:sz="0" w:space="0" w:color="auto"/>
        <w:left w:val="none" w:sz="0" w:space="0" w:color="auto"/>
        <w:bottom w:val="none" w:sz="0" w:space="0" w:color="auto"/>
        <w:right w:val="none" w:sz="0" w:space="0" w:color="auto"/>
      </w:divBdr>
    </w:div>
    <w:div w:id="829980395">
      <w:bodyDiv w:val="1"/>
      <w:marLeft w:val="0"/>
      <w:marRight w:val="0"/>
      <w:marTop w:val="0"/>
      <w:marBottom w:val="0"/>
      <w:divBdr>
        <w:top w:val="none" w:sz="0" w:space="0" w:color="auto"/>
        <w:left w:val="none" w:sz="0" w:space="0" w:color="auto"/>
        <w:bottom w:val="none" w:sz="0" w:space="0" w:color="auto"/>
        <w:right w:val="none" w:sz="0" w:space="0" w:color="auto"/>
      </w:divBdr>
    </w:div>
    <w:div w:id="847988421">
      <w:bodyDiv w:val="1"/>
      <w:marLeft w:val="0"/>
      <w:marRight w:val="0"/>
      <w:marTop w:val="0"/>
      <w:marBottom w:val="0"/>
      <w:divBdr>
        <w:top w:val="none" w:sz="0" w:space="0" w:color="auto"/>
        <w:left w:val="none" w:sz="0" w:space="0" w:color="auto"/>
        <w:bottom w:val="none" w:sz="0" w:space="0" w:color="auto"/>
        <w:right w:val="none" w:sz="0" w:space="0" w:color="auto"/>
      </w:divBdr>
    </w:div>
    <w:div w:id="857693225">
      <w:bodyDiv w:val="1"/>
      <w:marLeft w:val="0"/>
      <w:marRight w:val="0"/>
      <w:marTop w:val="0"/>
      <w:marBottom w:val="0"/>
      <w:divBdr>
        <w:top w:val="none" w:sz="0" w:space="0" w:color="auto"/>
        <w:left w:val="none" w:sz="0" w:space="0" w:color="auto"/>
        <w:bottom w:val="none" w:sz="0" w:space="0" w:color="auto"/>
        <w:right w:val="none" w:sz="0" w:space="0" w:color="auto"/>
      </w:divBdr>
    </w:div>
    <w:div w:id="952782097">
      <w:bodyDiv w:val="1"/>
      <w:marLeft w:val="0"/>
      <w:marRight w:val="0"/>
      <w:marTop w:val="0"/>
      <w:marBottom w:val="0"/>
      <w:divBdr>
        <w:top w:val="none" w:sz="0" w:space="0" w:color="auto"/>
        <w:left w:val="none" w:sz="0" w:space="0" w:color="auto"/>
        <w:bottom w:val="none" w:sz="0" w:space="0" w:color="auto"/>
        <w:right w:val="none" w:sz="0" w:space="0" w:color="auto"/>
      </w:divBdr>
    </w:div>
    <w:div w:id="971249148">
      <w:bodyDiv w:val="1"/>
      <w:marLeft w:val="0"/>
      <w:marRight w:val="0"/>
      <w:marTop w:val="0"/>
      <w:marBottom w:val="0"/>
      <w:divBdr>
        <w:top w:val="none" w:sz="0" w:space="0" w:color="auto"/>
        <w:left w:val="none" w:sz="0" w:space="0" w:color="auto"/>
        <w:bottom w:val="none" w:sz="0" w:space="0" w:color="auto"/>
        <w:right w:val="none" w:sz="0" w:space="0" w:color="auto"/>
      </w:divBdr>
    </w:div>
    <w:div w:id="988750062">
      <w:bodyDiv w:val="1"/>
      <w:marLeft w:val="0"/>
      <w:marRight w:val="0"/>
      <w:marTop w:val="0"/>
      <w:marBottom w:val="0"/>
      <w:divBdr>
        <w:top w:val="none" w:sz="0" w:space="0" w:color="auto"/>
        <w:left w:val="none" w:sz="0" w:space="0" w:color="auto"/>
        <w:bottom w:val="none" w:sz="0" w:space="0" w:color="auto"/>
        <w:right w:val="none" w:sz="0" w:space="0" w:color="auto"/>
      </w:divBdr>
    </w:div>
    <w:div w:id="1026717344">
      <w:bodyDiv w:val="1"/>
      <w:marLeft w:val="0"/>
      <w:marRight w:val="0"/>
      <w:marTop w:val="0"/>
      <w:marBottom w:val="0"/>
      <w:divBdr>
        <w:top w:val="none" w:sz="0" w:space="0" w:color="auto"/>
        <w:left w:val="none" w:sz="0" w:space="0" w:color="auto"/>
        <w:bottom w:val="none" w:sz="0" w:space="0" w:color="auto"/>
        <w:right w:val="none" w:sz="0" w:space="0" w:color="auto"/>
      </w:divBdr>
    </w:div>
    <w:div w:id="1054546409">
      <w:bodyDiv w:val="1"/>
      <w:marLeft w:val="0"/>
      <w:marRight w:val="0"/>
      <w:marTop w:val="0"/>
      <w:marBottom w:val="0"/>
      <w:divBdr>
        <w:top w:val="none" w:sz="0" w:space="0" w:color="auto"/>
        <w:left w:val="none" w:sz="0" w:space="0" w:color="auto"/>
        <w:bottom w:val="none" w:sz="0" w:space="0" w:color="auto"/>
        <w:right w:val="none" w:sz="0" w:space="0" w:color="auto"/>
      </w:divBdr>
    </w:div>
    <w:div w:id="1057554665">
      <w:bodyDiv w:val="1"/>
      <w:marLeft w:val="0"/>
      <w:marRight w:val="0"/>
      <w:marTop w:val="0"/>
      <w:marBottom w:val="0"/>
      <w:divBdr>
        <w:top w:val="none" w:sz="0" w:space="0" w:color="auto"/>
        <w:left w:val="none" w:sz="0" w:space="0" w:color="auto"/>
        <w:bottom w:val="none" w:sz="0" w:space="0" w:color="auto"/>
        <w:right w:val="none" w:sz="0" w:space="0" w:color="auto"/>
      </w:divBdr>
    </w:div>
    <w:div w:id="1070270851">
      <w:bodyDiv w:val="1"/>
      <w:marLeft w:val="0"/>
      <w:marRight w:val="0"/>
      <w:marTop w:val="0"/>
      <w:marBottom w:val="0"/>
      <w:divBdr>
        <w:top w:val="none" w:sz="0" w:space="0" w:color="auto"/>
        <w:left w:val="none" w:sz="0" w:space="0" w:color="auto"/>
        <w:bottom w:val="none" w:sz="0" w:space="0" w:color="auto"/>
        <w:right w:val="none" w:sz="0" w:space="0" w:color="auto"/>
      </w:divBdr>
    </w:div>
    <w:div w:id="1075979460">
      <w:bodyDiv w:val="1"/>
      <w:marLeft w:val="0"/>
      <w:marRight w:val="0"/>
      <w:marTop w:val="0"/>
      <w:marBottom w:val="0"/>
      <w:divBdr>
        <w:top w:val="none" w:sz="0" w:space="0" w:color="auto"/>
        <w:left w:val="none" w:sz="0" w:space="0" w:color="auto"/>
        <w:bottom w:val="none" w:sz="0" w:space="0" w:color="auto"/>
        <w:right w:val="none" w:sz="0" w:space="0" w:color="auto"/>
      </w:divBdr>
    </w:div>
    <w:div w:id="1126041132">
      <w:bodyDiv w:val="1"/>
      <w:marLeft w:val="0"/>
      <w:marRight w:val="0"/>
      <w:marTop w:val="0"/>
      <w:marBottom w:val="0"/>
      <w:divBdr>
        <w:top w:val="none" w:sz="0" w:space="0" w:color="auto"/>
        <w:left w:val="none" w:sz="0" w:space="0" w:color="auto"/>
        <w:bottom w:val="none" w:sz="0" w:space="0" w:color="auto"/>
        <w:right w:val="none" w:sz="0" w:space="0" w:color="auto"/>
      </w:divBdr>
    </w:div>
    <w:div w:id="1126436686">
      <w:bodyDiv w:val="1"/>
      <w:marLeft w:val="0"/>
      <w:marRight w:val="0"/>
      <w:marTop w:val="0"/>
      <w:marBottom w:val="0"/>
      <w:divBdr>
        <w:top w:val="none" w:sz="0" w:space="0" w:color="auto"/>
        <w:left w:val="none" w:sz="0" w:space="0" w:color="auto"/>
        <w:bottom w:val="none" w:sz="0" w:space="0" w:color="auto"/>
        <w:right w:val="none" w:sz="0" w:space="0" w:color="auto"/>
      </w:divBdr>
    </w:div>
    <w:div w:id="1128166871">
      <w:bodyDiv w:val="1"/>
      <w:marLeft w:val="0"/>
      <w:marRight w:val="0"/>
      <w:marTop w:val="0"/>
      <w:marBottom w:val="0"/>
      <w:divBdr>
        <w:top w:val="none" w:sz="0" w:space="0" w:color="auto"/>
        <w:left w:val="none" w:sz="0" w:space="0" w:color="auto"/>
        <w:bottom w:val="none" w:sz="0" w:space="0" w:color="auto"/>
        <w:right w:val="none" w:sz="0" w:space="0" w:color="auto"/>
      </w:divBdr>
    </w:div>
    <w:div w:id="1144203301">
      <w:bodyDiv w:val="1"/>
      <w:marLeft w:val="0"/>
      <w:marRight w:val="0"/>
      <w:marTop w:val="0"/>
      <w:marBottom w:val="0"/>
      <w:divBdr>
        <w:top w:val="none" w:sz="0" w:space="0" w:color="auto"/>
        <w:left w:val="none" w:sz="0" w:space="0" w:color="auto"/>
        <w:bottom w:val="none" w:sz="0" w:space="0" w:color="auto"/>
        <w:right w:val="none" w:sz="0" w:space="0" w:color="auto"/>
      </w:divBdr>
    </w:div>
    <w:div w:id="1162084550">
      <w:bodyDiv w:val="1"/>
      <w:marLeft w:val="0"/>
      <w:marRight w:val="0"/>
      <w:marTop w:val="0"/>
      <w:marBottom w:val="0"/>
      <w:divBdr>
        <w:top w:val="none" w:sz="0" w:space="0" w:color="auto"/>
        <w:left w:val="none" w:sz="0" w:space="0" w:color="auto"/>
        <w:bottom w:val="none" w:sz="0" w:space="0" w:color="auto"/>
        <w:right w:val="none" w:sz="0" w:space="0" w:color="auto"/>
      </w:divBdr>
    </w:div>
    <w:div w:id="1186598138">
      <w:bodyDiv w:val="1"/>
      <w:marLeft w:val="0"/>
      <w:marRight w:val="0"/>
      <w:marTop w:val="0"/>
      <w:marBottom w:val="0"/>
      <w:divBdr>
        <w:top w:val="none" w:sz="0" w:space="0" w:color="auto"/>
        <w:left w:val="none" w:sz="0" w:space="0" w:color="auto"/>
        <w:bottom w:val="none" w:sz="0" w:space="0" w:color="auto"/>
        <w:right w:val="none" w:sz="0" w:space="0" w:color="auto"/>
      </w:divBdr>
    </w:div>
    <w:div w:id="1207794662">
      <w:bodyDiv w:val="1"/>
      <w:marLeft w:val="0"/>
      <w:marRight w:val="0"/>
      <w:marTop w:val="0"/>
      <w:marBottom w:val="0"/>
      <w:divBdr>
        <w:top w:val="none" w:sz="0" w:space="0" w:color="auto"/>
        <w:left w:val="none" w:sz="0" w:space="0" w:color="auto"/>
        <w:bottom w:val="none" w:sz="0" w:space="0" w:color="auto"/>
        <w:right w:val="none" w:sz="0" w:space="0" w:color="auto"/>
      </w:divBdr>
    </w:div>
    <w:div w:id="1264453971">
      <w:bodyDiv w:val="1"/>
      <w:marLeft w:val="0"/>
      <w:marRight w:val="0"/>
      <w:marTop w:val="0"/>
      <w:marBottom w:val="0"/>
      <w:divBdr>
        <w:top w:val="none" w:sz="0" w:space="0" w:color="auto"/>
        <w:left w:val="none" w:sz="0" w:space="0" w:color="auto"/>
        <w:bottom w:val="none" w:sz="0" w:space="0" w:color="auto"/>
        <w:right w:val="none" w:sz="0" w:space="0" w:color="auto"/>
      </w:divBdr>
    </w:div>
    <w:div w:id="1317685725">
      <w:bodyDiv w:val="1"/>
      <w:marLeft w:val="0"/>
      <w:marRight w:val="0"/>
      <w:marTop w:val="0"/>
      <w:marBottom w:val="0"/>
      <w:divBdr>
        <w:top w:val="none" w:sz="0" w:space="0" w:color="auto"/>
        <w:left w:val="none" w:sz="0" w:space="0" w:color="auto"/>
        <w:bottom w:val="none" w:sz="0" w:space="0" w:color="auto"/>
        <w:right w:val="none" w:sz="0" w:space="0" w:color="auto"/>
      </w:divBdr>
    </w:div>
    <w:div w:id="1376000781">
      <w:bodyDiv w:val="1"/>
      <w:marLeft w:val="0"/>
      <w:marRight w:val="0"/>
      <w:marTop w:val="0"/>
      <w:marBottom w:val="0"/>
      <w:divBdr>
        <w:top w:val="none" w:sz="0" w:space="0" w:color="auto"/>
        <w:left w:val="none" w:sz="0" w:space="0" w:color="auto"/>
        <w:bottom w:val="none" w:sz="0" w:space="0" w:color="auto"/>
        <w:right w:val="none" w:sz="0" w:space="0" w:color="auto"/>
      </w:divBdr>
    </w:div>
    <w:div w:id="1376467268">
      <w:bodyDiv w:val="1"/>
      <w:marLeft w:val="0"/>
      <w:marRight w:val="0"/>
      <w:marTop w:val="0"/>
      <w:marBottom w:val="0"/>
      <w:divBdr>
        <w:top w:val="none" w:sz="0" w:space="0" w:color="auto"/>
        <w:left w:val="none" w:sz="0" w:space="0" w:color="auto"/>
        <w:bottom w:val="none" w:sz="0" w:space="0" w:color="auto"/>
        <w:right w:val="none" w:sz="0" w:space="0" w:color="auto"/>
      </w:divBdr>
    </w:div>
    <w:div w:id="1410810257">
      <w:bodyDiv w:val="1"/>
      <w:marLeft w:val="0"/>
      <w:marRight w:val="0"/>
      <w:marTop w:val="0"/>
      <w:marBottom w:val="0"/>
      <w:divBdr>
        <w:top w:val="none" w:sz="0" w:space="0" w:color="auto"/>
        <w:left w:val="none" w:sz="0" w:space="0" w:color="auto"/>
        <w:bottom w:val="none" w:sz="0" w:space="0" w:color="auto"/>
        <w:right w:val="none" w:sz="0" w:space="0" w:color="auto"/>
      </w:divBdr>
    </w:div>
    <w:div w:id="1457019827">
      <w:bodyDiv w:val="1"/>
      <w:marLeft w:val="0"/>
      <w:marRight w:val="0"/>
      <w:marTop w:val="0"/>
      <w:marBottom w:val="0"/>
      <w:divBdr>
        <w:top w:val="none" w:sz="0" w:space="0" w:color="auto"/>
        <w:left w:val="none" w:sz="0" w:space="0" w:color="auto"/>
        <w:bottom w:val="none" w:sz="0" w:space="0" w:color="auto"/>
        <w:right w:val="none" w:sz="0" w:space="0" w:color="auto"/>
      </w:divBdr>
    </w:div>
    <w:div w:id="1471098808">
      <w:bodyDiv w:val="1"/>
      <w:marLeft w:val="0"/>
      <w:marRight w:val="0"/>
      <w:marTop w:val="0"/>
      <w:marBottom w:val="0"/>
      <w:divBdr>
        <w:top w:val="none" w:sz="0" w:space="0" w:color="auto"/>
        <w:left w:val="none" w:sz="0" w:space="0" w:color="auto"/>
        <w:bottom w:val="none" w:sz="0" w:space="0" w:color="auto"/>
        <w:right w:val="none" w:sz="0" w:space="0" w:color="auto"/>
      </w:divBdr>
    </w:div>
    <w:div w:id="1499342708">
      <w:bodyDiv w:val="1"/>
      <w:marLeft w:val="0"/>
      <w:marRight w:val="0"/>
      <w:marTop w:val="0"/>
      <w:marBottom w:val="0"/>
      <w:divBdr>
        <w:top w:val="none" w:sz="0" w:space="0" w:color="auto"/>
        <w:left w:val="none" w:sz="0" w:space="0" w:color="auto"/>
        <w:bottom w:val="none" w:sz="0" w:space="0" w:color="auto"/>
        <w:right w:val="none" w:sz="0" w:space="0" w:color="auto"/>
      </w:divBdr>
    </w:div>
    <w:div w:id="1524241526">
      <w:bodyDiv w:val="1"/>
      <w:marLeft w:val="0"/>
      <w:marRight w:val="0"/>
      <w:marTop w:val="0"/>
      <w:marBottom w:val="0"/>
      <w:divBdr>
        <w:top w:val="none" w:sz="0" w:space="0" w:color="auto"/>
        <w:left w:val="none" w:sz="0" w:space="0" w:color="auto"/>
        <w:bottom w:val="none" w:sz="0" w:space="0" w:color="auto"/>
        <w:right w:val="none" w:sz="0" w:space="0" w:color="auto"/>
      </w:divBdr>
    </w:div>
    <w:div w:id="1562248398">
      <w:bodyDiv w:val="1"/>
      <w:marLeft w:val="0"/>
      <w:marRight w:val="0"/>
      <w:marTop w:val="0"/>
      <w:marBottom w:val="0"/>
      <w:divBdr>
        <w:top w:val="none" w:sz="0" w:space="0" w:color="auto"/>
        <w:left w:val="none" w:sz="0" w:space="0" w:color="auto"/>
        <w:bottom w:val="none" w:sz="0" w:space="0" w:color="auto"/>
        <w:right w:val="none" w:sz="0" w:space="0" w:color="auto"/>
      </w:divBdr>
    </w:div>
    <w:div w:id="1562666717">
      <w:bodyDiv w:val="1"/>
      <w:marLeft w:val="0"/>
      <w:marRight w:val="0"/>
      <w:marTop w:val="0"/>
      <w:marBottom w:val="0"/>
      <w:divBdr>
        <w:top w:val="none" w:sz="0" w:space="0" w:color="auto"/>
        <w:left w:val="none" w:sz="0" w:space="0" w:color="auto"/>
        <w:bottom w:val="none" w:sz="0" w:space="0" w:color="auto"/>
        <w:right w:val="none" w:sz="0" w:space="0" w:color="auto"/>
      </w:divBdr>
    </w:div>
    <w:div w:id="1587691899">
      <w:bodyDiv w:val="1"/>
      <w:marLeft w:val="0"/>
      <w:marRight w:val="0"/>
      <w:marTop w:val="0"/>
      <w:marBottom w:val="0"/>
      <w:divBdr>
        <w:top w:val="none" w:sz="0" w:space="0" w:color="auto"/>
        <w:left w:val="none" w:sz="0" w:space="0" w:color="auto"/>
        <w:bottom w:val="none" w:sz="0" w:space="0" w:color="auto"/>
        <w:right w:val="none" w:sz="0" w:space="0" w:color="auto"/>
      </w:divBdr>
    </w:div>
    <w:div w:id="1627807961">
      <w:bodyDiv w:val="1"/>
      <w:marLeft w:val="0"/>
      <w:marRight w:val="0"/>
      <w:marTop w:val="0"/>
      <w:marBottom w:val="0"/>
      <w:divBdr>
        <w:top w:val="none" w:sz="0" w:space="0" w:color="auto"/>
        <w:left w:val="none" w:sz="0" w:space="0" w:color="auto"/>
        <w:bottom w:val="none" w:sz="0" w:space="0" w:color="auto"/>
        <w:right w:val="none" w:sz="0" w:space="0" w:color="auto"/>
      </w:divBdr>
    </w:div>
    <w:div w:id="1720086735">
      <w:bodyDiv w:val="1"/>
      <w:marLeft w:val="0"/>
      <w:marRight w:val="0"/>
      <w:marTop w:val="0"/>
      <w:marBottom w:val="0"/>
      <w:divBdr>
        <w:top w:val="none" w:sz="0" w:space="0" w:color="auto"/>
        <w:left w:val="none" w:sz="0" w:space="0" w:color="auto"/>
        <w:bottom w:val="none" w:sz="0" w:space="0" w:color="auto"/>
        <w:right w:val="none" w:sz="0" w:space="0" w:color="auto"/>
      </w:divBdr>
    </w:div>
    <w:div w:id="1738699169">
      <w:bodyDiv w:val="1"/>
      <w:marLeft w:val="0"/>
      <w:marRight w:val="0"/>
      <w:marTop w:val="0"/>
      <w:marBottom w:val="0"/>
      <w:divBdr>
        <w:top w:val="none" w:sz="0" w:space="0" w:color="auto"/>
        <w:left w:val="none" w:sz="0" w:space="0" w:color="auto"/>
        <w:bottom w:val="none" w:sz="0" w:space="0" w:color="auto"/>
        <w:right w:val="none" w:sz="0" w:space="0" w:color="auto"/>
      </w:divBdr>
    </w:div>
    <w:div w:id="1751652425">
      <w:bodyDiv w:val="1"/>
      <w:marLeft w:val="0"/>
      <w:marRight w:val="0"/>
      <w:marTop w:val="0"/>
      <w:marBottom w:val="0"/>
      <w:divBdr>
        <w:top w:val="none" w:sz="0" w:space="0" w:color="auto"/>
        <w:left w:val="none" w:sz="0" w:space="0" w:color="auto"/>
        <w:bottom w:val="none" w:sz="0" w:space="0" w:color="auto"/>
        <w:right w:val="none" w:sz="0" w:space="0" w:color="auto"/>
      </w:divBdr>
    </w:div>
    <w:div w:id="1769547362">
      <w:bodyDiv w:val="1"/>
      <w:marLeft w:val="0"/>
      <w:marRight w:val="0"/>
      <w:marTop w:val="0"/>
      <w:marBottom w:val="0"/>
      <w:divBdr>
        <w:top w:val="none" w:sz="0" w:space="0" w:color="auto"/>
        <w:left w:val="none" w:sz="0" w:space="0" w:color="auto"/>
        <w:bottom w:val="none" w:sz="0" w:space="0" w:color="auto"/>
        <w:right w:val="none" w:sz="0" w:space="0" w:color="auto"/>
      </w:divBdr>
    </w:div>
    <w:div w:id="1779175527">
      <w:bodyDiv w:val="1"/>
      <w:marLeft w:val="0"/>
      <w:marRight w:val="0"/>
      <w:marTop w:val="0"/>
      <w:marBottom w:val="0"/>
      <w:divBdr>
        <w:top w:val="none" w:sz="0" w:space="0" w:color="auto"/>
        <w:left w:val="none" w:sz="0" w:space="0" w:color="auto"/>
        <w:bottom w:val="none" w:sz="0" w:space="0" w:color="auto"/>
        <w:right w:val="none" w:sz="0" w:space="0" w:color="auto"/>
      </w:divBdr>
    </w:div>
    <w:div w:id="1850441373">
      <w:bodyDiv w:val="1"/>
      <w:marLeft w:val="0"/>
      <w:marRight w:val="0"/>
      <w:marTop w:val="0"/>
      <w:marBottom w:val="0"/>
      <w:divBdr>
        <w:top w:val="none" w:sz="0" w:space="0" w:color="auto"/>
        <w:left w:val="none" w:sz="0" w:space="0" w:color="auto"/>
        <w:bottom w:val="none" w:sz="0" w:space="0" w:color="auto"/>
        <w:right w:val="none" w:sz="0" w:space="0" w:color="auto"/>
      </w:divBdr>
    </w:div>
    <w:div w:id="1875532198">
      <w:bodyDiv w:val="1"/>
      <w:marLeft w:val="0"/>
      <w:marRight w:val="0"/>
      <w:marTop w:val="0"/>
      <w:marBottom w:val="0"/>
      <w:divBdr>
        <w:top w:val="none" w:sz="0" w:space="0" w:color="auto"/>
        <w:left w:val="none" w:sz="0" w:space="0" w:color="auto"/>
        <w:bottom w:val="none" w:sz="0" w:space="0" w:color="auto"/>
        <w:right w:val="none" w:sz="0" w:space="0" w:color="auto"/>
      </w:divBdr>
    </w:div>
    <w:div w:id="1910531845">
      <w:bodyDiv w:val="1"/>
      <w:marLeft w:val="0"/>
      <w:marRight w:val="0"/>
      <w:marTop w:val="0"/>
      <w:marBottom w:val="0"/>
      <w:divBdr>
        <w:top w:val="none" w:sz="0" w:space="0" w:color="auto"/>
        <w:left w:val="none" w:sz="0" w:space="0" w:color="auto"/>
        <w:bottom w:val="none" w:sz="0" w:space="0" w:color="auto"/>
        <w:right w:val="none" w:sz="0" w:space="0" w:color="auto"/>
      </w:divBdr>
      <w:divsChild>
        <w:div w:id="754666761">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8997">
      <w:bodyDiv w:val="1"/>
      <w:marLeft w:val="0"/>
      <w:marRight w:val="0"/>
      <w:marTop w:val="0"/>
      <w:marBottom w:val="0"/>
      <w:divBdr>
        <w:top w:val="none" w:sz="0" w:space="0" w:color="auto"/>
        <w:left w:val="none" w:sz="0" w:space="0" w:color="auto"/>
        <w:bottom w:val="none" w:sz="0" w:space="0" w:color="auto"/>
        <w:right w:val="none" w:sz="0" w:space="0" w:color="auto"/>
      </w:divBdr>
    </w:div>
    <w:div w:id="2022395541">
      <w:bodyDiv w:val="1"/>
      <w:marLeft w:val="0"/>
      <w:marRight w:val="0"/>
      <w:marTop w:val="0"/>
      <w:marBottom w:val="0"/>
      <w:divBdr>
        <w:top w:val="none" w:sz="0" w:space="0" w:color="auto"/>
        <w:left w:val="none" w:sz="0" w:space="0" w:color="auto"/>
        <w:bottom w:val="none" w:sz="0" w:space="0" w:color="auto"/>
        <w:right w:val="none" w:sz="0" w:space="0" w:color="auto"/>
      </w:divBdr>
      <w:divsChild>
        <w:div w:id="1419138037">
          <w:marLeft w:val="0"/>
          <w:marRight w:val="0"/>
          <w:marTop w:val="0"/>
          <w:marBottom w:val="0"/>
          <w:divBdr>
            <w:top w:val="none" w:sz="0" w:space="0" w:color="auto"/>
            <w:left w:val="none" w:sz="0" w:space="0" w:color="auto"/>
            <w:bottom w:val="none" w:sz="0" w:space="0" w:color="auto"/>
            <w:right w:val="none" w:sz="0" w:space="0" w:color="auto"/>
          </w:divBdr>
          <w:divsChild>
            <w:div w:id="16825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49696">
      <w:bodyDiv w:val="1"/>
      <w:marLeft w:val="0"/>
      <w:marRight w:val="0"/>
      <w:marTop w:val="0"/>
      <w:marBottom w:val="0"/>
      <w:divBdr>
        <w:top w:val="none" w:sz="0" w:space="0" w:color="auto"/>
        <w:left w:val="none" w:sz="0" w:space="0" w:color="auto"/>
        <w:bottom w:val="none" w:sz="0" w:space="0" w:color="auto"/>
        <w:right w:val="none" w:sz="0" w:space="0" w:color="auto"/>
      </w:divBdr>
    </w:div>
    <w:div w:id="2101366412">
      <w:bodyDiv w:val="1"/>
      <w:marLeft w:val="0"/>
      <w:marRight w:val="0"/>
      <w:marTop w:val="0"/>
      <w:marBottom w:val="0"/>
      <w:divBdr>
        <w:top w:val="none" w:sz="0" w:space="0" w:color="auto"/>
        <w:left w:val="none" w:sz="0" w:space="0" w:color="auto"/>
        <w:bottom w:val="none" w:sz="0" w:space="0" w:color="auto"/>
        <w:right w:val="none" w:sz="0" w:space="0" w:color="auto"/>
      </w:divBdr>
    </w:div>
    <w:div w:id="211913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vistas.ucr.ac.cr/index.php/economica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pglobal.com/spdji/en/indices/equity/sp-500-energy-sector/#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spglobal.com/spdji/en/indices/equity/sp-kensho-electric-vehicles-index/#overvie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jstor.org/stable/3068943"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FB6EC-E51B-44AB-A43D-5007DDEE8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28</Pages>
  <Words>8166</Words>
  <Characters>46552</Characters>
  <Application>Microsoft Office Word</Application>
  <DocSecurity>0</DocSecurity>
  <Lines>387</Lines>
  <Paragraphs>109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Saldarriaga</dc:creator>
  <cp:keywords/>
  <dc:description/>
  <cp:lastModifiedBy>Camilo Saldarriaga</cp:lastModifiedBy>
  <cp:revision>12</cp:revision>
  <dcterms:created xsi:type="dcterms:W3CDTF">2024-02-24T19:14:00Z</dcterms:created>
  <dcterms:modified xsi:type="dcterms:W3CDTF">2024-10-27T16:34:00Z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c20be7-c3a5-46e3-9158-fa8a02ce2395_Enabled">
    <vt:lpwstr>true</vt:lpwstr>
  </property>
  <property fmtid="{D5CDD505-2E9C-101B-9397-08002B2CF9AE}" pid="3" name="MSIP_Label_d5c20be7-c3a5-46e3-9158-fa8a02ce2395_SetDate">
    <vt:lpwstr>2023-07-24T17:09:05Z</vt:lpwstr>
  </property>
  <property fmtid="{D5CDD505-2E9C-101B-9397-08002B2CF9AE}" pid="4" name="MSIP_Label_d5c20be7-c3a5-46e3-9158-fa8a02ce2395_Method">
    <vt:lpwstr>Standard</vt:lpwstr>
  </property>
  <property fmtid="{D5CDD505-2E9C-101B-9397-08002B2CF9AE}" pid="5" name="MSIP_Label_d5c20be7-c3a5-46e3-9158-fa8a02ce2395_Name">
    <vt:lpwstr>defa4170-0d19-0005-0004-bc88714345d2</vt:lpwstr>
  </property>
  <property fmtid="{D5CDD505-2E9C-101B-9397-08002B2CF9AE}" pid="6" name="MSIP_Label_d5c20be7-c3a5-46e3-9158-fa8a02ce2395_SiteId">
    <vt:lpwstr>8c6f9078-037e-4261-a583-52a944e55f7f</vt:lpwstr>
  </property>
  <property fmtid="{D5CDD505-2E9C-101B-9397-08002B2CF9AE}" pid="7" name="MSIP_Label_d5c20be7-c3a5-46e3-9158-fa8a02ce2395_ActionId">
    <vt:lpwstr>74eb4e1c-44b5-4df0-8d1d-4952e8c5ea08</vt:lpwstr>
  </property>
  <property fmtid="{D5CDD505-2E9C-101B-9397-08002B2CF9AE}" pid="8" name="MSIP_Label_d5c20be7-c3a5-46e3-9158-fa8a02ce2395_ContentBits">
    <vt:lpwstr>0</vt:lpwstr>
  </property>
</Properties>
</file>