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B106" w14:textId="21A3635C" w:rsidR="007B10AC" w:rsidRPr="00397579" w:rsidRDefault="00B33EE1" w:rsidP="00397579">
      <w:pPr>
        <w:rPr>
          <w:b/>
          <w:bCs/>
          <w:sz w:val="36"/>
          <w:szCs w:val="36"/>
          <w:lang w:val="pt-BR"/>
        </w:rPr>
      </w:pPr>
      <w:r w:rsidRPr="00397579">
        <w:rPr>
          <w:b/>
          <w:bCs/>
          <w:sz w:val="36"/>
          <w:szCs w:val="36"/>
          <w:lang w:val="pt-BR"/>
        </w:rPr>
        <w:t>Controles e lista de verificação de conformidade</w:t>
      </w:r>
    </w:p>
    <w:p w14:paraId="0EA61020" w14:textId="77777777" w:rsidR="00397579" w:rsidRDefault="00397579" w:rsidP="007C23FB">
      <w:pPr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</w:p>
    <w:p w14:paraId="22DFA097" w14:textId="6E9CC107" w:rsidR="007B10AC" w:rsidRPr="00F514FB" w:rsidRDefault="00B33EE1" w:rsidP="007C23FB">
      <w:pPr>
        <w:jc w:val="both"/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</w:pPr>
      <w:r w:rsidRPr="00F514FB"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  <w:t xml:space="preserve">Para concluir a lista de verificação de avaliação de controles, consulte as informações fornecidas no relatório de avaliação de escopo, metas e risco. Para obter mais detalhes sobre cada controle, incluindo o tipo e a finalidade, consulte </w:t>
      </w:r>
      <w:r w:rsidR="006D109D" w:rsidRPr="00F514FB"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  <w:t>o documento</w:t>
      </w:r>
      <w:r w:rsidRPr="00F514FB"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  <w:t xml:space="preserve"> de categorias de controle.</w:t>
      </w:r>
    </w:p>
    <w:p w14:paraId="78207B85" w14:textId="77777777" w:rsidR="007B10AC" w:rsidRPr="00F514FB" w:rsidRDefault="007B10AC" w:rsidP="007C23FB">
      <w:pPr>
        <w:jc w:val="both"/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</w:pPr>
    </w:p>
    <w:p w14:paraId="112FA623" w14:textId="1EF723C2" w:rsidR="007B10AC" w:rsidRPr="00F514FB" w:rsidRDefault="00B33EE1" w:rsidP="007C23FB">
      <w:pPr>
        <w:jc w:val="both"/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</w:pPr>
      <w:r w:rsidRPr="00F514FB"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  <w:t>Em seguida, digite na coluna "sim" ou "não" para responder à pergunta: A Botium Toys tem atualmente esse controle?</w:t>
      </w:r>
    </w:p>
    <w:p w14:paraId="51053F5A" w14:textId="77777777" w:rsidR="003104EF" w:rsidRDefault="003104EF">
      <w:pPr>
        <w:rPr>
          <w:rFonts w:ascii="Google Sans" w:eastAsia="Google Sans" w:hAnsi="Google Sans" w:cs="Google Sans"/>
          <w:b/>
          <w:sz w:val="24"/>
          <w:szCs w:val="24"/>
          <w:lang w:val="pt-BR"/>
        </w:rPr>
      </w:pPr>
    </w:p>
    <w:p w14:paraId="479F1272" w14:textId="3862288E" w:rsidR="007B10AC" w:rsidRPr="0000595D" w:rsidRDefault="00B33EE1">
      <w:pPr>
        <w:rPr>
          <w:rFonts w:ascii="Google Sans" w:eastAsia="Google Sans" w:hAnsi="Google Sans" w:cs="Google Sans"/>
          <w:sz w:val="26"/>
          <w:szCs w:val="26"/>
          <w:lang w:val="pt-BR"/>
        </w:rPr>
      </w:pPr>
      <w:r w:rsidRPr="0000595D">
        <w:rPr>
          <w:rFonts w:ascii="Google Sans" w:eastAsia="Google Sans" w:hAnsi="Google Sans" w:cs="Google Sans"/>
          <w:b/>
          <w:sz w:val="24"/>
          <w:szCs w:val="24"/>
          <w:lang w:val="pt-BR"/>
        </w:rPr>
        <w:t>Lista de verificação de avaliação de controles</w:t>
      </w:r>
      <w:r w:rsidR="00720479">
        <w:rPr>
          <w:rFonts w:ascii="Google Sans" w:eastAsia="Google Sans" w:hAnsi="Google Sans" w:cs="Google Sans"/>
          <w:b/>
          <w:sz w:val="24"/>
          <w:szCs w:val="24"/>
          <w:lang w:val="pt-BR"/>
        </w:rPr>
        <w:tab/>
      </w:r>
    </w:p>
    <w:p w14:paraId="3C938ADD" w14:textId="77777777" w:rsidR="007B10AC" w:rsidRPr="0000595D" w:rsidRDefault="007B10AC">
      <w:pPr>
        <w:rPr>
          <w:rFonts w:ascii="Google Sans" w:eastAsia="Google Sans" w:hAnsi="Google Sans" w:cs="Google Sans"/>
          <w:lang w:val="pt-BR"/>
        </w:rPr>
      </w:pPr>
    </w:p>
    <w:tbl>
      <w:tblPr>
        <w:tblW w:w="8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360"/>
      </w:tblGrid>
      <w:tr w:rsidR="00534A45" w:rsidRPr="00534A45" w14:paraId="5A92C97E" w14:textId="77777777" w:rsidTr="00534A45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808ED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Atende</w:t>
            </w:r>
          </w:p>
        </w:tc>
        <w:tc>
          <w:tcPr>
            <w:tcW w:w="7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B748C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Controle</w:t>
            </w:r>
          </w:p>
        </w:tc>
      </w:tr>
      <w:tr w:rsidR="00534A45" w:rsidRPr="00534A45" w14:paraId="2F138F5B" w14:textId="77777777" w:rsidTr="00534A4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4C48CE2D" w14:textId="77777777" w:rsidR="00534A45" w:rsidRPr="00534A45" w:rsidRDefault="00534A45" w:rsidP="00534A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A614D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000000"/>
                <w:lang w:val="pt-BR"/>
              </w:rPr>
              <w:t>Privilégio mínimo</w:t>
            </w:r>
          </w:p>
        </w:tc>
      </w:tr>
      <w:tr w:rsidR="00534A45" w:rsidRPr="00534A45" w14:paraId="622CE06B" w14:textId="77777777" w:rsidTr="00534A4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1C6F5B5F" w14:textId="77777777" w:rsidR="00534A45" w:rsidRPr="00534A45" w:rsidRDefault="00534A45" w:rsidP="00534A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0FFA9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000000"/>
                <w:lang w:val="pt-BR"/>
              </w:rPr>
              <w:t>Planos de recuperação de desastre</w:t>
            </w:r>
          </w:p>
        </w:tc>
      </w:tr>
      <w:tr w:rsidR="00534A45" w:rsidRPr="00534A45" w14:paraId="6BDA429C" w14:textId="77777777" w:rsidTr="00534A4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6EAA439B" w14:textId="77777777" w:rsidR="00534A45" w:rsidRPr="00534A45" w:rsidRDefault="00534A45" w:rsidP="00534A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0903D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000000"/>
                <w:lang w:val="pt-BR"/>
              </w:rPr>
              <w:t>Políticas de senha</w:t>
            </w:r>
          </w:p>
        </w:tc>
      </w:tr>
      <w:tr w:rsidR="00534A45" w:rsidRPr="00534A45" w14:paraId="5316E285" w14:textId="77777777" w:rsidTr="00534A4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2F3A3B55" w14:textId="77777777" w:rsidR="00534A45" w:rsidRPr="00534A45" w:rsidRDefault="00534A45" w:rsidP="00534A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2EBA4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000000"/>
                <w:lang w:val="pt-BR"/>
              </w:rPr>
              <w:t>Separação de funções</w:t>
            </w:r>
          </w:p>
        </w:tc>
      </w:tr>
      <w:tr w:rsidR="00534A45" w:rsidRPr="00534A45" w14:paraId="12743D82" w14:textId="77777777" w:rsidTr="00534A4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2FFCF065" w14:textId="77777777" w:rsidR="00534A45" w:rsidRPr="00534A45" w:rsidRDefault="00534A45" w:rsidP="00534A45">
            <w:pPr>
              <w:spacing w:line="240" w:lineRule="auto"/>
              <w:jc w:val="center"/>
              <w:rPr>
                <w:rFonts w:ascii="Calibri" w:eastAsia="Times New Roman" w:hAnsi="Calibri" w:cs="Calibri"/>
                <w:lang w:val="pt-BR"/>
              </w:rPr>
            </w:pPr>
            <w:r w:rsidRPr="00534A45">
              <w:rPr>
                <w:rFonts w:ascii="Calibri" w:eastAsia="Times New Roman" w:hAnsi="Calibri" w:cs="Calibri"/>
                <w:lang w:val="pt-BR"/>
              </w:rPr>
              <w:t>Sim</w:t>
            </w:r>
          </w:p>
        </w:tc>
        <w:tc>
          <w:tcPr>
            <w:tcW w:w="7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F11A2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000000"/>
                <w:lang w:val="pt-BR"/>
              </w:rPr>
              <w:t>Firewall</w:t>
            </w:r>
          </w:p>
        </w:tc>
      </w:tr>
      <w:tr w:rsidR="00534A45" w:rsidRPr="00534A45" w14:paraId="1BA45C43" w14:textId="77777777" w:rsidTr="00534A4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10686CE9" w14:textId="77777777" w:rsidR="00534A45" w:rsidRPr="00534A45" w:rsidRDefault="00534A45" w:rsidP="00534A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6E177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000000"/>
                <w:lang w:val="pt-BR"/>
              </w:rPr>
              <w:t>Sistema de detecção de intrusão (IDS)</w:t>
            </w:r>
          </w:p>
        </w:tc>
      </w:tr>
      <w:tr w:rsidR="00534A45" w:rsidRPr="00534A45" w14:paraId="07C14D2C" w14:textId="77777777" w:rsidTr="00534A4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0B743B81" w14:textId="77777777" w:rsidR="00534A45" w:rsidRPr="00534A45" w:rsidRDefault="00534A45" w:rsidP="00534A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B6A15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000000"/>
                <w:lang w:val="pt-BR"/>
              </w:rPr>
              <w:t>Backups</w:t>
            </w:r>
          </w:p>
        </w:tc>
      </w:tr>
      <w:tr w:rsidR="00534A45" w:rsidRPr="00534A45" w14:paraId="01EFD56B" w14:textId="77777777" w:rsidTr="00534A4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1DBA448A" w14:textId="77777777" w:rsidR="00534A45" w:rsidRPr="00534A45" w:rsidRDefault="00534A45" w:rsidP="00534A45">
            <w:pPr>
              <w:spacing w:line="240" w:lineRule="auto"/>
              <w:jc w:val="center"/>
              <w:rPr>
                <w:rFonts w:ascii="Calibri" w:eastAsia="Times New Roman" w:hAnsi="Calibri" w:cs="Calibri"/>
                <w:lang w:val="pt-BR"/>
              </w:rPr>
            </w:pPr>
            <w:r w:rsidRPr="00534A45">
              <w:rPr>
                <w:rFonts w:ascii="Calibri" w:eastAsia="Times New Roman" w:hAnsi="Calibri" w:cs="Calibri"/>
                <w:lang w:val="pt-BR"/>
              </w:rPr>
              <w:t>Sim</w:t>
            </w:r>
          </w:p>
        </w:tc>
        <w:tc>
          <w:tcPr>
            <w:tcW w:w="7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4146A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000000"/>
                <w:lang w:val="pt-BR"/>
              </w:rPr>
              <w:t>Software antivírus</w:t>
            </w:r>
          </w:p>
        </w:tc>
      </w:tr>
      <w:tr w:rsidR="00534A45" w:rsidRPr="00534A45" w14:paraId="73AE5827" w14:textId="77777777" w:rsidTr="00534A4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68DB121B" w14:textId="77777777" w:rsidR="00534A45" w:rsidRPr="00534A45" w:rsidRDefault="00534A45" w:rsidP="00534A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28468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000000"/>
                <w:lang w:val="pt-BR"/>
              </w:rPr>
              <w:t>Monitoramento, manutenção e intervenção manuais para sistemas legado</w:t>
            </w:r>
          </w:p>
        </w:tc>
      </w:tr>
      <w:tr w:rsidR="00534A45" w:rsidRPr="00534A45" w14:paraId="6DDD568E" w14:textId="77777777" w:rsidTr="00534A4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0278D039" w14:textId="77777777" w:rsidR="00534A45" w:rsidRPr="00534A45" w:rsidRDefault="00534A45" w:rsidP="00534A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8DE84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000000"/>
                <w:lang w:val="pt-BR"/>
              </w:rPr>
              <w:t>Encriptação</w:t>
            </w:r>
          </w:p>
        </w:tc>
      </w:tr>
      <w:tr w:rsidR="00534A45" w:rsidRPr="00534A45" w14:paraId="425B38B4" w14:textId="77777777" w:rsidTr="00534A4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5F4E6604" w14:textId="77777777" w:rsidR="00534A45" w:rsidRPr="00534A45" w:rsidRDefault="00534A45" w:rsidP="00534A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C9EF6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000000"/>
                <w:lang w:val="pt-BR"/>
              </w:rPr>
              <w:t>Sistema de gerenciamento de senhas</w:t>
            </w:r>
          </w:p>
        </w:tc>
      </w:tr>
      <w:tr w:rsidR="00534A45" w:rsidRPr="00534A45" w14:paraId="19DC300E" w14:textId="77777777" w:rsidTr="00534A4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409B3C77" w14:textId="77777777" w:rsidR="00534A45" w:rsidRPr="00534A45" w:rsidRDefault="00534A45" w:rsidP="00534A45">
            <w:pPr>
              <w:spacing w:line="240" w:lineRule="auto"/>
              <w:jc w:val="center"/>
              <w:rPr>
                <w:rFonts w:ascii="Calibri" w:eastAsia="Times New Roman" w:hAnsi="Calibri" w:cs="Calibri"/>
                <w:lang w:val="pt-BR"/>
              </w:rPr>
            </w:pPr>
            <w:r w:rsidRPr="00534A45">
              <w:rPr>
                <w:rFonts w:ascii="Calibri" w:eastAsia="Times New Roman" w:hAnsi="Calibri" w:cs="Calibri"/>
                <w:lang w:val="pt-BR"/>
              </w:rPr>
              <w:t>Sim</w:t>
            </w:r>
          </w:p>
        </w:tc>
        <w:tc>
          <w:tcPr>
            <w:tcW w:w="7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B6A5D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000000"/>
                <w:lang w:val="pt-BR"/>
              </w:rPr>
              <w:t>Fechaduras (escritórios, vitrine, armazém)</w:t>
            </w:r>
          </w:p>
        </w:tc>
      </w:tr>
      <w:tr w:rsidR="00534A45" w:rsidRPr="00534A45" w14:paraId="09BC6B1C" w14:textId="77777777" w:rsidTr="00534A4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2F2C3A64" w14:textId="77777777" w:rsidR="00534A45" w:rsidRPr="00534A45" w:rsidRDefault="00534A45" w:rsidP="00534A45">
            <w:pPr>
              <w:spacing w:line="240" w:lineRule="auto"/>
              <w:jc w:val="center"/>
              <w:rPr>
                <w:rFonts w:ascii="Calibri" w:eastAsia="Times New Roman" w:hAnsi="Calibri" w:cs="Calibri"/>
                <w:lang w:val="pt-BR"/>
              </w:rPr>
            </w:pPr>
            <w:r w:rsidRPr="00534A45">
              <w:rPr>
                <w:rFonts w:ascii="Calibri" w:eastAsia="Times New Roman" w:hAnsi="Calibri" w:cs="Calibri"/>
                <w:lang w:val="pt-BR"/>
              </w:rPr>
              <w:t>Sim</w:t>
            </w:r>
          </w:p>
        </w:tc>
        <w:tc>
          <w:tcPr>
            <w:tcW w:w="7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8D5BC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000000"/>
                <w:lang w:val="pt-BR"/>
              </w:rPr>
              <w:t>Circuito fechado de televisão (CCTV) de vigilância</w:t>
            </w:r>
          </w:p>
        </w:tc>
      </w:tr>
      <w:tr w:rsidR="00534A45" w:rsidRPr="00534A45" w14:paraId="0C143209" w14:textId="77777777" w:rsidTr="00534A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1C65D489" w14:textId="77777777" w:rsidR="00534A45" w:rsidRPr="00534A45" w:rsidRDefault="00534A45" w:rsidP="00534A45">
            <w:pPr>
              <w:spacing w:line="240" w:lineRule="auto"/>
              <w:jc w:val="center"/>
              <w:rPr>
                <w:rFonts w:ascii="Calibri" w:eastAsia="Times New Roman" w:hAnsi="Calibri" w:cs="Calibri"/>
                <w:lang w:val="pt-BR"/>
              </w:rPr>
            </w:pPr>
            <w:r w:rsidRPr="00534A45">
              <w:rPr>
                <w:rFonts w:ascii="Calibri" w:eastAsia="Times New Roman" w:hAnsi="Calibri" w:cs="Calibri"/>
                <w:lang w:val="pt-BR"/>
              </w:rPr>
              <w:t>Sim</w:t>
            </w:r>
          </w:p>
        </w:tc>
        <w:tc>
          <w:tcPr>
            <w:tcW w:w="7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74A90" w14:textId="77777777" w:rsidR="00534A45" w:rsidRPr="00534A45" w:rsidRDefault="00534A45" w:rsidP="00534A4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34A45">
              <w:rPr>
                <w:rFonts w:ascii="Calibri" w:eastAsia="Times New Roman" w:hAnsi="Calibri" w:cs="Calibri"/>
                <w:color w:val="000000"/>
                <w:lang w:val="pt-BR"/>
              </w:rPr>
              <w:t>Detecção/prevenção de incêndio (alarme de incêndio, sistema de sprinklers, etc.)</w:t>
            </w:r>
          </w:p>
        </w:tc>
      </w:tr>
    </w:tbl>
    <w:p w14:paraId="2861E0E9" w14:textId="77777777" w:rsidR="007B10AC" w:rsidRPr="0000595D" w:rsidRDefault="007B10AC">
      <w:pPr>
        <w:rPr>
          <w:rFonts w:ascii="Google Sans" w:eastAsia="Google Sans" w:hAnsi="Google Sans" w:cs="Google Sans"/>
          <w:sz w:val="24"/>
          <w:szCs w:val="24"/>
          <w:lang w:val="pt-BR"/>
        </w:rPr>
      </w:pPr>
    </w:p>
    <w:p w14:paraId="4DFE0F81" w14:textId="77777777" w:rsidR="007B10AC" w:rsidRPr="0000595D" w:rsidRDefault="00000000">
      <w:pPr>
        <w:rPr>
          <w:rFonts w:ascii="Google Sans" w:eastAsia="Google Sans" w:hAnsi="Google Sans" w:cs="Google Sans"/>
          <w:sz w:val="24"/>
          <w:szCs w:val="24"/>
          <w:lang w:val="pt-BR"/>
        </w:rPr>
      </w:pPr>
      <w:r>
        <w:rPr>
          <w:lang w:val="pt-BR"/>
        </w:rPr>
        <w:pict w14:anchorId="1E0198D0">
          <v:rect id="_x0000_i1025" style="width:0;height:1.5pt" o:hralign="center" o:hrstd="t" o:hr="t" fillcolor="#a0a0a0" stroked="f"/>
        </w:pict>
      </w:r>
    </w:p>
    <w:p w14:paraId="3ACEECD9" w14:textId="507C4E29" w:rsidR="007B10AC" w:rsidRPr="00F514FB" w:rsidRDefault="00B33EE1" w:rsidP="007C23FB">
      <w:pPr>
        <w:jc w:val="both"/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</w:pPr>
      <w:r w:rsidRPr="00F514FB"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  <w:t>Para concluir a lista de verificação de conformidade, consulte as informações fornecidas no relatório de avaliação de escopo, metas e risco. Para obter mais detalhes sobre cada regulamento de conformidade, revise os controles, as estruturas e a leitura de conformidade.</w:t>
      </w:r>
    </w:p>
    <w:p w14:paraId="2F611940" w14:textId="77777777" w:rsidR="007B10AC" w:rsidRPr="00F514FB" w:rsidRDefault="007B10AC" w:rsidP="007C23FB">
      <w:pPr>
        <w:jc w:val="both"/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</w:pPr>
    </w:p>
    <w:p w14:paraId="3B126C9D" w14:textId="52F41A49" w:rsidR="007B10AC" w:rsidRPr="00F514FB" w:rsidRDefault="00B33EE1" w:rsidP="007C23FB">
      <w:pPr>
        <w:jc w:val="both"/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</w:pPr>
      <w:r w:rsidRPr="00F514FB"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  <w:t>Em seguida, digite</w:t>
      </w:r>
      <w:r w:rsidR="00F514FB"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  <w:t xml:space="preserve"> </w:t>
      </w:r>
      <w:r w:rsidRPr="00F514FB"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  <w:t>na coluna "sim" ou "não" para responder à pergunta: A Botium Toys atualmente adere a essa prática recomendada de conformidade?</w:t>
      </w:r>
    </w:p>
    <w:p w14:paraId="4CDD9DFF" w14:textId="77777777" w:rsidR="007B10AC" w:rsidRPr="0000595D" w:rsidRDefault="007B10AC">
      <w:pPr>
        <w:rPr>
          <w:rFonts w:ascii="Google Sans" w:eastAsia="Google Sans" w:hAnsi="Google Sans" w:cs="Google Sans"/>
          <w:sz w:val="24"/>
          <w:szCs w:val="24"/>
          <w:lang w:val="pt-BR"/>
        </w:rPr>
      </w:pPr>
    </w:p>
    <w:p w14:paraId="5EB6BA76" w14:textId="77777777" w:rsidR="00836CEF" w:rsidRDefault="00836CEF">
      <w:pPr>
        <w:rPr>
          <w:rFonts w:ascii="Google Sans" w:eastAsia="Google Sans" w:hAnsi="Google Sans" w:cs="Google Sans"/>
          <w:b/>
          <w:sz w:val="24"/>
          <w:szCs w:val="24"/>
          <w:lang w:val="pt-BR"/>
        </w:rPr>
      </w:pPr>
    </w:p>
    <w:p w14:paraId="0A8C68A9" w14:textId="77777777" w:rsidR="00836CEF" w:rsidRDefault="00836CEF">
      <w:pPr>
        <w:rPr>
          <w:rFonts w:ascii="Google Sans" w:eastAsia="Google Sans" w:hAnsi="Google Sans" w:cs="Google Sans"/>
          <w:b/>
          <w:sz w:val="24"/>
          <w:szCs w:val="24"/>
          <w:lang w:val="pt-BR"/>
        </w:rPr>
      </w:pPr>
    </w:p>
    <w:p w14:paraId="247B031C" w14:textId="77777777" w:rsidR="00836CEF" w:rsidRDefault="00836CEF">
      <w:pPr>
        <w:rPr>
          <w:rFonts w:ascii="Google Sans" w:eastAsia="Google Sans" w:hAnsi="Google Sans" w:cs="Google Sans"/>
          <w:b/>
          <w:sz w:val="24"/>
          <w:szCs w:val="24"/>
          <w:lang w:val="pt-BR"/>
        </w:rPr>
      </w:pPr>
    </w:p>
    <w:p w14:paraId="28B3B435" w14:textId="77777777" w:rsidR="00836CEF" w:rsidRDefault="00836CEF">
      <w:pPr>
        <w:rPr>
          <w:rFonts w:ascii="Google Sans" w:eastAsia="Google Sans" w:hAnsi="Google Sans" w:cs="Google Sans"/>
          <w:b/>
          <w:sz w:val="24"/>
          <w:szCs w:val="24"/>
          <w:lang w:val="pt-BR"/>
        </w:rPr>
      </w:pPr>
    </w:p>
    <w:p w14:paraId="6D032D1B" w14:textId="1E3314DA" w:rsidR="007B10AC" w:rsidRPr="0000595D" w:rsidRDefault="00B33EE1">
      <w:pPr>
        <w:rPr>
          <w:rFonts w:ascii="Google Sans" w:eastAsia="Google Sans" w:hAnsi="Google Sans" w:cs="Google Sans"/>
          <w:sz w:val="24"/>
          <w:szCs w:val="24"/>
          <w:lang w:val="pt-BR"/>
        </w:rPr>
      </w:pPr>
      <w:r w:rsidRPr="0000595D">
        <w:rPr>
          <w:rFonts w:ascii="Google Sans" w:eastAsia="Google Sans" w:hAnsi="Google Sans" w:cs="Google Sans"/>
          <w:b/>
          <w:sz w:val="24"/>
          <w:szCs w:val="24"/>
          <w:lang w:val="pt-BR"/>
        </w:rPr>
        <w:lastRenderedPageBreak/>
        <w:t>Lista de verificação de conformidade</w:t>
      </w:r>
    </w:p>
    <w:p w14:paraId="2DE64D1C" w14:textId="77777777" w:rsidR="007B10AC" w:rsidRPr="0000595D" w:rsidRDefault="007B10AC">
      <w:pPr>
        <w:rPr>
          <w:rFonts w:ascii="Google Sans" w:eastAsia="Google Sans" w:hAnsi="Google Sans" w:cs="Google Sans"/>
          <w:b/>
          <w:sz w:val="24"/>
          <w:szCs w:val="24"/>
          <w:lang w:val="pt-BR"/>
        </w:rPr>
      </w:pPr>
    </w:p>
    <w:p w14:paraId="7728FF03" w14:textId="77777777" w:rsidR="007B10AC" w:rsidRPr="0000595D" w:rsidRDefault="00B33EE1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  <w:lang w:val="pt-BR"/>
        </w:rPr>
      </w:pPr>
      <w:r w:rsidRPr="0000595D">
        <w:rPr>
          <w:rFonts w:ascii="Google Sans" w:eastAsia="Google Sans" w:hAnsi="Google Sans" w:cs="Google Sans"/>
          <w:sz w:val="24"/>
          <w:szCs w:val="24"/>
          <w:u w:val="single"/>
          <w:lang w:val="pt-BR"/>
        </w:rPr>
        <w:t>Padrão de segurança de dados da indústria de cartões de pagamento (PCI DSS)</w:t>
      </w:r>
    </w:p>
    <w:tbl>
      <w:tblPr>
        <w:tblW w:w="84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7906"/>
      </w:tblGrid>
      <w:tr w:rsidR="00836CEF" w:rsidRPr="00836CEF" w14:paraId="47EE7492" w14:textId="77777777" w:rsidTr="00836CEF">
        <w:trPr>
          <w:trHeight w:val="288"/>
          <w:jc w:val="center"/>
        </w:trPr>
        <w:tc>
          <w:tcPr>
            <w:tcW w:w="5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431C9" w14:textId="77777777" w:rsidR="00836CEF" w:rsidRPr="00836CEF" w:rsidRDefault="00836CEF" w:rsidP="00836CE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 w:rsidRPr="00836CEF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Atende</w:t>
            </w:r>
          </w:p>
        </w:tc>
        <w:tc>
          <w:tcPr>
            <w:tcW w:w="79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6DBE3" w14:textId="77777777" w:rsidR="00836CEF" w:rsidRPr="00836CEF" w:rsidRDefault="00836CEF" w:rsidP="00836CE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 w:rsidRPr="00836CEF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Melhores práticas</w:t>
            </w:r>
          </w:p>
        </w:tc>
      </w:tr>
      <w:tr w:rsidR="00836CEF" w:rsidRPr="00836CEF" w14:paraId="026EB1CC" w14:textId="77777777" w:rsidTr="00836CEF">
        <w:trPr>
          <w:trHeight w:val="288"/>
          <w:jc w:val="center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21FAEE77" w14:textId="77777777" w:rsidR="00836CEF" w:rsidRPr="00836CEF" w:rsidRDefault="00836CEF" w:rsidP="00836C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B1483" w14:textId="77777777" w:rsidR="00836CEF" w:rsidRPr="00836CEF" w:rsidRDefault="00836CEF" w:rsidP="00836C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000000"/>
                <w:lang w:val="pt-BR"/>
              </w:rPr>
              <w:t>Somente usuários autorizados tem acesso às informações de cartão de crédito dos clientes</w:t>
            </w:r>
          </w:p>
        </w:tc>
      </w:tr>
      <w:tr w:rsidR="00836CEF" w:rsidRPr="00836CEF" w14:paraId="7F4DFAD8" w14:textId="77777777" w:rsidTr="00836CEF">
        <w:trPr>
          <w:trHeight w:val="288"/>
          <w:jc w:val="center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6BA7882B" w14:textId="77777777" w:rsidR="00836CEF" w:rsidRPr="00836CEF" w:rsidRDefault="00836CEF" w:rsidP="00836C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FC825" w14:textId="77777777" w:rsidR="00836CEF" w:rsidRPr="00836CEF" w:rsidRDefault="00836CEF" w:rsidP="00836C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000000"/>
                <w:lang w:val="pt-BR"/>
              </w:rPr>
              <w:t>As informações de cartão de crédito são armazenadas, aceitas, processadas e transmitidas internamente, em um ambiente seguro</w:t>
            </w:r>
          </w:p>
        </w:tc>
      </w:tr>
      <w:tr w:rsidR="00836CEF" w:rsidRPr="00836CEF" w14:paraId="7416AC33" w14:textId="77777777" w:rsidTr="00836CEF">
        <w:trPr>
          <w:trHeight w:val="288"/>
          <w:jc w:val="center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6D9D34A4" w14:textId="77777777" w:rsidR="00836CEF" w:rsidRPr="00836CEF" w:rsidRDefault="00836CEF" w:rsidP="00836C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9614D" w14:textId="77777777" w:rsidR="00836CEF" w:rsidRPr="00836CEF" w:rsidRDefault="00836CEF" w:rsidP="00836C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000000"/>
                <w:lang w:val="pt-BR"/>
              </w:rPr>
              <w:t>Implementação de procedimentos de criptografia de dados para proteger melhor os pontos de contato e os dados de transações de cartão de crédito</w:t>
            </w:r>
          </w:p>
        </w:tc>
      </w:tr>
      <w:tr w:rsidR="00836CEF" w:rsidRPr="00836CEF" w14:paraId="09063E3A" w14:textId="77777777" w:rsidTr="00836CEF">
        <w:trPr>
          <w:trHeight w:val="300"/>
          <w:jc w:val="center"/>
        </w:trPr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24D90994" w14:textId="77777777" w:rsidR="00836CEF" w:rsidRPr="00836CEF" w:rsidRDefault="00836CEF" w:rsidP="00836C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13FB8" w14:textId="77777777" w:rsidR="00836CEF" w:rsidRPr="00836CEF" w:rsidRDefault="00836CEF" w:rsidP="00836C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000000"/>
                <w:lang w:val="pt-BR"/>
              </w:rPr>
              <w:t>Adoção de políticas seguras de gerenciamento de senhas</w:t>
            </w:r>
          </w:p>
        </w:tc>
      </w:tr>
    </w:tbl>
    <w:p w14:paraId="700826FB" w14:textId="77777777" w:rsidR="007B10AC" w:rsidRPr="0000595D" w:rsidRDefault="007B10AC">
      <w:pPr>
        <w:rPr>
          <w:rFonts w:ascii="Google Sans" w:eastAsia="Google Sans" w:hAnsi="Google Sans" w:cs="Google Sans"/>
          <w:sz w:val="24"/>
          <w:szCs w:val="24"/>
          <w:lang w:val="pt-BR"/>
        </w:rPr>
      </w:pPr>
    </w:p>
    <w:p w14:paraId="03CC5FB3" w14:textId="64386773" w:rsidR="007B10AC" w:rsidRPr="0000595D" w:rsidRDefault="00B33EE1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  <w:lang w:val="pt-BR"/>
        </w:rPr>
      </w:pPr>
      <w:r w:rsidRPr="0000595D">
        <w:rPr>
          <w:rFonts w:ascii="Google Sans" w:eastAsia="Google Sans" w:hAnsi="Google Sans" w:cs="Google Sans"/>
          <w:sz w:val="24"/>
          <w:szCs w:val="24"/>
          <w:u w:val="single"/>
          <w:lang w:val="pt-BR"/>
        </w:rPr>
        <w:t>Regulamento Geral sobre a Proteção de Dados (G</w:t>
      </w:r>
      <w:r w:rsidR="00372C64">
        <w:rPr>
          <w:rFonts w:ascii="Google Sans" w:eastAsia="Google Sans" w:hAnsi="Google Sans" w:cs="Google Sans"/>
          <w:sz w:val="24"/>
          <w:szCs w:val="24"/>
          <w:u w:val="single"/>
          <w:lang w:val="pt-BR"/>
        </w:rPr>
        <w:t>R</w:t>
      </w:r>
      <w:r w:rsidRPr="0000595D">
        <w:rPr>
          <w:rFonts w:ascii="Google Sans" w:eastAsia="Google Sans" w:hAnsi="Google Sans" w:cs="Google Sans"/>
          <w:sz w:val="24"/>
          <w:szCs w:val="24"/>
          <w:u w:val="single"/>
          <w:lang w:val="pt-BR"/>
        </w:rPr>
        <w:t>PD)</w:t>
      </w:r>
    </w:p>
    <w:tbl>
      <w:tblPr>
        <w:tblW w:w="88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8166"/>
      </w:tblGrid>
      <w:tr w:rsidR="005C3749" w:rsidRPr="005C3749" w14:paraId="4B2C4520" w14:textId="77777777" w:rsidTr="005C3749">
        <w:trPr>
          <w:trHeight w:val="288"/>
          <w:jc w:val="center"/>
        </w:trPr>
        <w:tc>
          <w:tcPr>
            <w:tcW w:w="6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1C0FC" w14:textId="77777777" w:rsidR="005C3749" w:rsidRPr="005C3749" w:rsidRDefault="005C3749" w:rsidP="005C374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 w:rsidRPr="005C3749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Atende</w:t>
            </w:r>
          </w:p>
        </w:tc>
        <w:tc>
          <w:tcPr>
            <w:tcW w:w="81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5640E" w14:textId="77777777" w:rsidR="005C3749" w:rsidRPr="005C3749" w:rsidRDefault="005C3749" w:rsidP="005C374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 w:rsidRPr="005C3749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Melhores práticas</w:t>
            </w:r>
          </w:p>
        </w:tc>
      </w:tr>
      <w:tr w:rsidR="005C3749" w:rsidRPr="005C3749" w14:paraId="27A34170" w14:textId="77777777" w:rsidTr="005C3749">
        <w:trPr>
          <w:trHeight w:val="288"/>
          <w:jc w:val="center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C64C6DF" w14:textId="77777777" w:rsidR="005C3749" w:rsidRPr="005C3749" w:rsidRDefault="005C3749" w:rsidP="005C374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C3749">
              <w:rPr>
                <w:rFonts w:ascii="Calibri" w:eastAsia="Times New Roman" w:hAnsi="Calibri" w:cs="Calibri"/>
                <w:color w:val="000000"/>
                <w:lang w:val="pt-BR"/>
              </w:rPr>
              <w:t>Sim</w:t>
            </w:r>
          </w:p>
        </w:tc>
        <w:tc>
          <w:tcPr>
            <w:tcW w:w="8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E4895" w14:textId="77777777" w:rsidR="005C3749" w:rsidRPr="005C3749" w:rsidRDefault="005C3749" w:rsidP="005C37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C3749">
              <w:rPr>
                <w:rFonts w:ascii="Calibri" w:eastAsia="Times New Roman" w:hAnsi="Calibri" w:cs="Calibri"/>
                <w:color w:val="000000"/>
                <w:lang w:val="pt-BR"/>
              </w:rPr>
              <w:t>Os dados dos clientes da UE são mantidos privados/protegidos.</w:t>
            </w:r>
          </w:p>
        </w:tc>
      </w:tr>
      <w:tr w:rsidR="005C3749" w:rsidRPr="005C3749" w14:paraId="2B41D1E3" w14:textId="77777777" w:rsidTr="005C3749">
        <w:trPr>
          <w:trHeight w:val="288"/>
          <w:jc w:val="center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D124034" w14:textId="77777777" w:rsidR="005C3749" w:rsidRPr="005C3749" w:rsidRDefault="005C3749" w:rsidP="005C374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C3749">
              <w:rPr>
                <w:rFonts w:ascii="Calibri" w:eastAsia="Times New Roman" w:hAnsi="Calibri" w:cs="Calibri"/>
                <w:color w:val="000000"/>
                <w:lang w:val="pt-BR"/>
              </w:rPr>
              <w:t>Sim</w:t>
            </w:r>
          </w:p>
        </w:tc>
        <w:tc>
          <w:tcPr>
            <w:tcW w:w="8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5CE8E" w14:textId="77777777" w:rsidR="005C3749" w:rsidRPr="005C3749" w:rsidRDefault="005C3749" w:rsidP="005C37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C3749">
              <w:rPr>
                <w:rFonts w:ascii="Calibri" w:eastAsia="Times New Roman" w:hAnsi="Calibri" w:cs="Calibri"/>
                <w:color w:val="000000"/>
                <w:lang w:val="pt-BR"/>
              </w:rPr>
              <w:t>Existe um plano em vigor para notificar os clientes da UE dentro de 72 horas se seus dados forem comprometidos/houver uma violação.</w:t>
            </w:r>
          </w:p>
        </w:tc>
      </w:tr>
      <w:tr w:rsidR="005C3749" w:rsidRPr="005C3749" w14:paraId="506A2A50" w14:textId="77777777" w:rsidTr="005C3749">
        <w:trPr>
          <w:trHeight w:val="288"/>
          <w:jc w:val="center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center"/>
            <w:hideMark/>
          </w:tcPr>
          <w:p w14:paraId="171DC311" w14:textId="77777777" w:rsidR="005C3749" w:rsidRPr="005C3749" w:rsidRDefault="005C3749" w:rsidP="005C374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C3749">
              <w:rPr>
                <w:rFonts w:ascii="Calibri" w:eastAsia="Times New Roman" w:hAnsi="Calibri" w:cs="Calibri"/>
                <w:color w:val="000000"/>
                <w:lang w:val="pt-BR"/>
              </w:rPr>
              <w:t>Não</w:t>
            </w:r>
          </w:p>
        </w:tc>
        <w:tc>
          <w:tcPr>
            <w:tcW w:w="8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11D9E" w14:textId="77777777" w:rsidR="005C3749" w:rsidRPr="005C3749" w:rsidRDefault="005C3749" w:rsidP="005C37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C3749">
              <w:rPr>
                <w:rFonts w:ascii="Calibri" w:eastAsia="Times New Roman" w:hAnsi="Calibri" w:cs="Calibri"/>
                <w:color w:val="000000"/>
                <w:lang w:val="pt-BR"/>
              </w:rPr>
              <w:t>Certificação de que os dados são devidamente classificados e inventariados.</w:t>
            </w:r>
          </w:p>
        </w:tc>
      </w:tr>
      <w:tr w:rsidR="005C3749" w:rsidRPr="005C3749" w14:paraId="6D39A53E" w14:textId="77777777" w:rsidTr="005C3749">
        <w:trPr>
          <w:trHeight w:val="300"/>
          <w:jc w:val="center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0000"/>
            <w:noWrap/>
            <w:vAlign w:val="center"/>
            <w:hideMark/>
          </w:tcPr>
          <w:p w14:paraId="13E618E8" w14:textId="77777777" w:rsidR="005C3749" w:rsidRPr="005C3749" w:rsidRDefault="005C3749" w:rsidP="005C374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C3749">
              <w:rPr>
                <w:rFonts w:ascii="Calibri" w:eastAsia="Times New Roman" w:hAnsi="Calibri" w:cs="Calibri"/>
                <w:color w:val="000000"/>
                <w:lang w:val="pt-BR"/>
              </w:rPr>
              <w:t>Não</w:t>
            </w:r>
          </w:p>
        </w:tc>
        <w:tc>
          <w:tcPr>
            <w:tcW w:w="8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62796" w14:textId="77777777" w:rsidR="005C3749" w:rsidRPr="005C3749" w:rsidRDefault="005C3749" w:rsidP="005C37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C3749">
              <w:rPr>
                <w:rFonts w:ascii="Calibri" w:eastAsia="Times New Roman" w:hAnsi="Calibri" w:cs="Calibri"/>
                <w:color w:val="000000"/>
                <w:lang w:val="pt-BR"/>
              </w:rPr>
              <w:t>Aplicação de políticas, procedimentos e processos de privacidade para documentar e manter dados adequadamente.</w:t>
            </w:r>
          </w:p>
        </w:tc>
      </w:tr>
    </w:tbl>
    <w:p w14:paraId="5F265644" w14:textId="77777777" w:rsidR="005C3749" w:rsidRDefault="005C3749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  <w:lang w:val="pt-BR"/>
        </w:rPr>
      </w:pPr>
    </w:p>
    <w:p w14:paraId="179FA19C" w14:textId="72C3DDF1" w:rsidR="007B10AC" w:rsidRDefault="00B33EE1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  <w:lang w:val="pt-BR"/>
        </w:rPr>
      </w:pPr>
      <w:r w:rsidRPr="0000595D">
        <w:rPr>
          <w:rFonts w:ascii="Google Sans" w:eastAsia="Google Sans" w:hAnsi="Google Sans" w:cs="Google Sans"/>
          <w:sz w:val="24"/>
          <w:szCs w:val="24"/>
          <w:u w:val="single"/>
          <w:lang w:val="pt-BR"/>
        </w:rPr>
        <w:t xml:space="preserve">Controles de Sistemas e Organizações (SOC tipo 1, SOC tipo 2) </w:t>
      </w:r>
    </w:p>
    <w:tbl>
      <w:tblPr>
        <w:tblW w:w="88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7956"/>
      </w:tblGrid>
      <w:tr w:rsidR="00836CEF" w:rsidRPr="00836CEF" w14:paraId="39B0ABEB" w14:textId="77777777" w:rsidTr="00836CEF">
        <w:trPr>
          <w:trHeight w:val="288"/>
          <w:jc w:val="center"/>
        </w:trPr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2DC17" w14:textId="77777777" w:rsidR="00836CEF" w:rsidRPr="00836CEF" w:rsidRDefault="00836CEF" w:rsidP="00836CE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 w:rsidRPr="00836CEF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Atende</w:t>
            </w:r>
          </w:p>
        </w:tc>
        <w:tc>
          <w:tcPr>
            <w:tcW w:w="79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22349" w14:textId="77777777" w:rsidR="00836CEF" w:rsidRPr="00836CEF" w:rsidRDefault="00836CEF" w:rsidP="00836CE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 w:rsidRPr="00836CEF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Melhores práticas</w:t>
            </w:r>
          </w:p>
        </w:tc>
      </w:tr>
      <w:tr w:rsidR="00836CEF" w:rsidRPr="00836CEF" w14:paraId="0A1BFF76" w14:textId="77777777" w:rsidTr="00836CEF">
        <w:trPr>
          <w:trHeight w:val="288"/>
          <w:jc w:val="center"/>
        </w:trPr>
        <w:tc>
          <w:tcPr>
            <w:tcW w:w="86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49C02EB6" w14:textId="77777777" w:rsidR="00836CEF" w:rsidRPr="00836CEF" w:rsidRDefault="00836CEF" w:rsidP="00836C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CDBE0" w14:textId="77777777" w:rsidR="00836CEF" w:rsidRPr="00836CEF" w:rsidRDefault="00836CEF" w:rsidP="00836C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000000"/>
                <w:lang w:val="pt-BR"/>
              </w:rPr>
              <w:t>As políticas de acesso do usuário são estabelecidas.</w:t>
            </w:r>
          </w:p>
        </w:tc>
      </w:tr>
      <w:tr w:rsidR="00836CEF" w:rsidRPr="00836CEF" w14:paraId="08AD6EC3" w14:textId="77777777" w:rsidTr="00836CEF">
        <w:trPr>
          <w:trHeight w:val="288"/>
          <w:jc w:val="center"/>
        </w:trPr>
        <w:tc>
          <w:tcPr>
            <w:tcW w:w="86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6F2418AC" w14:textId="77777777" w:rsidR="00836CEF" w:rsidRPr="00836CEF" w:rsidRDefault="00836CEF" w:rsidP="00836C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37146" w14:textId="77777777" w:rsidR="00836CEF" w:rsidRPr="00836CEF" w:rsidRDefault="00836CEF" w:rsidP="00836C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000000"/>
                <w:lang w:val="pt-BR"/>
              </w:rPr>
              <w:t>Os dados confidenciais (PII/SPII) são confidenciais/privados.</w:t>
            </w:r>
          </w:p>
        </w:tc>
      </w:tr>
      <w:tr w:rsidR="00836CEF" w:rsidRPr="00836CEF" w14:paraId="2680F557" w14:textId="77777777" w:rsidTr="00836CEF">
        <w:trPr>
          <w:trHeight w:val="288"/>
          <w:jc w:val="center"/>
        </w:trPr>
        <w:tc>
          <w:tcPr>
            <w:tcW w:w="86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14:paraId="007EEAA3" w14:textId="77777777" w:rsidR="00836CEF" w:rsidRPr="00836CEF" w:rsidRDefault="00836CEF" w:rsidP="00836CEF">
            <w:pPr>
              <w:spacing w:line="240" w:lineRule="auto"/>
              <w:jc w:val="center"/>
              <w:rPr>
                <w:rFonts w:ascii="Calibri" w:eastAsia="Times New Roman" w:hAnsi="Calibri" w:cs="Calibri"/>
                <w:lang w:val="pt-BR"/>
              </w:rPr>
            </w:pPr>
            <w:r w:rsidRPr="00836CEF">
              <w:rPr>
                <w:rFonts w:ascii="Calibri" w:eastAsia="Times New Roman" w:hAnsi="Calibri" w:cs="Calibri"/>
                <w:lang w:val="pt-BR"/>
              </w:rPr>
              <w:t>Sim</w:t>
            </w:r>
          </w:p>
        </w:tc>
        <w:tc>
          <w:tcPr>
            <w:tcW w:w="7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C20BF" w14:textId="77777777" w:rsidR="00836CEF" w:rsidRPr="00836CEF" w:rsidRDefault="00836CEF" w:rsidP="00836C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000000"/>
                <w:lang w:val="pt-BR"/>
              </w:rPr>
              <w:t>A integridade dos dados garante que os dados sejam consistentes, completos, precisos e validados.</w:t>
            </w:r>
          </w:p>
        </w:tc>
      </w:tr>
      <w:tr w:rsidR="00836CEF" w:rsidRPr="00836CEF" w14:paraId="68A476C9" w14:textId="77777777" w:rsidTr="00836CEF">
        <w:trPr>
          <w:trHeight w:val="300"/>
          <w:jc w:val="center"/>
        </w:trPr>
        <w:tc>
          <w:tcPr>
            <w:tcW w:w="8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0000"/>
            <w:noWrap/>
            <w:vAlign w:val="center"/>
            <w:hideMark/>
          </w:tcPr>
          <w:p w14:paraId="3C50C131" w14:textId="77777777" w:rsidR="00836CEF" w:rsidRPr="00836CEF" w:rsidRDefault="00836CEF" w:rsidP="00836C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FFFFFF"/>
                <w:lang w:val="pt-BR"/>
              </w:rPr>
              <w:t>Não</w:t>
            </w:r>
          </w:p>
        </w:tc>
        <w:tc>
          <w:tcPr>
            <w:tcW w:w="7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047F0" w14:textId="77777777" w:rsidR="00836CEF" w:rsidRPr="00836CEF" w:rsidRDefault="00836CEF" w:rsidP="00836CE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36CEF">
              <w:rPr>
                <w:rFonts w:ascii="Calibri" w:eastAsia="Times New Roman" w:hAnsi="Calibri" w:cs="Calibri"/>
                <w:color w:val="000000"/>
                <w:lang w:val="pt-BR"/>
              </w:rPr>
              <w:t>Os dados estão disponíveis para indivíduos autorizados a acessá-los.</w:t>
            </w:r>
          </w:p>
        </w:tc>
      </w:tr>
    </w:tbl>
    <w:p w14:paraId="1F7AFA15" w14:textId="77777777" w:rsidR="00836CEF" w:rsidRPr="0000595D" w:rsidRDefault="00836CEF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lang w:val="pt-BR"/>
        </w:rPr>
      </w:pPr>
    </w:p>
    <w:p w14:paraId="644A92E9" w14:textId="77777777" w:rsidR="007B10AC" w:rsidRPr="0000595D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lang w:val="pt-BR"/>
        </w:rPr>
      </w:pPr>
      <w:r>
        <w:rPr>
          <w:lang w:val="pt-BR"/>
        </w:rPr>
        <w:pict w14:anchorId="3E5036A9">
          <v:rect id="_x0000_i1026" style="width:0;height:1.5pt" o:hralign="center" o:hrstd="t" o:hr="t" fillcolor="#a0a0a0" stroked="f"/>
        </w:pict>
      </w:r>
    </w:p>
    <w:p w14:paraId="1BF2CF76" w14:textId="53C2F140" w:rsidR="007B10AC" w:rsidRPr="00F514FB" w:rsidRDefault="00B33EE1" w:rsidP="007C23FB">
      <w:pPr>
        <w:spacing w:after="200" w:line="360" w:lineRule="auto"/>
        <w:jc w:val="both"/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</w:pPr>
      <w:r w:rsidRPr="00F514FB"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  <w:t xml:space="preserve">Esta seção é opcional </w:t>
      </w:r>
      <w:r w:rsidR="00225596" w:rsidRPr="00F514FB"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  <w:t>e pode</w:t>
      </w:r>
      <w:r w:rsidRPr="00F514FB">
        <w:rPr>
          <w:rFonts w:ascii="Google Sans" w:eastAsia="Google Sans" w:hAnsi="Google Sans" w:cs="Google Sans"/>
          <w:i/>
          <w:iCs/>
          <w:sz w:val="24"/>
          <w:szCs w:val="24"/>
          <w:lang w:val="pt-BR"/>
        </w:rPr>
        <w:t xml:space="preserve"> ser usada para fornecer um resumo das recomendações ao gerente de TI sobre quais controles e/ou práticas recomendadas de conformidade a Botium Toys precisa implementar, com base no risco representado se não for implementado em tempo hábil.</w:t>
      </w:r>
    </w:p>
    <w:p w14:paraId="182EFE71" w14:textId="77777777" w:rsidR="00402ACC" w:rsidRDefault="00402ACC" w:rsidP="007C23FB">
      <w:pPr>
        <w:spacing w:after="200" w:line="360" w:lineRule="auto"/>
        <w:jc w:val="both"/>
        <w:rPr>
          <w:rFonts w:ascii="Google Sans" w:eastAsia="Google Sans" w:hAnsi="Google Sans" w:cs="Google Sans"/>
          <w:b/>
          <w:sz w:val="24"/>
          <w:szCs w:val="24"/>
          <w:lang w:val="pt-BR"/>
        </w:rPr>
      </w:pPr>
    </w:p>
    <w:p w14:paraId="4D0D9B09" w14:textId="26409F60" w:rsidR="007B10AC" w:rsidRDefault="00B33EE1" w:rsidP="007C23FB">
      <w:pPr>
        <w:spacing w:after="200" w:line="360" w:lineRule="auto"/>
        <w:jc w:val="both"/>
        <w:rPr>
          <w:rFonts w:ascii="Google Sans" w:eastAsia="Google Sans" w:hAnsi="Google Sans" w:cs="Google Sans"/>
          <w:sz w:val="24"/>
          <w:szCs w:val="24"/>
          <w:lang w:val="pt-BR"/>
        </w:rPr>
      </w:pPr>
      <w:r w:rsidRPr="0000595D">
        <w:rPr>
          <w:rFonts w:ascii="Google Sans" w:eastAsia="Google Sans" w:hAnsi="Google Sans" w:cs="Google Sans"/>
          <w:b/>
          <w:sz w:val="24"/>
          <w:szCs w:val="24"/>
          <w:lang w:val="pt-BR"/>
        </w:rPr>
        <w:lastRenderedPageBreak/>
        <w:t xml:space="preserve">Recomendações (opcional): </w:t>
      </w:r>
    </w:p>
    <w:p w14:paraId="4023F5E6" w14:textId="076CFE53" w:rsidR="00AD4BA8" w:rsidRDefault="00511998" w:rsidP="007C23FB">
      <w:pPr>
        <w:spacing w:after="200" w:line="360" w:lineRule="auto"/>
        <w:jc w:val="both"/>
        <w:rPr>
          <w:lang w:val="pt-BR"/>
        </w:rPr>
      </w:pPr>
      <w:r>
        <w:rPr>
          <w:lang w:val="pt-BR"/>
        </w:rPr>
        <w:t>Os dados dos clientes da Botium Toys</w:t>
      </w:r>
      <w:r w:rsidR="00AD4BA8">
        <w:rPr>
          <w:lang w:val="pt-BR"/>
        </w:rPr>
        <w:t xml:space="preserve"> não </w:t>
      </w:r>
      <w:r>
        <w:rPr>
          <w:lang w:val="pt-BR"/>
        </w:rPr>
        <w:t>estão recebendo</w:t>
      </w:r>
      <w:r w:rsidR="00AD4BA8">
        <w:rPr>
          <w:lang w:val="pt-BR"/>
        </w:rPr>
        <w:t xml:space="preserve"> o tratamento adequado e estão severamente expostos à vazamentos por atacantes internos ou externos.</w:t>
      </w:r>
    </w:p>
    <w:p w14:paraId="6C6A8D29" w14:textId="674B1CF1" w:rsidR="00F34106" w:rsidRDefault="00F34106" w:rsidP="00F34106">
      <w:pPr>
        <w:spacing w:after="200" w:line="360" w:lineRule="auto"/>
        <w:jc w:val="both"/>
        <w:rPr>
          <w:lang w:val="pt-BR"/>
        </w:rPr>
      </w:pPr>
      <w:r>
        <w:rPr>
          <w:lang w:val="pt-BR"/>
        </w:rPr>
        <w:t>Por haver diversas falhas de segurança, não há conformidade com as leis vigentes, e no eminente caso de um vazamento d</w:t>
      </w:r>
      <w:r w:rsidR="00BB68A8">
        <w:rPr>
          <w:lang w:val="pt-BR"/>
        </w:rPr>
        <w:t>os</w:t>
      </w:r>
      <w:r>
        <w:rPr>
          <w:lang w:val="pt-BR"/>
        </w:rPr>
        <w:t xml:space="preserve"> dados armazenados pela empresa, são múltiplos os impactos negativos decorrentes destas falhas:</w:t>
      </w:r>
    </w:p>
    <w:p w14:paraId="4EB6599A" w14:textId="77777777" w:rsidR="00F34106" w:rsidRDefault="00F34106" w:rsidP="00F34106">
      <w:pPr>
        <w:pStyle w:val="PargrafodaLista"/>
        <w:numPr>
          <w:ilvl w:val="0"/>
          <w:numId w:val="3"/>
        </w:numPr>
        <w:spacing w:after="200" w:line="360" w:lineRule="auto"/>
        <w:jc w:val="both"/>
        <w:rPr>
          <w:lang w:val="pt-BR"/>
        </w:rPr>
      </w:pPr>
      <w:r w:rsidRPr="00CF086A">
        <w:rPr>
          <w:lang w:val="pt-BR"/>
        </w:rPr>
        <w:t>danos à reputação e imagem da empresa</w:t>
      </w:r>
      <w:r>
        <w:rPr>
          <w:lang w:val="pt-BR"/>
        </w:rPr>
        <w:t xml:space="preserve"> bem como perda de confiança</w:t>
      </w:r>
    </w:p>
    <w:p w14:paraId="44985584" w14:textId="77777777" w:rsidR="00F34106" w:rsidRDefault="00F34106" w:rsidP="00F34106">
      <w:pPr>
        <w:pStyle w:val="PargrafodaLista"/>
        <w:numPr>
          <w:ilvl w:val="0"/>
          <w:numId w:val="3"/>
        </w:numPr>
        <w:spacing w:after="200" w:line="360" w:lineRule="auto"/>
        <w:jc w:val="both"/>
        <w:rPr>
          <w:lang w:val="pt-BR"/>
        </w:rPr>
      </w:pPr>
      <w:r w:rsidRPr="00CF086A">
        <w:rPr>
          <w:lang w:val="pt-BR"/>
        </w:rPr>
        <w:t xml:space="preserve">impactos financeiros devido a interrupção de continuidade de negócios, </w:t>
      </w:r>
      <w:r>
        <w:rPr>
          <w:lang w:val="pt-BR"/>
        </w:rPr>
        <w:t>custos para correção do erro, perda de clientes</w:t>
      </w:r>
    </w:p>
    <w:p w14:paraId="23158A5D" w14:textId="77777777" w:rsidR="00F34106" w:rsidRDefault="00F34106" w:rsidP="00F34106">
      <w:pPr>
        <w:pStyle w:val="PargrafodaLista"/>
        <w:numPr>
          <w:ilvl w:val="0"/>
          <w:numId w:val="3"/>
        </w:numPr>
        <w:spacing w:after="200" w:line="360" w:lineRule="auto"/>
        <w:jc w:val="both"/>
        <w:rPr>
          <w:lang w:val="pt-BR"/>
        </w:rPr>
      </w:pPr>
      <w:r>
        <w:rPr>
          <w:lang w:val="pt-BR"/>
        </w:rPr>
        <w:t>multas e sanções aplicadas governamentalmente</w:t>
      </w:r>
    </w:p>
    <w:p w14:paraId="0C69CA5C" w14:textId="77777777" w:rsidR="00F34106" w:rsidRPr="00F34106" w:rsidRDefault="00F34106" w:rsidP="00F34106">
      <w:pPr>
        <w:pStyle w:val="PargrafodaLista"/>
        <w:numPr>
          <w:ilvl w:val="0"/>
          <w:numId w:val="3"/>
        </w:numPr>
        <w:spacing w:after="200" w:line="360" w:lineRule="auto"/>
        <w:jc w:val="both"/>
        <w:rPr>
          <w:lang w:val="pt-BR"/>
        </w:rPr>
      </w:pPr>
      <w:r>
        <w:rPr>
          <w:lang w:val="pt-BR"/>
        </w:rPr>
        <w:t>processos movidos por clientes em caso de vazamento de dados PII e SPII que podem ocasionar roubo de identidade e fraude destes</w:t>
      </w:r>
    </w:p>
    <w:p w14:paraId="0B842DA3" w14:textId="5B2A7A47" w:rsidR="00BB68A8" w:rsidRPr="00BB68A8" w:rsidRDefault="00BB68A8" w:rsidP="007C23FB">
      <w:pPr>
        <w:spacing w:after="200" w:line="360" w:lineRule="auto"/>
        <w:jc w:val="both"/>
        <w:rPr>
          <w:u w:val="single"/>
          <w:lang w:val="pt-BR"/>
        </w:rPr>
      </w:pPr>
      <w:r w:rsidRPr="00BB68A8">
        <w:rPr>
          <w:u w:val="single"/>
          <w:lang w:val="pt-BR"/>
        </w:rPr>
        <w:t>Prevenção contra ameaças internas</w:t>
      </w:r>
    </w:p>
    <w:p w14:paraId="0F6363F8" w14:textId="285622DD" w:rsidR="00AD4BA8" w:rsidRDefault="00AD4BA8" w:rsidP="007C23FB">
      <w:pPr>
        <w:spacing w:after="200" w:line="360" w:lineRule="auto"/>
        <w:jc w:val="both"/>
        <w:rPr>
          <w:lang w:val="pt-BR"/>
        </w:rPr>
      </w:pPr>
      <w:r>
        <w:rPr>
          <w:lang w:val="pt-BR"/>
        </w:rPr>
        <w:t>Adotar o controle de privilégio mínimo e separação de funções aos funcionários da Botium Toys são medidas que mitigam possível comprometimento por ações internas</w:t>
      </w:r>
      <w:r w:rsidR="003B3479">
        <w:rPr>
          <w:lang w:val="pt-BR"/>
        </w:rPr>
        <w:t xml:space="preserve">, pois limitam o acesso dos dados apenas </w:t>
      </w:r>
      <w:r w:rsidR="00BB68A8">
        <w:rPr>
          <w:lang w:val="pt-BR"/>
        </w:rPr>
        <w:t>a</w:t>
      </w:r>
      <w:r w:rsidR="003B3479">
        <w:rPr>
          <w:lang w:val="pt-BR"/>
        </w:rPr>
        <w:t xml:space="preserve"> quem realmente precisa</w:t>
      </w:r>
      <w:r>
        <w:rPr>
          <w:lang w:val="pt-BR"/>
        </w:rPr>
        <w:t>.</w:t>
      </w:r>
    </w:p>
    <w:p w14:paraId="5B3EB4F8" w14:textId="64C7159C" w:rsidR="00BB68A8" w:rsidRPr="00BB68A8" w:rsidRDefault="00BB68A8" w:rsidP="007C23FB">
      <w:pPr>
        <w:spacing w:after="200" w:line="360" w:lineRule="auto"/>
        <w:jc w:val="both"/>
        <w:rPr>
          <w:u w:val="single"/>
          <w:lang w:val="pt-BR"/>
        </w:rPr>
      </w:pPr>
      <w:r w:rsidRPr="00BB68A8">
        <w:rPr>
          <w:u w:val="single"/>
          <w:lang w:val="pt-BR"/>
        </w:rPr>
        <w:t>Prevenção contra ameaças externas</w:t>
      </w:r>
    </w:p>
    <w:p w14:paraId="17CCA28A" w14:textId="3117059A" w:rsidR="00040E77" w:rsidRDefault="00AD4BA8" w:rsidP="007C23FB">
      <w:pPr>
        <w:spacing w:after="200" w:line="360" w:lineRule="auto"/>
        <w:jc w:val="both"/>
        <w:rPr>
          <w:lang w:val="pt-BR"/>
        </w:rPr>
      </w:pPr>
      <w:r>
        <w:rPr>
          <w:lang w:val="pt-BR"/>
        </w:rPr>
        <w:t xml:space="preserve">Apesar de dispor de firewall e software antivírus mantidos e monitorados pelo departamento de TI, </w:t>
      </w:r>
      <w:r w:rsidR="00040E77">
        <w:rPr>
          <w:lang w:val="pt-BR"/>
        </w:rPr>
        <w:t>a</w:t>
      </w:r>
      <w:r>
        <w:rPr>
          <w:lang w:val="pt-BR"/>
        </w:rPr>
        <w:t xml:space="preserve"> Botium Toys está exposta à atacantes externos que disponham de maior nível de conhecimento, tendo em vista a falta de mais mecanismos de defesa. </w:t>
      </w:r>
      <w:r w:rsidR="00040E77">
        <w:rPr>
          <w:lang w:val="pt-BR"/>
        </w:rPr>
        <w:t>Medidas recomendadas afim de sanar estas vulnerabilidades são:</w:t>
      </w:r>
    </w:p>
    <w:p w14:paraId="1A67B7EA" w14:textId="77777777" w:rsidR="00040E77" w:rsidRDefault="00AD4BA8" w:rsidP="00040E77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lang w:val="pt-BR"/>
        </w:rPr>
      </w:pPr>
      <w:r w:rsidRPr="00040E77">
        <w:rPr>
          <w:lang w:val="pt-BR"/>
        </w:rPr>
        <w:t>criptografia adotada aos dados armazenados dos clientes e possíveis dados de segredo industrial da empresa</w:t>
      </w:r>
    </w:p>
    <w:p w14:paraId="742ACE7E" w14:textId="77777777" w:rsidR="00040E77" w:rsidRDefault="00040E77" w:rsidP="00040E77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lang w:val="pt-BR"/>
        </w:rPr>
      </w:pPr>
      <w:r w:rsidRPr="00040E77">
        <w:rPr>
          <w:lang w:val="pt-BR"/>
        </w:rPr>
        <w:t>implementação de um sistema de detecção de intrusão (IDS)</w:t>
      </w:r>
    </w:p>
    <w:p w14:paraId="3A038BE6" w14:textId="7CD56DF5" w:rsidR="00AD4BA8" w:rsidRDefault="00040E77" w:rsidP="00040E77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lang w:val="pt-BR"/>
        </w:rPr>
      </w:pPr>
      <w:r w:rsidRPr="00040E77">
        <w:rPr>
          <w:lang w:val="pt-BR"/>
        </w:rPr>
        <w:t>maior rigor nas regras de criação de senhas para funcionários</w:t>
      </w:r>
      <w:r w:rsidR="00C00F22">
        <w:rPr>
          <w:lang w:val="pt-BR"/>
        </w:rPr>
        <w:t>,</w:t>
      </w:r>
      <w:r w:rsidRPr="00040E77">
        <w:rPr>
          <w:lang w:val="pt-BR"/>
        </w:rPr>
        <w:t xml:space="preserve"> exigindo mínimo de 8 caracteres, sendo ao menos um em caixa alta, um em caixa baixa, um numeral e um caractere especial</w:t>
      </w:r>
      <w:r>
        <w:rPr>
          <w:lang w:val="pt-BR"/>
        </w:rPr>
        <w:t>, e a adoção da validação multifatorial</w:t>
      </w:r>
    </w:p>
    <w:p w14:paraId="5FAAFB91" w14:textId="6FDF93A8" w:rsidR="003B0503" w:rsidRDefault="003B0503" w:rsidP="00040E77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lang w:val="pt-BR"/>
        </w:rPr>
      </w:pPr>
      <w:r>
        <w:rPr>
          <w:lang w:val="pt-BR"/>
        </w:rPr>
        <w:t>definir e aplicar um cronograma fixo para monitoramento dos sistemas legados até sua substituição total, o que é altamente recomendado e deve ser feito o quanto antes</w:t>
      </w:r>
    </w:p>
    <w:p w14:paraId="05599D99" w14:textId="5AF03770" w:rsidR="00040E77" w:rsidRDefault="00040E77" w:rsidP="00040E77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lang w:val="pt-BR"/>
        </w:rPr>
      </w:pPr>
      <w:r>
        <w:rPr>
          <w:lang w:val="pt-BR"/>
        </w:rPr>
        <w:lastRenderedPageBreak/>
        <w:t xml:space="preserve">criação de um backup de dados, </w:t>
      </w:r>
      <w:r w:rsidR="003B3479">
        <w:rPr>
          <w:lang w:val="pt-BR"/>
        </w:rPr>
        <w:t xml:space="preserve">ainda que disponha de mecanismos de defesa contra incêndio e intrusão, defeitos no hardware são imprevisíveis e podem ocorrer sem aviso prévio, um backup armazenado em nuvem, em um servidor confiável, garante que </w:t>
      </w:r>
      <w:r w:rsidR="00AA088A">
        <w:rPr>
          <w:lang w:val="pt-BR"/>
        </w:rPr>
        <w:t>os dados possam ser recuperado</w:t>
      </w:r>
      <w:r w:rsidR="000605E3">
        <w:rPr>
          <w:lang w:val="pt-BR"/>
        </w:rPr>
        <w:t>s, seja por perda de hardware</w:t>
      </w:r>
      <w:r w:rsidR="00FE6133">
        <w:rPr>
          <w:lang w:val="pt-BR"/>
        </w:rPr>
        <w:t>,</w:t>
      </w:r>
      <w:r w:rsidR="000605E3">
        <w:rPr>
          <w:lang w:val="pt-BR"/>
        </w:rPr>
        <w:t xml:space="preserve"> ransomware</w:t>
      </w:r>
      <w:r w:rsidR="00FE6133">
        <w:rPr>
          <w:lang w:val="pt-BR"/>
        </w:rPr>
        <w:t xml:space="preserve"> ou qualquer vírus que possa comprometer sua disponibilidade</w:t>
      </w:r>
      <w:r w:rsidR="003B3479">
        <w:rPr>
          <w:lang w:val="pt-BR"/>
        </w:rPr>
        <w:t>.</w:t>
      </w:r>
    </w:p>
    <w:sectPr w:rsidR="00040E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E76E1"/>
    <w:multiLevelType w:val="multilevel"/>
    <w:tmpl w:val="C7744F9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9C6C99"/>
    <w:multiLevelType w:val="hybridMultilevel"/>
    <w:tmpl w:val="F8A0D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B5905"/>
    <w:multiLevelType w:val="hybridMultilevel"/>
    <w:tmpl w:val="D616A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715212">
    <w:abstractNumId w:val="0"/>
  </w:num>
  <w:num w:numId="2" w16cid:durableId="669647500">
    <w:abstractNumId w:val="2"/>
  </w:num>
  <w:num w:numId="3" w16cid:durableId="984510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0AC"/>
    <w:rsid w:val="0000595D"/>
    <w:rsid w:val="00040E77"/>
    <w:rsid w:val="000605E3"/>
    <w:rsid w:val="001F01D2"/>
    <w:rsid w:val="00225596"/>
    <w:rsid w:val="003104EF"/>
    <w:rsid w:val="00372C64"/>
    <w:rsid w:val="00397579"/>
    <w:rsid w:val="003B0503"/>
    <w:rsid w:val="003B3479"/>
    <w:rsid w:val="003F69CF"/>
    <w:rsid w:val="00402ACC"/>
    <w:rsid w:val="004F5F04"/>
    <w:rsid w:val="00511998"/>
    <w:rsid w:val="00534A45"/>
    <w:rsid w:val="005B4CA7"/>
    <w:rsid w:val="005C3749"/>
    <w:rsid w:val="006D109D"/>
    <w:rsid w:val="00720479"/>
    <w:rsid w:val="007B10AC"/>
    <w:rsid w:val="007C23FB"/>
    <w:rsid w:val="007C6AC3"/>
    <w:rsid w:val="00836CEF"/>
    <w:rsid w:val="00892857"/>
    <w:rsid w:val="008D2F6B"/>
    <w:rsid w:val="00961207"/>
    <w:rsid w:val="00974343"/>
    <w:rsid w:val="00A14A83"/>
    <w:rsid w:val="00AA088A"/>
    <w:rsid w:val="00AD4BA8"/>
    <w:rsid w:val="00B33EE1"/>
    <w:rsid w:val="00B50841"/>
    <w:rsid w:val="00BB68A8"/>
    <w:rsid w:val="00C00F22"/>
    <w:rsid w:val="00CF086A"/>
    <w:rsid w:val="00D25EB8"/>
    <w:rsid w:val="00E07F16"/>
    <w:rsid w:val="00F34106"/>
    <w:rsid w:val="00F514FB"/>
    <w:rsid w:val="00F910D3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B45E"/>
  <w15:docId w15:val="{FE2BA344-E935-4349-93E4-B5E5C747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D25EB8"/>
    <w:rPr>
      <w:color w:val="666666"/>
    </w:rPr>
  </w:style>
  <w:style w:type="paragraph" w:styleId="PargrafodaLista">
    <w:name w:val="List Paragraph"/>
    <w:basedOn w:val="Normal"/>
    <w:uiPriority w:val="34"/>
    <w:qFormat/>
    <w:rsid w:val="0004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855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Carlos</cp:lastModifiedBy>
  <cp:revision>39</cp:revision>
  <dcterms:created xsi:type="dcterms:W3CDTF">2024-01-05T17:45:00Z</dcterms:created>
  <dcterms:modified xsi:type="dcterms:W3CDTF">2024-01-08T19:01:00Z</dcterms:modified>
</cp:coreProperties>
</file>