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Kamila de Lima Camargo</w:t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Herança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0"/>
          <w:szCs w:val="20"/>
        </w:rPr>
      </w:pPr>
      <w:r>
        <w:rPr>
          <w:rFonts w:ascii="Arial;sans-serif" w:hAnsi="Arial;sans-serif"/>
          <w:sz w:val="20"/>
          <w:szCs w:val="20"/>
        </w:rPr>
        <w:t>O conceito de herança está relacionado ao fato de uma classe herdar de outra classe suas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0"/>
          <w:szCs w:val="20"/>
        </w:rPr>
      </w:pPr>
      <w:r>
        <w:rPr>
          <w:rFonts w:ascii="Arial;sans-serif" w:hAnsi="Arial;sans-serif"/>
          <w:sz w:val="20"/>
          <w:szCs w:val="20"/>
        </w:rPr>
        <w:t>características. Assim, uma classe</w:t>
        <w:softHyphen/>
        <w:t>filho (subclasse) herda da classe</w:t>
        <w:softHyphen/>
        <w:t>pai (superclasse) todos os cam</w:t>
        <w:softHyphen/>
        <w:t xml:space="preserve"> pos e métodos que sejam a ele públicos; se os componentes de uma classe</w:t>
        <w:softHyphen/>
        <w:t>pai forem privados, não ocorrerá a definição de herança, mas se os componentes forem protegidos, estes serão herdados, mas serão necessários métodos específicos para fazer o acesso de escrita e leitura nos campos associados. Esse modo de visibilidade pública, privada ou protegida, é chamado de encapsulamento.</w:t>
      </w:r>
      <w:r>
        <w:rPr>
          <w:rFonts w:ascii="Arial;sans-serif" w:hAnsi="Arial;sans-serif"/>
          <w:sz w:val="20"/>
          <w:szCs w:val="20"/>
        </w:rPr>
        <w:t>(</w:t>
      </w:r>
      <w:r>
        <w:rPr>
          <w:rFonts w:ascii="Arial;sans-serif" w:hAnsi="Arial;sans-serif"/>
          <w:sz w:val="20"/>
          <w:szCs w:val="20"/>
        </w:rPr>
        <w:t xml:space="preserve">MANZANO; JUNIOR, 2014, </w:t>
      </w:r>
      <w:r>
        <w:rPr>
          <w:rFonts w:ascii="Arial;sans-serif" w:hAnsi="Arial;sans-serif"/>
          <w:sz w:val="20"/>
          <w:szCs w:val="20"/>
        </w:rPr>
        <w:t>pg. 104)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4"/>
          <w:szCs w:val="24"/>
        </w:rPr>
      </w:pPr>
      <w:r>
        <w:rPr>
          <w:rFonts w:ascii="Arial;sans-serif" w:hAnsi="Arial;sans-serif"/>
          <w:sz w:val="24"/>
          <w:szCs w:val="24"/>
        </w:rPr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0"/>
          <w:szCs w:val="20"/>
        </w:rPr>
      </w:pPr>
      <w:r>
        <w:rPr>
          <w:rFonts w:ascii="Arial;sans-serif" w:hAnsi="Arial;sans-serif"/>
          <w:sz w:val="20"/>
          <w:szCs w:val="20"/>
        </w:rPr>
        <w:t>Por meio do recurso de herança, uma classe pode ser especializada. Dessa forma, é possível criar novas classes (filhas) a partir de uma classe já existente (mãe), re- aproveitando seus atributos e operações. Na relação de classes do tipo mãe-filha, chamamos a classe mãe de superclasse e as classes filhas de subclasses. As classes filhas, por sua vez, podem ter suas próprias filhas, gerando assim uma família de classes.</w:t>
      </w:r>
      <w:r>
        <w:rPr>
          <w:rFonts w:ascii="Arial;sans-serif" w:hAnsi="Arial;sans-serif"/>
          <w:sz w:val="20"/>
          <w:szCs w:val="20"/>
        </w:rPr>
        <w:t>(</w:t>
      </w:r>
      <w:r>
        <w:rPr>
          <w:rFonts w:ascii="Arial;sans-serif" w:hAnsi="Arial;sans-serif"/>
          <w:b w:val="false"/>
          <w:bCs w:val="false"/>
          <w:sz w:val="20"/>
          <w:szCs w:val="20"/>
        </w:rPr>
        <w:t xml:space="preserve">MACHADO; FRANCO; BERTAGNOLLI, 2016, </w:t>
      </w:r>
      <w:r>
        <w:rPr>
          <w:rFonts w:ascii="Arial;sans-serif" w:hAnsi="Arial;sans-serif"/>
          <w:sz w:val="20"/>
          <w:szCs w:val="20"/>
        </w:rPr>
        <w:t>pg.18)</w:t>
      </w:r>
    </w:p>
    <w:p>
      <w:pPr>
        <w:pStyle w:val="Normal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Classe abstrata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0"/>
          <w:szCs w:val="20"/>
        </w:rPr>
      </w:pPr>
      <w:r>
        <w:rPr>
          <w:rFonts w:ascii="Arial;sans-serif" w:hAnsi="Arial;sans-serif"/>
          <w:sz w:val="20"/>
          <w:szCs w:val="20"/>
        </w:rPr>
        <w:t>Uma classe definida como abstract torna-se explicitamente uma classe abstrata, diferenciando-se de uma classe concreta. As classes concretas permitem o uso de estâncias delas, enquanto uma classe abstrata não permite estâncias. Uma classe abstrata é utilizada com o único propósito de ser uma classe-pai (de ser uma superclasse) de forma que as classes-filho (ou subclasses) herdem da classe abstrata superior todas as suas características.</w:t>
      </w:r>
      <w:r>
        <w:rPr>
          <w:rFonts w:ascii="Arial;sans-serif" w:hAnsi="Arial;sans-serif"/>
          <w:sz w:val="20"/>
          <w:szCs w:val="20"/>
        </w:rPr>
        <w:t>(</w:t>
      </w:r>
      <w:r>
        <w:rPr>
          <w:rFonts w:ascii="Arial;sans-serif" w:hAnsi="Arial;sans-serif"/>
          <w:sz w:val="20"/>
          <w:szCs w:val="20"/>
        </w:rPr>
        <w:t>MANZANO; JUNIOR, 2014,</w:t>
      </w:r>
      <w:r>
        <w:rPr>
          <w:rFonts w:ascii="Arial;sans-serif" w:hAnsi="Arial;sans-serif"/>
          <w:sz w:val="20"/>
          <w:szCs w:val="20"/>
        </w:rPr>
        <w:t>pg. 101)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4"/>
          <w:szCs w:val="24"/>
        </w:rPr>
      </w:pPr>
      <w:r>
        <w:rPr>
          <w:rFonts w:ascii="Arial;sans-serif" w:hAnsi="Arial;sans-serif"/>
          <w:sz w:val="24"/>
          <w:szCs w:val="24"/>
        </w:rPr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sz w:val="20"/>
          <w:szCs w:val="20"/>
        </w:rPr>
      </w:pPr>
      <w:r>
        <w:rPr>
          <w:rFonts w:ascii="Arial;sans-serif" w:hAnsi="Arial;sans-serif"/>
          <w:sz w:val="20"/>
          <w:szCs w:val="20"/>
        </w:rPr>
        <w:t>As classes abstratas são criadas para representar de forma genérica uma família de classes. Por exemplo, as figuras triângulo, quadrado e círculo fazem parte de uma família de objetos, a qual podemos denominar FormaGeometrica. Sabe-se que toda forma geométrica pode ser representada graficamente e pode ter sua área e seu perímetro calculados a partir das medidas da figura. Entretanto, as fór- mulas para os cálculos são próprias de cada tipo de figura. Assim, as figuras podem utilizar o método desenhar herdado da superclasse FormaGeometrica, mas de- vem fornecer soluções próprias para os cálculos de área e perímetro.</w:t>
      </w:r>
      <w:r>
        <w:rPr>
          <w:rFonts w:ascii="Arial;sans-serif" w:hAnsi="Arial;sans-serif"/>
          <w:sz w:val="20"/>
          <w:szCs w:val="20"/>
        </w:rPr>
        <w:t>(</w:t>
      </w:r>
      <w:r>
        <w:rPr>
          <w:rFonts w:ascii="Arial;sans-serif" w:hAnsi="Arial;sans-serif"/>
          <w:b w:val="false"/>
          <w:bCs w:val="false"/>
          <w:sz w:val="20"/>
          <w:szCs w:val="20"/>
        </w:rPr>
        <w:t xml:space="preserve">MACHADO; FRANCO; BERTAGNOLLI, 2016, </w:t>
      </w:r>
      <w:r>
        <w:rPr>
          <w:rFonts w:ascii="Arial;sans-serif" w:hAnsi="Arial;sans-serif"/>
          <w:sz w:val="20"/>
          <w:szCs w:val="20"/>
        </w:rPr>
        <w:t>pg. 22)</w:t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Polimorfismo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  <w:t>“</w:t>
      </w:r>
      <w:r>
        <w:rPr>
          <w:rFonts w:ascii="Arial;sans-serif" w:hAnsi="Arial;sans-serif"/>
          <w:b w:val="false"/>
          <w:bCs w:val="false"/>
          <w:sz w:val="24"/>
          <w:szCs w:val="24"/>
        </w:rPr>
        <w:t xml:space="preserve">Uma classe definida como abstract torna-se explicitamente uma classe abstrata, diferenciando-se de uma classe concreta. As classes concretas permitem o uso de estâncias delas, enquanto uma classe abstrata não permite estâncias.” </w:t>
      </w:r>
      <w:r>
        <w:rPr>
          <w:rFonts w:ascii="Arial;sans-serif" w:hAnsi="Arial;sans-serif"/>
          <w:b w:val="false"/>
          <w:bCs w:val="false"/>
          <w:sz w:val="24"/>
          <w:szCs w:val="24"/>
        </w:rPr>
        <w:t>(</w:t>
      </w:r>
      <w:r>
        <w:rPr>
          <w:rFonts w:ascii="Arial;sans-serif" w:hAnsi="Arial;sans-serif"/>
          <w:b w:val="false"/>
          <w:bCs w:val="false"/>
          <w:sz w:val="24"/>
          <w:szCs w:val="24"/>
        </w:rPr>
        <w:t>MANZANO; JUNIOR, 2014,</w:t>
      </w:r>
      <w:r>
        <w:rPr>
          <w:rFonts w:ascii="Arial;sans-serif" w:hAnsi="Arial;sans-serif"/>
          <w:b w:val="false"/>
          <w:bCs w:val="false"/>
          <w:sz w:val="24"/>
          <w:szCs w:val="24"/>
        </w:rPr>
        <w:t>pg.108)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268" w:right="0" w:hanging="0"/>
        <w:jc w:val="left"/>
        <w:rPr>
          <w:rFonts w:ascii="Arial;sans-serif" w:hAnsi="Arial;sans-serif"/>
          <w:b w:val="false"/>
          <w:b w:val="false"/>
          <w:bCs w:val="false"/>
          <w:sz w:val="20"/>
          <w:szCs w:val="20"/>
        </w:rPr>
      </w:pPr>
      <w:r>
        <w:rPr>
          <w:rFonts w:ascii="Arial;sans-serif" w:hAnsi="Arial;sans-serif"/>
          <w:b w:val="false"/>
          <w:bCs w:val="false"/>
          <w:sz w:val="20"/>
          <w:szCs w:val="20"/>
        </w:rPr>
        <w:t>As classes abstratas são criadas para representar de forma genérica uma família de classes. Por exemplo, as figuras triângulo, quadrado e círculo fazem parte de uma família de objetos, a qual podemos denominar FormaGeometrica. Sabe-se que toda forma geométrica pode ser representada graficamente e pode ter sua área e seu perímetro calculados a partir das medidas da figura. Entretanto, as fór- mulas para os cálculos são próprias de cada tipo de figura. Assim, as figuras podem utilizar o método desenhar herdado da superclasse FormaGeometrica, mas de- vem fornecer soluções próprias para os cálculos de área e perímetro.</w:t>
      </w:r>
      <w:r>
        <w:rPr>
          <w:rFonts w:ascii="Arial;sans-serif" w:hAnsi="Arial;sans-serif"/>
          <w:b w:val="false"/>
          <w:bCs w:val="false"/>
          <w:sz w:val="20"/>
          <w:szCs w:val="20"/>
        </w:rPr>
        <w:t xml:space="preserve">(MACHADO; FRANCO; BERTAGNOLLI, 2016, </w:t>
      </w:r>
      <w:r>
        <w:rPr>
          <w:rFonts w:ascii="Arial;sans-serif" w:hAnsi="Arial;sans-serif"/>
          <w:b w:val="false"/>
          <w:bCs w:val="false"/>
          <w:sz w:val="20"/>
          <w:szCs w:val="20"/>
        </w:rPr>
        <w:t>pg. 20)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r>
    </w:p>
    <w:p>
      <w:pPr>
        <w:pStyle w:val="Normal"/>
        <w:bidi w:val="0"/>
        <w:jc w:val="left"/>
        <w:rPr>
          <w:rFonts w:ascii="Arial;sans-serif" w:hAnsi="Arial;sans-serif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bookmarkStart w:id="0" w:name="docs-internal-guid-059c886b-7fff-dbeb-c0"/>
      <w:bookmarkEnd w:id="0"/>
      <w:r>
        <w:rPr>
          <w:rFonts w:ascii="Arial;sans-serif" w:hAnsi="Arial;sans-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REFERÊNCIAS BIBLIOGRÁFICAS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0"/>
          <w:szCs w:val="20"/>
        </w:rPr>
      </w:pPr>
      <w:r>
        <w:rPr>
          <w:rFonts w:ascii="Arial;sans-serif" w:hAnsi="Arial;sans-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  <w:t xml:space="preserve">MANZANO, José Augusto Navarro G.; JÚNIOR, Roberto Affonso da C. </w:t>
      </w:r>
      <w:r>
        <w:rPr>
          <w:rFonts w:ascii="Arial;sans-serif" w:hAnsi="Arial;sans-serif"/>
          <w:b/>
          <w:bCs/>
          <w:sz w:val="24"/>
          <w:szCs w:val="24"/>
        </w:rPr>
        <w:t>Programação de computadores com java</w:t>
      </w:r>
      <w:r>
        <w:rPr>
          <w:rFonts w:ascii="Arial;sans-serif" w:hAnsi="Arial;sans-serif"/>
          <w:b w:val="false"/>
          <w:bCs w:val="false"/>
          <w:sz w:val="24"/>
          <w:szCs w:val="24"/>
        </w:rPr>
        <w:t xml:space="preserve"> - 1ª edição - 2014. Editora Saraiva, 2014. E-book. ISBN 9788536531137. Disponível em: https://app.minhabiblioteca.com.br/#/books/9788536531137/. Acesso em: 02 set. 2023.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  <w:t xml:space="preserve">MACHADO, Rodrigo P.; FRANCO, Márcia H I.; BERTAGNOLLI, Silvia C. </w:t>
      </w:r>
      <w:r>
        <w:rPr>
          <w:rFonts w:ascii="Arial;sans-serif" w:hAnsi="Arial;sans-serif"/>
          <w:b/>
          <w:bCs/>
          <w:sz w:val="24"/>
          <w:szCs w:val="24"/>
        </w:rPr>
        <w:t>Desenvolvimento de software III: programação de sistemas web orientada a objetos em java.</w:t>
      </w:r>
      <w:r>
        <w:rPr>
          <w:rFonts w:ascii="Arial;sans-serif" w:hAnsi="Arial;sans-serif"/>
          <w:b w:val="false"/>
          <w:bCs w:val="false"/>
          <w:sz w:val="24"/>
          <w:szCs w:val="24"/>
        </w:rPr>
        <w:t xml:space="preserve"> (Tekne). Grupo A, 2016. E-book. ISBN 9788582603710. Disponível em: https://app.minhabiblioteca.com.br/#/books/9788582603710/. Acesso em: 02 set. 2023.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552</Words>
  <Characters>3251</Characters>
  <CharactersWithSpaces>3788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2023-09-02T06:55:58Z</dcterms:created>
  <dc:creator/>
  <dc:description/>
  <dc:language>pt-BR</dc:language>
  <cp:lastModifiedBy/>
  <dcterms:modified xsi:type="dcterms:W3CDTF">2023-09-02T07:57:41Z</dcterms:modified>
  <cp:revision>1</cp:revision>
  <dc:subject/>
  <dc:title/>
</cp:coreProperties>
</file>